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στοιχεία.Αν η δηλωθείσα αξία συμπίπτει με την προσωρινή, αυτή κρίνεται ειλικρινής. Αν δεν συμπίπτει, ο φορολογούμενος μέσα σε δύο (2)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2Α.</w:t>
      </w:r>
      <w:r>
        <w:rPr>
          <w:lang w:val="el" w:eastAsia="el"/>
        </w:rPr>
        <w:t xml:space="preserve"> Εφόσον το ακίνητο βρίσκεται σε περιοχή για την οποία έχει εκδοθεί απόφαση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ενεργείται προσωρινός προσδιορισμός της αγοραίας αξίας αυτού σύμφωνα με την παρ. 2 και εκδίδεται πράξη προσδιορισμού του φόρου με βάση τη δηλωθείσα αξία. Εντός τριών (3) μηνών από την ένταξη της περιοχής στο αντικειμενικό σύστημα προσδιορισμού της αξίας των ακινήτων, υποβάλλεται από τον αγοραστή νέα δήλωση με βάση την αντικειμενική αξία του ακινήτου και εκδίδεται νέα πράξη διοικητικού προσδιορισμού του φόρου με συμψηφισμό του φόρου της αρχικής δήλωσης. Αν παρέλθει το εξάμηνο από την έκδοση της απόφασης της παρ. 1Β του άρθρου 41 του ν. 1249/1982 και δεν έχει εκδοθεί η απόφαση καθορισμού τιμών εκκίνησης κατά την παρ. 1Γ του άρθρου 41 του ν. 1249/1982, η αρμόδια υπηρεσία της Φορολογικής Διοίκησης μέσα σε έναν (1) μήνα από το τέλος του εξαμήνου ενεργεί προσωρινό προσδιορισμό της αγοραίας αξίας του ακινήτου με ανάλογη εφαρμογή των οριζομένων στην παρ. 2.Για την εφαρμογή της παρούσας, η αρμόδια υπηρεσία του Υπουργείου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τιμών.Με απόφαση του Διοικητή της Ανεξάρτητης Αρχής Δημοσίων Εσόδων, καθορίζεται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Σε περίπτωση που το τίμημα, σε μεταβιβαστικό συμβόλαιο, ή το εκπλειστηρίασμα, σε αναγκαστικό ή εκούσιο πλειστηριασμό, είναι μεγαλύτερο από την αντικειμενική αξία, ο φόρος επιβάλλεται στη μεγαλύτερη αξία.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Μετά την υποβολή τροποποιητικής δήλωσης, εφόσον προκύπτει μείωση φόρου μεγαλύτερη των τριακοσίων (300) ευρώ, η πράξη προσδιορισμού του φόρου εκδίδεται μετά από έλεγχο της Φορολογικής Διοίκησης, με την επιφύλαξη όσων ορίζονται στο άρθρο 16 του παρόντος. Εάν μετά την υποβολή τροποποιητικής δήλωσης υποβληθούν νέες τροποποιητικές δηλώσεις, εφόσον από τις δηλώσεις αυτές προκύπτει μείωση φόρου, ανεξαρτήτως του ύψους αυτής, η πράξη προσδιορισμού του φόρου εκδίδεται μετά από έλεγχο της Φορολογικής Διοίκησης. Με απόφαση του Διοικητή της ΑΑΔΕ καθορίζονται τα όργανα, ο τρόπος, η διαδικασία και κάθε άλλη αναγκαία λεπτομέρεια για τον έλεγχο των υποβαλλόμενων δηλώσεων.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lang w:val="el" w:eastAsia="el"/>
        </w:rPr>
      </w:pPr>
      <w:r>
        <w:rPr>
          <w:lang w:val="el" w:eastAsia="el"/>
        </w:rPr>
        <w:t>ε)</w:t>
      </w:r>
      <w:r>
        <w:rPr>
          <w:lang w:val="en" w:eastAsia="en"/>
        </w:rPr>
        <w:tab/>
      </w:r>
      <w:r>
        <w:rPr>
          <w:lang w:val="el" w:eastAsia="el"/>
        </w:rPr>
        <w:t>να ενημερώσει τον υπόχρεο σε φόρο και να αναγράψει στο συμβόλαιο τις υποχρεώσεις, οι οποίες πηγάζουν από την παράγραφο 2 του άρθρου 8 του παρόντος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στ)</w:t>
      </w:r>
      <w:r>
        <w:rPr>
          <w:lang w:val="en" w:eastAsia="en"/>
        </w:rPr>
        <w:tab/>
      </w:r>
      <w:r>
        <w:rPr>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spacing w:before="240" w:after="240"/>
        <w:rPr>
          <w:lang w:val="el" w:eastAsia="el"/>
        </w:rPr>
      </w:pPr>
      <w:r>
        <w:rPr>
          <w:lang w:val="el" w:eastAsia="el"/>
        </w:rPr>
        <w:t>Ο συμβολαιογράφος ευθύνεται για την ορθή συμπλήρωση της δήλωσης με βάση τα στοιχεία που προσκόμισαν οι συμβαλλόμενοι,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MainText"/>
        <w:spacing w:before="120" w:after="0"/>
        <w:rPr>
          <w:lang w:val="el" w:eastAsia="el"/>
        </w:rPr>
      </w:pPr>
      <w:r>
        <w:rPr>
          <w:b/>
          <w:bCs/>
          <w:lang w:val="el" w:eastAsia="el"/>
        </w:rPr>
        <w:t>5.</w:t>
      </w:r>
      <w:r>
        <w:rPr>
          <w:lang w:val="el" w:eastAsia="el"/>
        </w:rPr>
        <w:t xml:space="preserve"> Στα πρόσωπα που παραβαίνουν τις υποχρεώσεις του παρόντος άρθρου και του άρθρου 15 επιβάλλεται ανά παράβαση αυτοτελές πρόστιμο εκατό (100)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κ.λ.π. που συνετάγησαν μέσα στον αμέσως προηγούμενο μήνα,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MainText"/>
        <w:spacing w:before="120" w:after="0"/>
        <w:rPr>
          <w:lang w:val="el" w:eastAsia="el"/>
        </w:rPr>
      </w:pPr>
      <w:r>
        <w:rPr>
          <w:b/>
          <w:bCs/>
          <w:lang w:val="el" w:eastAsia="el"/>
        </w:rPr>
        <w:t>5.</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Δεκεμβρίου 2000, επιτρέπεται η υποβολή δήλωσης φόρου μεταβίβασης ακινήτων μόνο από τον αγοραστή ή τους ειδικούς ή καθολικούς διαδόχους αυτού, εφόσον συνταχθούν μέσα σε προθεσμία ενός (1) έτους από τη δημοσίευση του παρόντος στην Εφημερίδα της Κυβερνήσεως. Κατά τη σύνταξη των συμβολαίων αυτών, εντός της προβλεπόμενης προθεσμίας, δεν απαιτείται η προσκόμιση του αποδεικτικού ενημερότητας του άρθρου 12 του ν. 4174/2013 (Α’ 170) και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(Α’ 266). Για τα προσύμφωνα που έχουν συνταχθεί μέχρι και την 29η Ιουνίου 1999, δεν απαιτείται, εντός της προβλεπόμενης προθεσμίας, η αναγραφή του αριθμού φορολογικού μητρώου του πωλητή. Αντίγραφα των οριστικών συμβολαίων, που καταρτίζονται κατά τα προηγούμενα, αποστέλλονται, με ευθύνη του συμβολαιογράφου, και στην αρμόδια για τη φορολογία του εισοδήματος του πωλητή υπηρεσία της φορολογικής διοίκησης.</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7" w:history="1">
        <w:r>
          <w:rPr>
            <w:rStyle w:val="Hyperlink"/>
            <w:color w:val="0000EE"/>
            <w:u w:color="0000EE"/>
            <w:lang w:val="el" w:eastAsia="el"/>
          </w:rPr>
          <w:t>Τροποποίηση 4646/2019, Άρθρο 47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7" w:history="1">
        <w:r>
          <w:rPr>
            <w:rStyle w:val="Hyperlink"/>
            <w:color w:val="0000EE"/>
            <w:u w:color="0000EE"/>
            <w:lang w:val="el" w:eastAsia="el"/>
          </w:rPr>
          <w:t>Τροποποίηση 4646/2019, Άρθρο 47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7" w:history="1">
        <w:r>
          <w:rPr>
            <w:rStyle w:val="Hyperlink"/>
            <w:color w:val="0000EE"/>
            <w:u w:color="0000EE"/>
            <w:lang w:val="el" w:eastAsia="el"/>
          </w:rPr>
          <w:t>Τροποποίηση 4646/2019, Άρθρο 47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7" w:history="1">
        <w:r>
          <w:rPr>
            <w:rStyle w:val="Hyperlink"/>
            <w:color w:val="0000EE"/>
            <w:u w:color="0000EE"/>
            <w:lang w:val="el" w:eastAsia="el"/>
          </w:rPr>
          <w:t>Τροποποίηση 4646/2019, Άρθρο 47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7" w:history="1">
        <w:r>
          <w:rPr>
            <w:rStyle w:val="Hyperlink"/>
            <w:color w:val="0000EE"/>
            <w:u w:color="0000EE"/>
            <w:lang w:val="el" w:eastAsia="el"/>
          </w:rPr>
          <w:t>Τροποποίηση 4646/2019, Άρθρο 47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7" w:history="1">
        <w:r>
          <w:rPr>
            <w:rStyle w:val="Hyperlink"/>
            <w:color w:val="0000EE"/>
            <w:u w:color="0000EE"/>
            <w:lang w:val="el" w:eastAsia="el"/>
          </w:rPr>
          <w:t>Τροποποίηση 4646/2019, Άρθρο 47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7" w:history="1">
        <w:r>
          <w:rPr>
            <w:rStyle w:val="Hyperlink"/>
            <w:color w:val="0000EE"/>
            <w:u w:color="0000EE"/>
            <w:lang w:val="el" w:eastAsia="el"/>
          </w:rPr>
          <w:t>Τροποποίηση 4646/2019, Άρθρο 47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7" w:history="1">
        <w:r>
          <w:rPr>
            <w:rStyle w:val="Hyperlink"/>
            <w:color w:val="0000EE"/>
            <w:u w:color="0000EE"/>
            <w:lang w:val="el" w:eastAsia="el"/>
          </w:rPr>
          <w:t>Προσθήκη 4646/2019, Άρθρο 47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7" w:history="1">
        <w:r>
          <w:rPr>
            <w:rStyle w:val="Hyperlink"/>
            <w:color w:val="0000EE"/>
            <w:u w:color="0000EE"/>
            <w:lang w:val="el" w:eastAsia="el"/>
          </w:rPr>
          <w:t>Αφαίρεση 4646/2019, Άρθρο 47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7" w:history="1">
        <w:r>
          <w:rPr>
            <w:rStyle w:val="Hyperlink"/>
            <w:color w:val="0000EE"/>
            <w:u w:color="0000EE"/>
            <w:lang w:val="el" w:eastAsia="el"/>
          </w:rPr>
          <w:t>Αφαίρεση 4646/2019, Άρθρο 47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7" w:history="1">
        <w:r>
          <w:rPr>
            <w:rStyle w:val="Hyperlink"/>
            <w:color w:val="0000EE"/>
            <w:u w:color="0000EE"/>
            <w:lang w:val="el" w:eastAsia="el"/>
          </w:rPr>
          <w:t>Αφαίρεση 4646/2019, Άρθρο 47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7" w:history="1">
        <w:r>
          <w:rPr>
            <w:rStyle w:val="Hyperlink"/>
            <w:color w:val="0000EE"/>
            <w:u w:color="0000EE"/>
            <w:lang w:val="el" w:eastAsia="el"/>
          </w:rPr>
          <w:t>Αφαίρεση 4646/2019, Άρθρο 47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Αφαίρεση 4646/2019, Άρθρο 47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Αφαίρεση 4646/2019, Άρθρο 47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7" w:history="1">
        <w:r>
          <w:rPr>
            <w:rStyle w:val="Hyperlink"/>
            <w:color w:val="0000EE"/>
            <w:u w:color="0000EE"/>
            <w:lang w:val="el" w:eastAsia="el"/>
          </w:rPr>
          <w:t>Τροποποίηση 4941/2022, Άρθρο 47</w:t>
        </w:r>
      </w:hyperlink>
      <w:r>
        <w:rPr>
          <w:lang w:val="el" w:eastAsia="el"/>
        </w:rPr>
        <w:t xml:space="preserve">; </w:t>
      </w:r>
      <w:hyperlink r:id="rId24" w:anchor="art_47" w:history="1">
        <w:r>
          <w:rPr>
            <w:rStyle w:val="Hyperlink"/>
            <w:color w:val="0000EE"/>
            <w:u w:color="0000EE"/>
            <w:lang w:val="el" w:eastAsia="el"/>
          </w:rPr>
          <w:t>Τροποποίηση 4646/2019, Άρθρο 47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90" w:history="1">
        <w:r>
          <w:rPr>
            <w:rStyle w:val="Hyperlink"/>
            <w:color w:val="0000EE"/>
            <w:u w:color="0000EE"/>
            <w:lang w:val="el" w:eastAsia="el"/>
          </w:rPr>
          <w:t>Τροποποίηση 4941/2022, Άρθρο 90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0" w:history="1">
        <w:r>
          <w:rPr>
            <w:rStyle w:val="Hyperlink"/>
            <w:color w:val="0000EE"/>
            <w:u w:color="0000EE"/>
            <w:lang w:val="el" w:eastAsia="el"/>
          </w:rPr>
          <w:t>Τροποποίηση 4941/2022, Άρθρο 90</w:t>
        </w:r>
      </w:hyperlink>
      <w:r>
        <w:rPr>
          <w:lang w:val="el" w:eastAsia="el"/>
        </w:rPr>
        <w:t xml:space="preserve">; </w:t>
      </w:r>
      <w:hyperlink r:id="rId27" w:anchor="art_47" w:history="1">
        <w:r>
          <w:rPr>
            <w:rStyle w:val="Hyperlink"/>
            <w:color w:val="0000EE"/>
            <w:u w:color="0000EE"/>
            <w:lang w:val="el" w:eastAsia="el"/>
          </w:rPr>
          <w:t>Τροποποίηση 4646/2019,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Τροποποίηση 4646/2019, Άρθρο 47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7" w:history="1">
        <w:r>
          <w:rPr>
            <w:rStyle w:val="Hyperlink"/>
            <w:color w:val="0000EE"/>
            <w:u w:color="0000EE"/>
            <w:lang w:val="el" w:eastAsia="el"/>
          </w:rPr>
          <w:t>Αφαίρεση 4646/2019,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7" w:history="1">
        <w:r>
          <w:rPr>
            <w:rStyle w:val="Hyperlink"/>
            <w:color w:val="0000EE"/>
            <w:u w:color="0000EE"/>
            <w:lang w:val="el" w:eastAsia="el"/>
          </w:rPr>
          <w:t>Προσθήκη 4646/2019, Άρθρο 47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7" w:history="1">
        <w:r>
          <w:rPr>
            <w:rStyle w:val="Hyperlink"/>
            <w:color w:val="0000EE"/>
            <w:u w:color="0000EE"/>
            <w:lang w:val="el" w:eastAsia="el"/>
          </w:rPr>
          <w:t>Προσθήκη 4646/2019,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7" w:history="1">
        <w:r>
          <w:rPr>
            <w:rStyle w:val="Hyperlink"/>
            <w:color w:val="0000EE"/>
            <w:u w:color="0000EE"/>
            <w:lang w:val="el" w:eastAsia="el"/>
          </w:rPr>
          <w:t>Προσθήκη 4646/2019, Άρθρο 47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Προσθήκη 4537/2018, Άρθρο 112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7" w:history="1">
        <w:r>
          <w:rPr>
            <w:rStyle w:val="Hyperlink"/>
            <w:color w:val="0000EE"/>
            <w:u w:color="0000EE"/>
            <w:lang w:val="el" w:eastAsia="el"/>
          </w:rPr>
          <w:t>Προσθήκη 4646/2019, Άρθρο 47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7" w:history="1">
        <w:r>
          <w:rPr>
            <w:rStyle w:val="Hyperlink"/>
            <w:color w:val="0000EE"/>
            <w:u w:color="0000EE"/>
            <w:lang w:val="el" w:eastAsia="el"/>
          </w:rPr>
          <w:t>Προσθήκη 4646/2019, Άρθρο 47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7" w:history="1">
        <w:r>
          <w:rPr>
            <w:rStyle w:val="Hyperlink"/>
            <w:color w:val="0000EE"/>
            <w:u w:color="0000EE"/>
            <w:lang w:val="el" w:eastAsia="el"/>
          </w:rPr>
          <w:t>Προσθήκη 4646/2019, Άρθρο 47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7" w:history="1">
        <w:r>
          <w:rPr>
            <w:rStyle w:val="Hyperlink"/>
            <w:color w:val="0000EE"/>
            <w:u w:color="0000EE"/>
            <w:lang w:val="el" w:eastAsia="el"/>
          </w:rPr>
          <w:t>Αφαίρεση 4646/2019, Άρθρο 47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52" w:history="1">
        <w:r>
          <w:rPr>
            <w:rStyle w:val="Hyperlink"/>
            <w:color w:val="0000EE"/>
            <w:u w:color="0000EE"/>
            <w:lang w:val="el" w:eastAsia="el"/>
          </w:rPr>
          <w:t>Προσθήκη 4808/2021, Άρθρο 152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1" Type="http://schemas.openxmlformats.org/officeDocument/2006/relationships/hyperlink" Target="http://data.aade.gr/eli/pri/law/2019/12/12/4646"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22/06/16/4941" TargetMode="External" /><Relationship Id="rId24" Type="http://schemas.openxmlformats.org/officeDocument/2006/relationships/hyperlink" Target="http://data.aade.gr/eli/pri/law/2019/12/12/4646" TargetMode="External" /><Relationship Id="rId25" Type="http://schemas.openxmlformats.org/officeDocument/2006/relationships/hyperlink" Target="http://data.aade.gr/eli/pri/law/2022/06/16/4941" TargetMode="External" /><Relationship Id="rId26" Type="http://schemas.openxmlformats.org/officeDocument/2006/relationships/hyperlink" Target="http://data.aade.gr/eli/pri/law/2022/06/16/4941"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19/12/12/4646"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8/05/15/4537"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19/12/12/4646"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8" Type="http://schemas.openxmlformats.org/officeDocument/2006/relationships/hyperlink" Target="http://data.aade.gr/eli/pri/law/2021/06/19/4808" TargetMode="External" /><Relationship Id="rId4" Type="http://schemas.openxmlformats.org/officeDocument/2006/relationships/hyperlink" Target="http://data.aade.gr/eli/pri/law/2006/12/22/3522" TargetMode="External" /><Relationship Id="rId5"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