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1078/1980</w:t>
      </w:r>
    </w:p>
    <w:p>
      <w:pPr>
        <w:pStyle w:val="PreambelText"/>
        <w:spacing w:before="240" w:after="240"/>
        <w:rPr>
          <w:lang w:val="el" w:eastAsia="el"/>
        </w:rPr>
      </w:pPr>
      <w:r>
        <w:rPr>
          <w:b/>
          <w:bCs/>
          <w:lang w:val="el" w:eastAsia="el"/>
        </w:rPr>
        <w:t>ΝΟΜΟΣ ΥΠ' ΑΡΙΘ. 1078</w:t>
      </w:r>
      <w:r>
        <w:rPr>
          <w:lang w:val="el" w:eastAsia="el"/>
        </w:rPr>
        <w:t> </w:t>
      </w:r>
    </w:p>
    <w:p>
      <w:pPr>
        <w:pStyle w:val="PreambelText"/>
        <w:spacing w:before="240" w:after="240"/>
        <w:rPr>
          <w:lang w:val="el" w:eastAsia="el"/>
        </w:rPr>
      </w:pPr>
      <w:r>
        <w:rPr>
          <w:lang w:val="el" w:eastAsia="el"/>
        </w:rPr>
        <w:t>Περί απαλλαγής εκ του φόρου μεταβιβάσεως ακινήτων της αγοράς πρώτης κατοικίας, καταργήσεως και τροποποιήσεως διατάξεων προσδιορισμού εισοδήματος βάσει τεκμηρίων, καταργήσεως φορολογίας ακινήτου περιουσίας και άλλων τινών φορολογικών διατάξεων. </w:t>
      </w:r>
    </w:p>
    <w:p>
      <w:pPr>
        <w:pStyle w:val="PreambelText"/>
        <w:spacing w:before="240" w:after="240"/>
        <w:rPr>
          <w:lang w:val="el" w:eastAsia="el"/>
        </w:rPr>
      </w:pPr>
      <w:r>
        <w:rPr>
          <w:lang w:val="el" w:eastAsia="el"/>
        </w:rPr>
        <w:t>Ο ΠΡΟΕΔΡΟΣ </w:t>
      </w:r>
    </w:p>
    <w:p>
      <w:pPr>
        <w:pStyle w:val="PreambelText"/>
        <w:spacing w:before="240" w:after="240"/>
        <w:rPr>
          <w:lang w:val="el" w:eastAsia="el"/>
        </w:rPr>
      </w:pPr>
      <w:r>
        <w:rPr>
          <w:lang w:val="el" w:eastAsia="el"/>
        </w:rPr>
        <w:t>ΤΗΣ ΕΛΛΗΝΙΚΗΣ ΔΗΜΟΚΡΑΤΙΑΣ </w:t>
      </w:r>
    </w:p>
    <w:p>
      <w:pPr>
        <w:pStyle w:val="PreambelText"/>
        <w:spacing w:before="240" w:after="240"/>
        <w:rPr>
          <w:lang w:val="el" w:eastAsia="el"/>
        </w:rPr>
      </w:pPr>
      <w:r>
        <w:rPr>
          <w:lang w:val="el" w:eastAsia="el"/>
        </w:rPr>
        <w:t>Ψηφισάμενοι ομοφώνως μετά της Βουλής, απεφασίσαμεν. </w:t>
      </w:r>
    </w:p>
    <w:p>
      <w:pPr>
        <w:pStyle w:val="Heading6"/>
        <w:spacing w:before="240" w:after="240"/>
        <w:rPr>
          <w:lang w:val="el" w:eastAsia="el"/>
        </w:rPr>
      </w:pPr>
      <w:r>
        <w:rPr>
          <w:b/>
          <w:bCs/>
          <w:lang w:val="el" w:eastAsia="el"/>
        </w:rPr>
        <w:t xml:space="preserve">Άρθρον 1. </w:t>
      </w:r>
    </w:p>
    <w:p>
      <w:pPr>
        <w:pStyle w:val="Heading6"/>
        <w:spacing w:before="240" w:after="240"/>
        <w:rPr>
          <w:lang w:val="el" w:eastAsia="el"/>
        </w:rPr>
      </w:pPr>
      <w:r>
        <w:rPr>
          <w:b/>
          <w:bCs/>
          <w:lang w:val="el" w:eastAsia="el"/>
        </w:rPr>
        <w:t>Απαλλαγή εκ του φόρου μεταβιβάσεως της πρώτης κατοικίας. </w:t>
      </w:r>
    </w:p>
    <w:p>
      <w:pPr>
        <w:pStyle w:val="MainText"/>
        <w:spacing w:before="120" w:after="0"/>
        <w:rPr>
          <w:lang w:val="el" w:eastAsia="el"/>
        </w:rPr>
      </w:pPr>
      <w:r>
        <w:rPr>
          <w:b/>
          <w:bCs/>
          <w:lang w:val="el" w:eastAsia="el"/>
        </w:rPr>
        <w:t>1.</w:t>
      </w:r>
      <w:r>
        <w:rPr>
          <w:lang w:val="el" w:eastAsia="el"/>
        </w:rPr>
        <w:t xml:space="preserve"> Συμβάσεις αγοράς εξ ολοκλήρου και κατά πλήρη κυριότητα κατοικίας ή οικοπέδου από έγγαμο ή ενήλικο άγαμο απαλλάσσονται από το φόρο μεταβίβασης, εφόσον ο αγοραστής ή ο σύζυγος ή οποιοδήποτε από τα ανήλικα τέκνα αυτού δεν έχει δικαίωμα πλήρους κυριότητας ή επικαρπίας ή οίκησης σε κατοικία ή σε ιδανικό μερίδιο αυτής που πληροί τις στεγαστικές ανάγκες της οικογένειάς του ή δικαίωμα πλήρους κυριότητας σε οικόπεδο οικοδομήσιμο ή σε ιδανικό μερίδιο οικοπέδου στο οποίο αντιστοιχεί εμβαδόν κτίσματος που πληροί τις στεγαστικές του ανάγκες και βρίσκονται σε δημοτικό ή κοινοτικό διαμέρισμα με πληθυσμό άνω των τριών χιλιάδων (3.000) κατοίκων. Για την έννοια του οικοπέδου έχουν εφαρμογή οι σχετικές πολεοδομικές διατάξεις. Οι διατάξεις της παραγράφου αυτής εφαρμόζονται και όταν ο αγοραστής είναι κύριος εξ αδιαιρέτου ποσοστού ή ψιλός κύριος ή επικαρπωτής κατοικίας ή οικοπέδου και αγοράζει το υπόλοιπο ποσοστό ή το εμπράγματο δικαίωμα της ψιλής κυριότητας ή της επικαρπίας, ώστε να γίνει κύριος ολόκληρου του ακινήτου, καθώς και στην περίπτωση αγοράς μη οικοδομήσιμου οικοπέδου, το οποίο με προσκύρωση ή αγορά τμήματος ομόρου οικοπέδου καθίσταται οικοδομήσιμο. Η ανωτέρω απαλλαγή παρέχεται και κατά την αγορά κατά πλήρη κυριότητα ολόκληρου του ακινήτου και από τους δύο συζύγους. Με τις προϋποθέσεις που ορίζονται στο πρώτο εδάφιο, η απαλλαγή του εγγάμου παρέχεται και: α) στο χήρο ή διαζευγμένο που έχει την επιμέλεια των ανηλίκων τέκνων της οικογένειας, β) στην άγαμη μητέρα ανηλίκων τέκνων ή στον εξ αναγνωρίσεως πατέρα, εφόσον του έχει ανατεθεί η επιμέλεια των τέκνων, γ) στον άγαμο ενήλικο, ο οποίος παρουσιάζει αναπηρία τουλάχιστον 67% από διανοητική καθυστέρηση ή φυσική αναπηρία ή σε έγγαμο που έχει προστατευόμενα τέκνα, ανεξάρτητα από την ηλικία τους, που παρουσιάζουν την ίδια αναπηρία, και δ) στον επιζώντα σύζυγο και τα ανήλικα τέκνα του αποβιώσαντος, στο όνομα του οποίου είχε εγκριθεί δάνειο από τον Οργανισμό Εργατικής Κατοικίας για αγορά κατοικίας, που χορηγείται στους ως άνω κληρονόμους, ανεξάρτητα από το αν η αγορά γίνεται από τον έναν ή από όλους τους κληρονόμους μαζί εξ αδιαιρέτου. Με τις προϋποθέσεις που ορίζονται στο πρώτο εδάφιο την απαλλαγή του άγαμου δικαιούνται και τα ανήλικα τέκνα, τα οποία στερούνται και τους δύο γονείς τους και τελούν υπό επιτροπεία ή υπό την επιμέλεια τρίτου προσώπου, που ορίστηκε με δικαστική απόφαση είτε αγοράζουν ακίνητο εξ αδιαιρέτου είτε αγοράζουν αυτοτελώς χωριστό ακίνητο το καθένα. Την απαλλαγή του άγαμου δικαιούται και ο σύζυγος που βρίσκεται σε διάσταση και έχει καταθέσει αίτηση ή αγωγή διαζυγίου τουλάχιστον έξι (6) μήνες πριν από το χρόνο της αγοράς. Αν έχει την επιμέλεια των ανήλικων τέκνων της οικογένειας, δικαιούται απαλλαγή ως έγγαμος. Αν δεν λυθεί ο γάμος με διαζύγιο μέσα σε πέντε (5) έτη από την αγορά, αίρεται η χορηγηθείσα απαλλαγή και καταβάλλεται ο οικείος φόρος σύμφωνα με τις διατάξεις της παραγράφου 5 του άρθρου αυτού. Εάν ο αγοραστής ή ο σύζυγος ή τα ανήλικα τέκνα αυτού, που είναι κύριοι κατοικίας ή οικοπέδου ή ιδανικού μεριδίου αυτών, μεταβιβάσουν με επαχθή ή χαριστική αιτία την επικαρπία ή το δικαίωμα οίκησης ή ιδανικό μερίδιο επί της κατοικίας ή του οικοπέδου, το εμβαδόν των οποίων πληροί κατά το χρόνο της μεταβίβασης τις στεγαστικές τους ανάγκες, δεν παρέχεται απαλλαγή πριν από την παρέλευση χρονικού διαστήματος πέντε (5) ετών από τη μεταβίβαση της επικαρπίας ή της οίκησης ή του ιδανικού μεριδίου. Το ανωτέρω χρονικό διάστημα απαιτείται και όταν μεταβιβάζεται η ψιλή κυριότητα οικοπέδου ή ιδανικού μεριδίου αυτού.</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2.</w:t>
      </w:r>
      <w:r>
        <w:rPr>
          <w:lang w:val="el" w:eastAsia="el"/>
        </w:rPr>
        <w:t xml:space="preserve"> Η απαλλαγή που προβλέπεται από την προηγούμενη παράγραφο παρέχεται: α) Για αγορά κατοικίας από άγαμο μέχρι ποσού αξίας διακοσίων χιλιάδων (200.000) ευρώ, από έγγαμο μέχρι ποσού αξίας διακοσίων πενήντα χιλιάδων (250.000) ευρώ ενώ, από έγγαμο ο οποίος παρουσιάζει αναπηρία τουλάχιστον 67% από διανοητική καθυστέρηση ή φυσική αναπηρία μέχρι ποσού αξίας διακοσίων εβδομήντα πέντε χιλιάδων (275.000) ευρώ. Το ποσό αυτό προσαυξάνεται κατά είκοσι πέντε χιλιάδες (25.000) ευρώ για καθένα από τα δύο πρώτα τέκνα αυτού και κατά τριάντα χιλιάδες (30.000) ευρώ για το τρίτο και καθένα από τα επόμενα τέκνα του. β) Για αγορά οικοπέδου από άγαμο μέχρι ποσού αξίας πενήντα χιλιάδων (50.000) ευρώ, ενώ από έγγαμο μέχρι ποσού αξίας εκατό χιλιάδων (100.000) ευρώ. Το ποσό αυτό προσαυξάνεται κατά δέκα χιλιάδες (10.000) ευρώ για καθένα από τα δύο πρώτα τέκνα αυτού και κατά δεκαπέντε χιλιάδες (15.000) ευρώ για το τρίτο και καθένα από τα επόμενα τέκνα του. Σε περίπτωση αγοράς κατοικίας, στο ποσό της απαλλαγής περιλαμβάνεται και η αξία μίας θέσης στάθμευσης αυτοκινήτου και ενός αποθηκευτικού χώρου, για επιφάνεια εκάστου έως είκοσι (20) τ.μ., εφόσον βρίσκονται στο ίδιο ακίνητο και αποκτώνται ταυτόχρονα με το ίδιο συμβόλαιο αγοράς.</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3.</w:t>
      </w:r>
      <w:r>
        <w:rPr>
          <w:lang w:val="el" w:eastAsia="el"/>
        </w:rPr>
        <w:t xml:space="preserve"> Οι διατάξεις του παρόντος άρθρου εφαρμόζονται σε συμβάσεις αγοράς ακινήτων, εφόσον ο αγοραστής κατοικεί μόνιμα στην Ελλάδα ή προτίθεται να εγκατασταθεί σε αυτή και εντάσσεται στις ακόλουθες κατηγορίες δικαιούχων:α) Έλληνες, β) ομογενείς από Αλβανία, Τουρκία και χώρες της πρώην Σοβιετικής Ένωσης, γ) οι πολίτες των κρατών-μελών της Ευρωπαϊκής Ένωσης και του Ευρωπαϊκού Οικονομικού Χώρου,δ) αναγνωρισμένοι πρόσφυγες, σύμφωνα με τις διατάξεις του π.δ. 96/2008 (ΦΕΚ 152 Α΄), και ε) πολίτες τρίτων χωρών που απολαύουν του καθεστώτος του επί μακρόν διαμένοντος στην Ελλάδα, σύμφωνα με τις διατάξεις του π.δ. 150/2006 (ΦΕΚ 160 Α΄).</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4.</w:t>
      </w:r>
      <w:r>
        <w:rPr>
          <w:lang w:val="el" w:eastAsia="el"/>
        </w:rPr>
        <w:t xml:space="preserve"> Το αγοραζόμενο οικόπεδο ή το οικόπεδο, στο οποίο έχει ανεγερθεί η αγοραζόμενη κατοικία, πρέπει να είναι οικοδομήσιμο κατά το χρόνο της αγοράς. Η συνδρομή αυτής της προϋπόθεσης βεβαιώνεται από τις αρμόδιες Δημόσιες Υπηρεσίες ή από αντίστοιχη δήλωση μηχανικού κατά τις διατάξεις του ν. 651/1977 και του ν. 1337/1983 πάνω στο τοπογραφικό διάγραμμα του μεταβιβαζόμενου ακινήτου.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5.</w:t>
      </w:r>
      <w:r>
        <w:rPr>
          <w:lang w:val="el" w:eastAsia="el"/>
        </w:rPr>
        <w:t xml:space="preserve"> Η απαλλαγή από το φόρο μεταβίβασης για αγορά κατοικίας ή οικοπέδου παρέχεται μία φορά.Απαλλαγή παρέχεται και για κάθε νέα αγορά ακινήτου εφόσον:α) τα ακίνητα που έχει στην κυριότητά του κατά το χρόνο της νέας αγοράς ο αγοραστής, ο σύζυγος ή τα ανήλικα τέκνα τους, δεν πληρούν τις στεγαστικές ανάγκες της οικογένειάς τους και β) ο αγοραστής υποβάλει την οικεία δήλωση και καταβάλει εφάπαξ το φόρο που αναλογεί στην αξία του ακινήτου που έτυχε της απαλλαγής.Για την εφαρμογή της διάταξης αυτής, ως αξία ακινήτου λαμβάνεται η αξία που έχει αυτό κατά το χρόνο της νέας απαλλαγής. Ο φόρος που αναλογεί εξευρίσκεται με τη χρήση των συντελεστών που ίσχυαν κατά το χρόνο χορήγησης της πρώτης απαλλαγής και καταβάλλεται εφάπαξ, εκτός αν ο φόρος που αναλογεί στην αξία του ακινήτου ή στο καταβληθέν τίμημα κατά το χρόνο χορήγησης της πρώτης απαλλαγής είναι μεγαλύτερος, οπότε καταβάλλεται ο μεγαλύτερος αυτός φόρος.Η απαλλαγή αυτή παρέχεται και σε πρόσωπα τα οποία έτυχαν απαλλαγής από το φόρο μεταβίβασης για απόκτηση στέγης μέχρι 14.7.1980, καθώς και σε πρόσωπα που έτυχαν απαλλαγής από το φόρο κληρονομιάς ή γονικής παροχής για απόκτηση πρώτης κατοικίας, εφόσον για τα πρόσωπα αυτά συντρέχουν οι προϋποθέσεις απαλλαγής της παραγράφου αυτής και καταβληθεί ο οικείος φόρος κατά περίπτωση.</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6.</w:t>
      </w:r>
      <w:r>
        <w:rPr>
          <w:lang w:val="el" w:eastAsia="el"/>
        </w:rPr>
        <w:t xml:space="preserve"> Οι διατάξεις του παρόντος άρθρου δεν έχουν εφαρμογή σε συμβάσεις μεταβίβασης ακινήτων με επαχθή αιτία μεταξύ συγγενών εξ αίματος ή αγχιστείας πρώτου βαθμού καθώς και μεταξύ συζύγων.</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7.</w:t>
      </w:r>
      <w:r>
        <w:rPr>
          <w:lang w:val="el" w:eastAsia="el"/>
        </w:rPr>
        <w:t xml:space="preserve"> Επιφυλασσομένων των διατάξεων του δευτέρου εδαφίου της παραγράφου 5 του παρόντος άρθρου, η απαλλαγή παρέχεται υπό τον όρον ότι το ακίνητον θα παραμείνη εις την κυριότητα του αγοραστού επί μίαν τουλάχιστον πενταετίαν. Αν ο αγοραστής μεταβιβάσει ή συστήσει επ’ αυτού οποιοδήποτε εμπράγματο δικαίωμα, πλην υποθήκης, πριν τη παρέλευση πενταετίας, υποχρεούται, πριν τη μεταβίβαση ή τη σύσταση του εμπράγματου δικαιώματος, σε υποβολή δήλωσης και καταβολή εφάπαξ του φόρου που αναλογεί στην αξία του ακινήτου.Ο φόρος υπολογίζεται με βάση την αξία του ακινήτου κατά το χρόνο της νέας μεταβίβασης ή της σύστασης του εμπράγματου δικαιώματος ή το δηλούμενο τίμημα της νέας μεταβίβασης, εφόσον αυτό είναι μεγαλύτερο της αντικειμενικής αξίας, με εφαρμογή των συντελεστών που ίσχυαν κατά το χρόνο χορήγησης της απαλλαγής, εκτός αν ο φόρος που αναλογεί στην αξία του ακινήτου του χρόνου απαλλαγής είναι μεγαλύτερος, οπότε καταβάλλεται ο μεγαλύτερος αυτός φόρος. Προ της παρελεύσεως πενταετίας απαγορεύεται η σύνταξις συμβολαιογραφικού εγγράφου, μεταβιβάζοντος την κυριότητα ή συνιστώντος εμπράγματα δικαιώματα επί ακινήτου, πλην υποθήκης,το οποίον δεν υπήχθη εις φόρον κατά τα άνω, εάν δεν προσαρτηθή υπό του συμβολαιογράφου, εις το παρ' αυτού συντασσόμενον συμβόλαιον, βεβαίωσις του αρμοδίου Οικον.Εφόρου περί υποβολής δηλώσεως και καταβολής ολοκλήρου του ποσού του κατά το προηγούμενον εδάφιον φόρου.Αν έχει χορηγηθεί απαλλαγή και στους δύο συζύγους κατά την αγορά ακινήτου εξ αδιαιρέτου, κατά τη μεταβίβαση του ποσοστού του ενός συζύγου καταβάλλεται ο φόρος που αναλογεί στο ποσοστό αυτό.Αν ο αγοραστής δεν εγκατασταθεί στην Ελλάδα εντός προθεσμίας δύο ετών από την αγορά, υποχρεούται να υποβάλει δήλωση το αργότερο εντός προθεσμίας έξι μηνών από τη συμπλήρωση της διετίας και να καταβάλει το φόρο, κατά τα οριζόμενα στο προηγούμενο εδάφιο. Για τον υπολογισμό του φόρου λαμβάνεται υπόψη η αξία του ακινήτου κατά το χρόνο υποβολής της δήλωσης.</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Προ της παρελεύσεως πενταετίας απαγορεύεται η σύνταξις συμβολαιογραφικού εγγράφου, μεταβιβάζοντος την κυριότητα ή συνιστώντος εμπράγματα δικαιώματα επί ακινήτου, πλην υποθήκης, το οποίον δεν υπήχθη εις φόρον κατά τα άνω, εάν δεν προσαρτηθή υπό του συμβολαιογράφου, εις το παρ' αυτού συντασσόμενον συμβόλαιον, βεβαίωσις του αρμοδίου Οικον. Εφόρου περί υποβολής δηλώσεως και καταβολής ολοκλήρου του ποσού του κατά το προηγούμενον εδάφιον φόρου. </w:t>
      </w:r>
    </w:p>
    <w:p>
      <w:pPr>
        <w:pStyle w:val="MainText"/>
        <w:spacing w:before="120" w:after="0"/>
        <w:rPr>
          <w:lang w:val="el" w:eastAsia="el"/>
        </w:rPr>
      </w:pPr>
      <w:r>
        <w:rPr>
          <w:b/>
          <w:bCs/>
          <w:lang w:val="el" w:eastAsia="el"/>
        </w:rPr>
        <w:t>8.</w:t>
      </w:r>
      <w:r>
        <w:rPr>
          <w:lang w:val="el" w:eastAsia="el"/>
        </w:rPr>
        <w:t xml:space="preserve"> Αν χορηγήθηκε απαλλαγή από το φόρο μεταβίβασης σύμφωνα με τις διατάξεις του παρόντος άρθρου, ενώ δεν συνέτρεχαν οι προϋποθέσεις, επιβάλλεται σε βάρος του αγοραστή, εκτός από τον αναλογούντα κύριο φόρο, και πρόσθετος φόρος που ορίζεται σε ποσοστό εκατό τοις εκατό (100%) επί του κυρίου φόρου. Ο κύριος φόρος υπολογίζεται με βάση την αξία του ακινήτου κατά το χρόνο διαπίστωσης της παράβασης με εφαρμογή των συντελεστών που ίσχυαν κατά το χρόνο χορήγησης της απαλλαγής, εκτός εάν ο φόρος που αναλογεί στην αξία του ακινήτου του χρόνου της απαλλαγής είναι μεγαλύτερος. Ο ανωτέρω πρόσθετος φόρος δεν μπορεί να μειωθεί κατά τις διατάξεις της παραγράφου 8 του άρθρου 2 του ν. 2523/1997 (ΦΕΚ 179 Α΄). Αν η αξία που έχει απαλλαγεί από το φόρο αποτελεί τμήμα της συνολικής αξίας του ακινήτου, ο κύριος και πρόσθετος φόρος επιβάλλεται με βάση το τμήμα αυτό, η αξία του οποίου εξευρίσκεται με βάση τη σχέση της αξίας που έχει απαλλαγεί προς τη συνολική αξία, κατά το χρόνο της απαλλαγής. Το δικαίωμα του Δημοσίου διά τον καταλογισμόν του κυρίου και προσθέτου φόρου του παρόντος παραγράφεται μετά πάροδον δέκα πέντε (15) ετών από του τέλους του έτους εντός του οποίου παρεσχέθη η απαλλαγή, έστω και αν η υπόθεσις επεραιώθη κατά τα εν παραγράφοις 2 και 3 του άρθρου 8 του διά του Ν. 1587/1950 κυρωθέντος Α.Ν. 1521/1950 "περί φόρου μεταβιβάσεως ακινήτων", ως ισχύει, οριζόμενα. </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9.</w:t>
      </w:r>
      <w:r>
        <w:rPr>
          <w:lang w:val="el" w:eastAsia="el"/>
        </w:rPr>
        <w:t xml:space="preserve"> Από της ενάρξεως ισχύος του παρόντος, επιφυλασσομένων των διατάξεων του δευτέρου εδαφίου της παρούσης παραγράφου, καταργείται πάσα διάταξις προβλέπουσα απαλλαγήν εκ του φόρου μεταβάσεως διά την αγοράν πρώτης κατοικίας ή οικοπέδου διά πρώτην κατοικίαν. Αι διατάξεις, περί απαλλαγής των μελών του Αυτονόμου Οικοδομικού Οργανισμού Αξιωματικών του Στρατού Ξηράς, Θαλάσσης και Αέρος, διά τα υπό τούτου μεταβιβαζόμενα προς αυτά ακίνητα, διατηρούνται εν ισχύι.</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10.</w:t>
      </w:r>
      <w:r>
        <w:rPr>
          <w:lang w:val="el" w:eastAsia="el"/>
        </w:rPr>
        <w:t xml:space="preserve"> Υπό τους όρους και τας προϋποθέσεις των παρ. 1 και 2 του παρόντος άρθρου, απαλλάσσονται του φόρου μεταβιβάσεως ακινήτων αι πωλήσεις ιδανικών μεριδίων οικίας κειμένης εις αγροτικήν περιοχήν απέχουσαν πέραν των χιλίων (1000) μέτρων από της θαλάσσης, υπό αδελφών μονίμως κατοικούντων εις αστικάς περιοχάς, προς τινα των συγκυρίων αδελφών των όστις τυγχάνει κατά κύριον επάγγελμα αγρότης και είναι μονίμως εγκατεστημένος εις την περιοχήν ένθα η αγοραζομένη οικία. </w:t>
      </w:r>
    </w:p>
    <w:p>
      <w:pPr>
        <w:spacing w:before="240" w:after="240"/>
        <w:rPr>
          <w:lang w:val="el" w:eastAsia="el"/>
        </w:rPr>
      </w:pPr>
      <w:r>
        <w:rPr>
          <w:lang w:val="el" w:eastAsia="el"/>
        </w:rPr>
        <w:t> Δια παν θέμα μη ρυθμιζόμενον υπό των διατάξεων του παρόντος άρθρου εφαρμόζονται αναλόγως αι διατάξεις του δια του Ν. 1587/1950 κυρωθέντος Α.Ν. 1521/1950 «περί φόρου μεταβιβάσεως ακινήτων». </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11.</w:t>
      </w:r>
      <w:r>
        <w:rPr>
          <w:lang w:val="el" w:eastAsia="el"/>
        </w:rPr>
        <w:t xml:space="preserve"> Δι' αποφάσεων του Υπουργού των Οικονομικών, δημοσιευομένων δια της Εφημερίδος της Κυβερνήσεως, καθορίζονται ο τρόπος διαπιστώσεως των προϋποθέσεων της κατά το παρόν άρθρον απαλλαγής και τα αναγκαιούντα προς τούτο δικαιολογητικά, ως και πάσα άλλη αναγκαία δια την εφαρμογήν αυτού λεπτομέρεια. </w:t>
      </w:r>
    </w:p>
    <w:p>
      <w:pPr>
        <w:pStyle w:val="MainText"/>
        <w:spacing w:before="120" w:after="0"/>
        <w:rPr>
          <w:lang w:val="el" w:eastAsia="el"/>
        </w:rPr>
      </w:pPr>
      <w:r>
        <w:rPr>
          <w:b/>
          <w:bCs/>
          <w:lang w:val="el" w:eastAsia="el"/>
        </w:rPr>
        <w:t>12.</w:t>
      </w:r>
      <w:r>
        <w:rPr>
          <w:lang w:val="el" w:eastAsia="el"/>
        </w:rPr>
        <w:t xml:space="preserve"> Η ισχύς των διατάξεων του παρόντος άρθρου άρχεται από 14 Ιουλίου 1980. </w:t>
      </w:r>
    </w:p>
    <w:p>
      <w:pPr>
        <w:pStyle w:val="MainText"/>
        <w:spacing w:before="120" w:after="0"/>
        <w:rPr>
          <w:lang w:val="el" w:eastAsia="el"/>
        </w:rPr>
      </w:pPr>
      <w:r>
        <w:rPr>
          <w:b/>
          <w:bCs/>
          <w:lang w:val="el" w:eastAsia="el"/>
        </w:rPr>
        <w:t>13.</w:t>
      </w:r>
      <w:r>
        <w:rPr>
          <w:lang w:val="el" w:eastAsia="el"/>
        </w:rPr>
        <w:t xml:space="preserve"> Οι διατάξεις του παρόντος άρθρου εφαρμόζονται και κατά την αγορά πρώτης κατοικίας από ενήλικους αγάμους, με εξαίρεση τα σπουδάζοντα τέκνα των προσώπων του πρώτου εδαφίου της παραγράφου 1 του ιδίου άρθρου. Στην περίπτωση αυτή η απαλλαγή παρέχεται για ποσό αγορα(ας αξίας οικίας ή διαμερίσματος μέχρι δύο εκατομμυρίων (2.000.000) δραχμών ή μέχρι επτακοσίων χιλιάδων (700.000) δραχμών προκειμένου για αγορά οικοπέδου.</w:t>
      </w:r>
    </w:p>
    <w:p>
      <w:pPr>
        <w:pStyle w:val="MainText"/>
        <w:spacing w:before="120" w:after="0"/>
        <w:rPr>
          <w:lang w:val="el" w:eastAsia="el"/>
        </w:rPr>
      </w:pPr>
      <w:r>
        <w:rPr>
          <w:b/>
          <w:bCs/>
          <w:lang w:val="el" w:eastAsia="el"/>
        </w:rPr>
        <w:t>13.</w:t>
      </w:r>
      <w:r>
        <w:rPr>
          <w:lang w:val="el" w:eastAsia="el"/>
        </w:rPr>
        <w:t xml:space="preserve"> Αν ο αγοραστής ή ο/η σύζυγος ή τα ανήλικα τέκνα τους έχουν δικαίωμα πλήρους κυριότητας ή επικαρπίας ή οίκησης σε κατοικία ή ιδανικό μερίδιο κατοικίας ή δικαίωμα πλήρους κυριότητας σε οικόπεδο ή ιδανικό μερίδιο οικοπέδου, θεωρείται ότι καλύπτονται οι κατά την παρ. 1 του άρθρου αυτού στεγαστικές ανάγκες, αν το συνολικό εμβαδόν των ανωτέρω ακινήτων είναι εβδομήντα (70) τ.μ., προσαυξανόμενα κατά είκοσι πέντε (25) τ.μ. για καθένα από τα δύο πρώτα τέκνα και κατά τριάντα (30) τ.μ. για το τρίτο και καθένα από τα επόμενα τέκνα, των οποίων την επιμέλεια έχει ο δικαιούχος.Κατ’ εξαίρεση οι στεγαστικές ανάγκες του αγοραστή με ποσοστό αναπηρίας τουλάχιστον εξήντα επτά τοις εκατό (67%) αυξάνονται σε ενενήντα (90) τ.μ..</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14.</w:t>
      </w:r>
      <w:r>
        <w:rPr>
          <w:lang w:val="el" w:eastAsia="el"/>
        </w:rPr>
        <w:t xml:space="preserve"> Τα πρόσωπα που έχουν συνάψει σύμφωνο συμβίωσης σύμφωνα με τις διατάξεις του ν. 3719/2008 (ΦΕΚ 241 Α΄) θεωρούνται σύζυγοι για την εφαρμογή του παρόντος, εφόσον το σύμφωνο έχει καταρτισθεί τουλάχιστον δύο (2) έτη πριν από την αγορά.</w:t>
      </w:r>
    </w:p>
    <w:p>
      <w:pPr>
        <w:spacing w:before="240" w:after="240"/>
        <w:rPr>
          <w:lang w:val="el" w:eastAsia="el"/>
        </w:rPr>
      </w:pPr>
      <w:r>
        <w:rPr>
          <w:lang w:val="el" w:eastAsia="el"/>
        </w:rPr>
        <w:t>Εν Αθήναις τη 7 Οκτωβρίου 1980 </w:t>
      </w:r>
    </w:p>
    <w:p>
      <w:pPr>
        <w:spacing w:before="240" w:after="240"/>
        <w:rPr>
          <w:lang w:val="el" w:eastAsia="el"/>
        </w:rPr>
      </w:pPr>
      <w:r>
        <w:rPr>
          <w:lang w:val="el" w:eastAsia="el"/>
        </w:rPr>
        <w:t>Ο ΠΡΟΕΔΡΟΣ ΤΗΣ ΔΗΜΟΚΡΑΤΙΑΣ </w:t>
      </w:r>
    </w:p>
    <w:p>
      <w:pPr>
        <w:spacing w:before="240" w:after="240"/>
        <w:rPr>
          <w:lang w:val="el" w:eastAsia="el"/>
        </w:rPr>
      </w:pPr>
      <w:r>
        <w:rPr>
          <w:lang w:val="el" w:eastAsia="el"/>
        </w:rPr>
        <w:t>ΚΩΝΣΤΑΝΤΙΝΟΣ Γ. ΚΑΡΑΜΑΝΛΗΣ </w:t>
      </w:r>
    </w:p>
    <w:p>
      <w:pPr>
        <w:spacing w:before="240" w:after="240"/>
        <w:rPr>
          <w:lang w:val="el" w:eastAsia="el"/>
        </w:rPr>
      </w:pPr>
      <w:r>
        <w:rPr>
          <w:lang w:val="el" w:eastAsia="el"/>
        </w:rPr>
        <w:t>Ο ΥΠΟΥΡΓΟΣ ΟΙΚΟΝΟΜΙΚΩΝ  </w:t>
      </w:r>
    </w:p>
    <w:p>
      <w:pPr>
        <w:spacing w:before="240" w:after="240"/>
        <w:rPr>
          <w:lang w:val="el" w:eastAsia="el"/>
        </w:rPr>
      </w:pPr>
      <w:r>
        <w:rPr>
          <w:lang w:val="el" w:eastAsia="el"/>
        </w:rPr>
        <w:t>ΜΙΛΤΙΑΔΗΣ ΕΒΕΡΤ </w:t>
      </w:r>
    </w:p>
    <w:p>
      <w:pPr>
        <w:spacing w:before="240" w:after="240"/>
        <w:rPr>
          <w:lang w:val="el" w:eastAsia="el"/>
        </w:rPr>
      </w:pPr>
      <w:r>
        <w:rPr>
          <w:lang w:val="el" w:eastAsia="el"/>
        </w:rPr>
        <w:t>Εθεωρήθη και ετέθη η μεγάλη του Κράτους σφραγίς. </w:t>
      </w:r>
    </w:p>
    <w:p>
      <w:pPr>
        <w:spacing w:before="240" w:after="240"/>
        <w:rPr>
          <w:lang w:val="el" w:eastAsia="el"/>
        </w:rPr>
      </w:pPr>
      <w:r>
        <w:rPr>
          <w:lang w:val="el" w:eastAsia="el"/>
        </w:rPr>
        <w:t>Εν Αθήναις τη 9 Οκτωβρίου 1980 </w:t>
      </w:r>
    </w:p>
    <w:p>
      <w:pPr>
        <w:spacing w:before="240" w:after="240"/>
        <w:rPr>
          <w:lang w:val="el" w:eastAsia="el"/>
        </w:rPr>
      </w:pPr>
      <w:r>
        <w:rPr>
          <w:lang w:val="el" w:eastAsia="el"/>
        </w:rPr>
        <w:t>Ο ΕΠΙ ΤΗΣ ΔΙΚΑΙΟΣΥΝΗΣ ΥΠΟΥΡΓΟΣ </w:t>
      </w:r>
    </w:p>
    <w:p>
      <w:pPr>
        <w:spacing w:before="240" w:after="240"/>
        <w:rPr>
          <w:lang w:val="el" w:eastAsia="el"/>
        </w:rPr>
      </w:pPr>
      <w:r>
        <w:rPr>
          <w:lang w:val="el" w:eastAsia="el"/>
        </w:rPr>
        <w:t>ΓΕΩΡΓΙΟΣ ΣΤΑΜΑΤΗΣ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1" w:history="1">
        <w:r>
          <w:rPr>
            <w:rStyle w:val="Hyperlink"/>
            <w:color w:val="0000EE"/>
            <w:u w:color="0000EE"/>
            <w:lang w:val="el" w:eastAsia="el"/>
          </w:rPr>
          <w:t>Τροποποίηση 3842/2010, Άρθρο 21</w:t>
        </w:r>
      </w:hyperlink>
      <w:r>
        <w:rPr>
          <w:lang w:val="el" w:eastAsia="el"/>
        </w:rPr>
        <w:t xml:space="preserve">; </w:t>
      </w:r>
      <w:hyperlink r:id="rId2" w:anchor="art_3" w:history="1">
        <w:r>
          <w:rPr>
            <w:rStyle w:val="Hyperlink"/>
            <w:color w:val="0000EE"/>
            <w:u w:color="0000EE"/>
            <w:lang w:val="el" w:eastAsia="el"/>
          </w:rPr>
          <w:t>Τροποποίηση 3634/2008, Άρθρο 3</w:t>
        </w:r>
      </w:hyperlink>
      <w:r>
        <w:rPr>
          <w:lang w:val="el" w:eastAsia="el"/>
        </w:rPr>
        <w:t xml:space="preserve">; </w:t>
      </w:r>
      <w:hyperlink r:id="rId3" w:anchor="art_35" w:history="1">
        <w:r>
          <w:rPr>
            <w:rStyle w:val="Hyperlink"/>
            <w:color w:val="0000EE"/>
            <w:u w:color="0000EE"/>
            <w:lang w:val="el" w:eastAsia="el"/>
          </w:rPr>
          <w:t>Τροποποίηση 3220/2004, Άρθρο 35</w:t>
        </w:r>
      </w:hyperlink>
      <w:r>
        <w:rPr>
          <w:lang w:val="el" w:eastAsia="el"/>
        </w:rPr>
        <w:t xml:space="preserve">; </w:t>
      </w:r>
      <w:hyperlink r:id="rId4" w:anchor="art_2" w:history="1">
        <w:r>
          <w:rPr>
            <w:rStyle w:val="Hyperlink"/>
            <w:color w:val="0000EE"/>
            <w:u w:color="0000EE"/>
            <w:lang w:val="el" w:eastAsia="el"/>
          </w:rPr>
          <w:t>Τροποποίηση 2892/2001, Άρθρο 2</w:t>
        </w:r>
      </w:hyperlink>
      <w:r>
        <w:rPr>
          <w:lang w:val="el" w:eastAsia="el"/>
        </w:rPr>
        <w:t xml:space="preserve">; </w:t>
      </w:r>
      <w:hyperlink r:id="rId5" w:anchor="art_13" w:history="1">
        <w:r>
          <w:rPr>
            <w:rStyle w:val="Hyperlink"/>
            <w:color w:val="0000EE"/>
            <w:u w:color="0000EE"/>
            <w:lang w:val="el" w:eastAsia="el"/>
          </w:rPr>
          <w:t>Τροποποίηση 2753/1999, Άρθρο 13</w:t>
        </w:r>
      </w:hyperlink>
      <w:r>
        <w:rPr>
          <w:lang w:val="el" w:eastAsia="el"/>
        </w:rPr>
        <w:t xml:space="preserve">; </w:t>
      </w:r>
      <w:hyperlink r:id="rId6" w:anchor="art_14" w:history="1">
        <w:r>
          <w:rPr>
            <w:rStyle w:val="Hyperlink"/>
            <w:color w:val="0000EE"/>
            <w:u w:color="0000EE"/>
            <w:lang w:val="el" w:eastAsia="el"/>
          </w:rPr>
          <w:t>Τροποποίηση 2579/1998, Άρθρο 14</w:t>
        </w:r>
      </w:hyperlink>
      <w:r>
        <w:rPr>
          <w:lang w:val="el" w:eastAsia="el"/>
        </w:rPr>
        <w:t xml:space="preserve">; </w:t>
      </w:r>
      <w:hyperlink r:id="rId7" w:anchor="art_10" w:history="1">
        <w:r>
          <w:rPr>
            <w:rStyle w:val="Hyperlink"/>
            <w:color w:val="0000EE"/>
            <w:u w:color="0000EE"/>
            <w:lang w:val="el" w:eastAsia="el"/>
          </w:rPr>
          <w:t>Τροποποίηση 2386/1996, Άρθρο 10</w:t>
        </w:r>
      </w:hyperlink>
      <w:r>
        <w:rPr>
          <w:lang w:val="el" w:eastAsia="el"/>
        </w:rPr>
        <w:t xml:space="preserve">; </w:t>
      </w:r>
      <w:hyperlink r:id="rId8" w:anchor="art_45" w:history="1">
        <w:r>
          <w:rPr>
            <w:rStyle w:val="Hyperlink"/>
            <w:color w:val="0000EE"/>
            <w:u w:color="0000EE"/>
            <w:lang w:val="el" w:eastAsia="el"/>
          </w:rPr>
          <w:t>Τροποποίηση 2214/1994, Άρθρο 45</w:t>
        </w:r>
      </w:hyperlink>
      <w:r>
        <w:rPr>
          <w:lang w:val="el" w:eastAsia="el"/>
        </w:rPr>
        <w:t xml:space="preserve">; </w:t>
      </w:r>
      <w:hyperlink r:id="rId9" w:anchor="art_33" w:history="1">
        <w:r>
          <w:rPr>
            <w:rStyle w:val="Hyperlink"/>
            <w:color w:val="0000EE"/>
            <w:u w:color="0000EE"/>
            <w:lang w:val="el" w:eastAsia="el"/>
          </w:rPr>
          <w:t>Τροποποίηση 2065/1992, Άρθρο 33</w:t>
        </w:r>
      </w:hyperlink>
      <w:r>
        <w:rPr>
          <w:lang w:val="el" w:eastAsia="el"/>
        </w:rPr>
        <w:t xml:space="preserve">; </w:t>
      </w:r>
      <w:hyperlink r:id="rId10" w:anchor="art_14" w:history="1">
        <w:r>
          <w:rPr>
            <w:rStyle w:val="Hyperlink"/>
            <w:color w:val="0000EE"/>
            <w:u w:color="0000EE"/>
            <w:lang w:val="el" w:eastAsia="el"/>
          </w:rPr>
          <w:t>Τροποποίηση 1882/1990, Άρθρο 14</w:t>
        </w:r>
      </w:hyperlink>
      <w:r>
        <w:rPr>
          <w:lang w:val="el" w:eastAsia="el"/>
        </w:rPr>
        <w:t xml:space="preserve">; </w:t>
      </w:r>
      <w:hyperlink r:id="rId11" w:anchor="art_20" w:history="1">
        <w:r>
          <w:rPr>
            <w:rStyle w:val="Hyperlink"/>
            <w:color w:val="0000EE"/>
            <w:u w:color="0000EE"/>
            <w:lang w:val="el" w:eastAsia="el"/>
          </w:rPr>
          <w:t>Τροποποίηση 1731/1987, Άρθρο 20</w:t>
        </w:r>
      </w:hyperlink>
      <w:r>
        <w:rPr>
          <w:lang w:val="el" w:eastAsia="el"/>
        </w:rPr>
        <w:t xml:space="preserve">; </w:t>
      </w:r>
      <w:hyperlink r:id="rId12" w:anchor="art_14" w:history="1">
        <w:r>
          <w:rPr>
            <w:rStyle w:val="Hyperlink"/>
            <w:color w:val="0000EE"/>
            <w:u w:color="0000EE"/>
            <w:lang w:val="el" w:eastAsia="el"/>
          </w:rPr>
          <w:t>Τροποποίηση 1473/1984, Άρθρο 14</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21" w:history="1">
        <w:r>
          <w:rPr>
            <w:rStyle w:val="Hyperlink"/>
            <w:color w:val="0000EE"/>
            <w:u w:color="0000EE"/>
            <w:lang w:val="el" w:eastAsia="el"/>
          </w:rPr>
          <w:t>Τροποποίηση 3842/2010, Άρθρο 21</w:t>
        </w:r>
      </w:hyperlink>
      <w:r>
        <w:rPr>
          <w:lang w:val="el" w:eastAsia="el"/>
        </w:rPr>
        <w:t xml:space="preserve">; </w:t>
      </w:r>
      <w:hyperlink r:id="rId14" w:anchor="art_3" w:history="1">
        <w:r>
          <w:rPr>
            <w:rStyle w:val="Hyperlink"/>
            <w:color w:val="0000EE"/>
            <w:u w:color="0000EE"/>
            <w:lang w:val="el" w:eastAsia="el"/>
          </w:rPr>
          <w:t>Τροποποίηση 3634/2008, Άρθρο 3</w:t>
        </w:r>
      </w:hyperlink>
      <w:r>
        <w:rPr>
          <w:lang w:val="el" w:eastAsia="el"/>
        </w:rPr>
        <w:t xml:space="preserve">; </w:t>
      </w:r>
      <w:hyperlink r:id="rId15" w:anchor="art_5" w:history="1">
        <w:r>
          <w:rPr>
            <w:rStyle w:val="Hyperlink"/>
            <w:color w:val="0000EE"/>
            <w:u w:color="0000EE"/>
            <w:lang w:val="el" w:eastAsia="el"/>
          </w:rPr>
          <w:t>Τροποποίηση 3554/2007, Άρθρο 5</w:t>
        </w:r>
      </w:hyperlink>
      <w:r>
        <w:rPr>
          <w:lang w:val="el" w:eastAsia="el"/>
        </w:rPr>
        <w:t xml:space="preserve">; </w:t>
      </w:r>
      <w:hyperlink r:id="rId16" w:anchor="art_21" w:history="1">
        <w:r>
          <w:rPr>
            <w:rStyle w:val="Hyperlink"/>
            <w:color w:val="0000EE"/>
            <w:u w:color="0000EE"/>
            <w:lang w:val="el" w:eastAsia="el"/>
          </w:rPr>
          <w:t>Τροποποίηση 3427/2005, Άρθρο 21</w:t>
        </w:r>
      </w:hyperlink>
      <w:r>
        <w:rPr>
          <w:lang w:val="el" w:eastAsia="el"/>
        </w:rPr>
        <w:t xml:space="preserve">; </w:t>
      </w:r>
      <w:hyperlink r:id="rId17" w:anchor="art_10" w:history="1">
        <w:r>
          <w:rPr>
            <w:rStyle w:val="Hyperlink"/>
            <w:color w:val="0000EE"/>
            <w:u w:color="0000EE"/>
            <w:lang w:val="el" w:eastAsia="el"/>
          </w:rPr>
          <w:t>Τροποποίηση 3091/2002, Άρθρο 10</w:t>
        </w:r>
      </w:hyperlink>
      <w:r>
        <w:rPr>
          <w:lang w:val="el" w:eastAsia="el"/>
        </w:rPr>
        <w:t xml:space="preserve">; </w:t>
      </w:r>
      <w:hyperlink r:id="rId18" w:anchor="art_13" w:history="1">
        <w:r>
          <w:rPr>
            <w:rStyle w:val="Hyperlink"/>
            <w:color w:val="0000EE"/>
            <w:u w:color="0000EE"/>
            <w:lang w:val="el" w:eastAsia="el"/>
          </w:rPr>
          <w:t>Τροποποίηση 2948/2001, Άρθρο 13</w:t>
        </w:r>
      </w:hyperlink>
      <w:r>
        <w:rPr>
          <w:lang w:val="el" w:eastAsia="el"/>
        </w:rPr>
        <w:t xml:space="preserve">; </w:t>
      </w:r>
      <w:hyperlink r:id="rId19" w:anchor="art_2" w:history="1">
        <w:r>
          <w:rPr>
            <w:rStyle w:val="Hyperlink"/>
            <w:color w:val="0000EE"/>
            <w:u w:color="0000EE"/>
            <w:lang w:val="el" w:eastAsia="el"/>
          </w:rPr>
          <w:t>Τροποποίηση 2892/2001, Άρθρο 2</w:t>
        </w:r>
      </w:hyperlink>
      <w:r>
        <w:rPr>
          <w:lang w:val="el" w:eastAsia="el"/>
        </w:rPr>
        <w:t xml:space="preserve">; </w:t>
      </w:r>
      <w:hyperlink r:id="rId20" w:anchor="art_2" w:history="1">
        <w:r>
          <w:rPr>
            <w:rStyle w:val="Hyperlink"/>
            <w:color w:val="0000EE"/>
            <w:u w:color="0000EE"/>
            <w:lang w:val="el" w:eastAsia="el"/>
          </w:rPr>
          <w:t>Τροποποίηση 2873/2000, Άρθρο 2</w:t>
        </w:r>
      </w:hyperlink>
      <w:r>
        <w:rPr>
          <w:lang w:val="el" w:eastAsia="el"/>
        </w:rPr>
        <w:t xml:space="preserve">; </w:t>
      </w:r>
      <w:hyperlink r:id="rId21" w:anchor="art_33" w:history="1">
        <w:r>
          <w:rPr>
            <w:rStyle w:val="Hyperlink"/>
            <w:color w:val="0000EE"/>
            <w:u w:color="0000EE"/>
            <w:lang w:val="el" w:eastAsia="el"/>
          </w:rPr>
          <w:t>Τροποποίηση 2065/1992, Άρθρο 33</w:t>
        </w:r>
      </w:hyperlink>
      <w:r>
        <w:rPr>
          <w:lang w:val="el" w:eastAsia="el"/>
        </w:rPr>
        <w:t xml:space="preserve">; </w:t>
      </w:r>
      <w:hyperlink r:id="rId22" w:anchor="art_14" w:history="1">
        <w:r>
          <w:rPr>
            <w:rStyle w:val="Hyperlink"/>
            <w:color w:val="0000EE"/>
            <w:u w:color="0000EE"/>
            <w:lang w:val="el" w:eastAsia="el"/>
          </w:rPr>
          <w:t>Τροποποίηση 1882/1990, Άρθρο 14</w:t>
        </w:r>
      </w:hyperlink>
      <w:r>
        <w:rPr>
          <w:lang w:val="el" w:eastAsia="el"/>
        </w:rPr>
        <w:t xml:space="preserve">; </w:t>
      </w:r>
      <w:hyperlink r:id="rId23" w:anchor="art_24" w:history="1">
        <w:r>
          <w:rPr>
            <w:rStyle w:val="Hyperlink"/>
            <w:color w:val="0000EE"/>
            <w:u w:color="0000EE"/>
            <w:lang w:val="el" w:eastAsia="el"/>
          </w:rPr>
          <w:t>Τροποποίηση 1828/1989, Άρθρο 24</w:t>
        </w:r>
      </w:hyperlink>
      <w:r>
        <w:rPr>
          <w:lang w:val="el" w:eastAsia="el"/>
        </w:rPr>
        <w:t xml:space="preserve">; </w:t>
      </w:r>
      <w:hyperlink r:id="rId24" w:anchor="art_20" w:history="1">
        <w:r>
          <w:rPr>
            <w:rStyle w:val="Hyperlink"/>
            <w:color w:val="0000EE"/>
            <w:u w:color="0000EE"/>
            <w:lang w:val="el" w:eastAsia="el"/>
          </w:rPr>
          <w:t>Τροποποίηση 1731/1987, Άρθρο 20</w:t>
        </w:r>
      </w:hyperlink>
      <w:r>
        <w:rPr>
          <w:lang w:val="el" w:eastAsia="el"/>
        </w:rPr>
        <w:t xml:space="preserve">; </w:t>
      </w:r>
      <w:hyperlink r:id="rId25" w:anchor="art_14" w:history="1">
        <w:r>
          <w:rPr>
            <w:rStyle w:val="Hyperlink"/>
            <w:color w:val="0000EE"/>
            <w:u w:color="0000EE"/>
            <w:lang w:val="el" w:eastAsia="el"/>
          </w:rPr>
          <w:t>Τροποποίηση 1591/1986, Άρθρο 14</w:t>
        </w:r>
      </w:hyperlink>
      <w:r>
        <w:rPr>
          <w:lang w:val="el" w:eastAsia="el"/>
        </w:rPr>
        <w:t xml:space="preserve">; </w:t>
      </w:r>
      <w:hyperlink r:id="rId26" w:anchor="art_18" w:history="1">
        <w:r>
          <w:rPr>
            <w:rStyle w:val="Hyperlink"/>
            <w:color w:val="0000EE"/>
            <w:u w:color="0000EE"/>
            <w:lang w:val="el" w:eastAsia="el"/>
          </w:rPr>
          <w:t>Τροποποίηση 1563/1985, Άρθρο 18</w:t>
        </w:r>
      </w:hyperlink>
      <w:r>
        <w:rPr>
          <w:lang w:val="el" w:eastAsia="el"/>
        </w:rPr>
        <w:t xml:space="preserve">; </w:t>
      </w:r>
      <w:hyperlink r:id="rId27" w:anchor="art_14" w:history="1">
        <w:r>
          <w:rPr>
            <w:rStyle w:val="Hyperlink"/>
            <w:color w:val="0000EE"/>
            <w:u w:color="0000EE"/>
            <w:lang w:val="el" w:eastAsia="el"/>
          </w:rPr>
          <w:t>Τροποποίηση 1160/1981, Άρθρο 14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321" w:history="1">
        <w:r>
          <w:rPr>
            <w:rStyle w:val="Hyperlink"/>
            <w:color w:val="0000EE"/>
            <w:u w:color="0000EE"/>
            <w:lang w:val="el" w:eastAsia="el"/>
          </w:rPr>
          <w:t>Τροποποίηση 4072/2012, Άρθρο 321</w:t>
        </w:r>
      </w:hyperlink>
      <w:r>
        <w:rPr>
          <w:lang w:val="el" w:eastAsia="el"/>
        </w:rPr>
        <w:t xml:space="preserve">; </w:t>
      </w:r>
      <w:hyperlink r:id="rId29" w:anchor="art_23" w:history="1">
        <w:r>
          <w:rPr>
            <w:rStyle w:val="Hyperlink"/>
            <w:color w:val="0000EE"/>
            <w:u w:color="0000EE"/>
            <w:lang w:val="el" w:eastAsia="el"/>
          </w:rPr>
          <w:t>Τροποποίηση 3943/2011, Άρθρο 23</w:t>
        </w:r>
      </w:hyperlink>
      <w:r>
        <w:rPr>
          <w:lang w:val="el" w:eastAsia="el"/>
        </w:rPr>
        <w:t xml:space="preserve">; </w:t>
      </w:r>
      <w:hyperlink r:id="rId30" w:anchor="art_21" w:history="1">
        <w:r>
          <w:rPr>
            <w:rStyle w:val="Hyperlink"/>
            <w:color w:val="0000EE"/>
            <w:u w:color="0000EE"/>
            <w:lang w:val="el" w:eastAsia="el"/>
          </w:rPr>
          <w:t>Τροποποίηση 3842/2010, Άρθρο 21</w:t>
        </w:r>
      </w:hyperlink>
      <w:r>
        <w:rPr>
          <w:lang w:val="el" w:eastAsia="el"/>
        </w:rPr>
        <w:t xml:space="preserve">; </w:t>
      </w:r>
      <w:hyperlink r:id="rId31" w:anchor="art_2" w:history="1">
        <w:r>
          <w:rPr>
            <w:rStyle w:val="Hyperlink"/>
            <w:color w:val="0000EE"/>
            <w:u w:color="0000EE"/>
            <w:lang w:val="el" w:eastAsia="el"/>
          </w:rPr>
          <w:t>Προσθήκη 2892/2001, Άρθρο 2</w:t>
        </w:r>
      </w:hyperlink>
      <w:r>
        <w:rPr>
          <w:lang w:val="el" w:eastAsia="el"/>
        </w:rPr>
        <w:t xml:space="preserve">; </w:t>
      </w:r>
      <w:hyperlink r:id="rId32" w:anchor="art_18" w:history="1">
        <w:r>
          <w:rPr>
            <w:rStyle w:val="Hyperlink"/>
            <w:color w:val="0000EE"/>
            <w:u w:color="0000EE"/>
            <w:lang w:val="el" w:eastAsia="el"/>
          </w:rPr>
          <w:t>Αφαίρεση 1563/1985, Άρθρο 18</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21" w:history="1">
        <w:r>
          <w:rPr>
            <w:rStyle w:val="Hyperlink"/>
            <w:color w:val="0000EE"/>
            <w:u w:color="0000EE"/>
            <w:lang w:val="el" w:eastAsia="el"/>
          </w:rPr>
          <w:t>Τροποποίηση 3842/2010, Άρθρο 21</w:t>
        </w:r>
      </w:hyperlink>
      <w:r>
        <w:rPr>
          <w:lang w:val="el" w:eastAsia="el"/>
        </w:rPr>
        <w:t xml:space="preserve">; </w:t>
      </w:r>
      <w:hyperlink r:id="rId34" w:anchor="art_14" w:history="1">
        <w:r>
          <w:rPr>
            <w:rStyle w:val="Hyperlink"/>
            <w:color w:val="0000EE"/>
            <w:u w:color="0000EE"/>
            <w:lang w:val="el" w:eastAsia="el"/>
          </w:rPr>
          <w:t>Τροποποίηση 1473/1984, Άρθρο 14</w:t>
        </w:r>
      </w:hyperlink>
      <w:r>
        <w:rPr>
          <w:lang w:val="el" w:eastAsia="el"/>
        </w:rPr>
        <w:t xml:space="preserve">; </w:t>
      </w:r>
      <w:hyperlink r:id="rId35" w:anchor="art_7" w:history="1">
        <w:r>
          <w:rPr>
            <w:rStyle w:val="Hyperlink"/>
            <w:color w:val="0000EE"/>
            <w:u w:color="0000EE"/>
            <w:lang w:val="el" w:eastAsia="el"/>
          </w:rPr>
          <w:t>Τροποποίηση 1160/1981, Άρθρο 7</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10" w:history="1">
        <w:r>
          <w:rPr>
            <w:rStyle w:val="Hyperlink"/>
            <w:color w:val="0000EE"/>
            <w:u w:color="0000EE"/>
            <w:lang w:val="el" w:eastAsia="el"/>
          </w:rPr>
          <w:t>Τροποποίηση 3091/2002, Άρθρο 10</w:t>
        </w:r>
      </w:hyperlink>
      <w:r>
        <w:rPr>
          <w:lang w:val="el" w:eastAsia="el"/>
        </w:rPr>
        <w:t xml:space="preserve">; </w:t>
      </w:r>
      <w:hyperlink r:id="rId37" w:anchor="art_2" w:history="1">
        <w:r>
          <w:rPr>
            <w:rStyle w:val="Hyperlink"/>
            <w:color w:val="0000EE"/>
            <w:u w:color="0000EE"/>
            <w:lang w:val="el" w:eastAsia="el"/>
          </w:rPr>
          <w:t>Τροποποίηση 2892/2001, Άρθρο 2</w:t>
        </w:r>
      </w:hyperlink>
      <w:r>
        <w:rPr>
          <w:lang w:val="el" w:eastAsia="el"/>
        </w:rPr>
        <w:t xml:space="preserve">; </w:t>
      </w:r>
      <w:hyperlink r:id="rId38" w:anchor="art_33" w:history="1">
        <w:r>
          <w:rPr>
            <w:rStyle w:val="Hyperlink"/>
            <w:color w:val="0000EE"/>
            <w:u w:color="0000EE"/>
            <w:lang w:val="el" w:eastAsia="el"/>
          </w:rPr>
          <w:t>Τροποποίηση 2065/1992, Άρθρο 33</w:t>
        </w:r>
      </w:hyperlink>
      <w:r>
        <w:rPr>
          <w:lang w:val="el" w:eastAsia="el"/>
        </w:rPr>
        <w:t xml:space="preserve">; </w:t>
      </w:r>
      <w:hyperlink r:id="rId39" w:anchor="art_24" w:history="1">
        <w:r>
          <w:rPr>
            <w:rStyle w:val="Hyperlink"/>
            <w:color w:val="0000EE"/>
            <w:u w:color="0000EE"/>
            <w:lang w:val="el" w:eastAsia="el"/>
          </w:rPr>
          <w:t>Τροποποίηση 1828/1989, Άρθρο 24</w:t>
        </w:r>
      </w:hyperlink>
      <w:r>
        <w:rPr>
          <w:lang w:val="el" w:eastAsia="el"/>
        </w:rPr>
        <w:t xml:space="preserve">; </w:t>
      </w:r>
      <w:hyperlink r:id="rId40" w:anchor="art_14" w:history="1">
        <w:r>
          <w:rPr>
            <w:rStyle w:val="Hyperlink"/>
            <w:color w:val="0000EE"/>
            <w:u w:color="0000EE"/>
            <w:lang w:val="el" w:eastAsia="el"/>
          </w:rPr>
          <w:t>Τροποποίηση 1591/1986, Άρθρο 14</w:t>
        </w:r>
      </w:hyperlink>
      <w:r>
        <w:rPr>
          <w:lang w:val="el" w:eastAsia="el"/>
        </w:rPr>
        <w:t xml:space="preserve">; </w:t>
      </w:r>
      <w:hyperlink r:id="rId41" w:anchor="art_14" w:history="1">
        <w:r>
          <w:rPr>
            <w:rStyle w:val="Hyperlink"/>
            <w:color w:val="0000EE"/>
            <w:u w:color="0000EE"/>
            <w:lang w:val="el" w:eastAsia="el"/>
          </w:rPr>
          <w:t>Τροποποίηση 1160/1981, Άρθρο 14</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21" w:history="1">
        <w:r>
          <w:rPr>
            <w:rStyle w:val="Hyperlink"/>
            <w:color w:val="0000EE"/>
            <w:u w:color="0000EE"/>
            <w:lang w:val="el" w:eastAsia="el"/>
          </w:rPr>
          <w:t>Τροποποίηση 3842/2010, Άρθρο 21</w:t>
        </w:r>
      </w:hyperlink>
      <w:r>
        <w:rPr>
          <w:lang w:val="el" w:eastAsia="el"/>
        </w:rPr>
        <w:t xml:space="preserve">; </w:t>
      </w:r>
      <w:hyperlink r:id="rId43" w:anchor="art_20" w:history="1">
        <w:r>
          <w:rPr>
            <w:rStyle w:val="Hyperlink"/>
            <w:color w:val="0000EE"/>
            <w:u w:color="0000EE"/>
            <w:lang w:val="el" w:eastAsia="el"/>
          </w:rPr>
          <w:t>Τροποποίηση 1731/1987, Άρθρο 20</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23" w:history="1">
        <w:r>
          <w:rPr>
            <w:rStyle w:val="Hyperlink"/>
            <w:color w:val="0000EE"/>
            <w:u w:color="0000EE"/>
            <w:lang w:val="el" w:eastAsia="el"/>
          </w:rPr>
          <w:t>Τροποποίηση 3943/2011, Άρθρο 23</w:t>
        </w:r>
      </w:hyperlink>
      <w:r>
        <w:rPr>
          <w:lang w:val="el" w:eastAsia="el"/>
        </w:rPr>
        <w:t xml:space="preserve">; </w:t>
      </w:r>
      <w:hyperlink r:id="rId45" w:anchor="art_35" w:history="1">
        <w:r>
          <w:rPr>
            <w:rStyle w:val="Hyperlink"/>
            <w:color w:val="0000EE"/>
            <w:u w:color="0000EE"/>
            <w:lang w:val="el" w:eastAsia="el"/>
          </w:rPr>
          <w:t>Τροποποίηση 3220/2004, Άρθρο 35</w:t>
        </w:r>
      </w:hyperlink>
      <w:r>
        <w:rPr>
          <w:lang w:val="el" w:eastAsia="el"/>
        </w:rPr>
        <w:t xml:space="preserve">; </w:t>
      </w:r>
      <w:hyperlink r:id="rId46" w:anchor="art_2" w:history="1">
        <w:r>
          <w:rPr>
            <w:rStyle w:val="Hyperlink"/>
            <w:color w:val="0000EE"/>
            <w:u w:color="0000EE"/>
            <w:lang w:val="el" w:eastAsia="el"/>
          </w:rPr>
          <w:t>Τροποποίηση 2892/2001, Άρθρο 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3" w:history="1">
        <w:r>
          <w:rPr>
            <w:rStyle w:val="Hyperlink"/>
            <w:color w:val="0000EE"/>
            <w:u w:color="0000EE"/>
            <w:lang w:val="el" w:eastAsia="el"/>
          </w:rPr>
          <w:t>Τροποποίηση 3634/2008, Άρθρο 3</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18" w:history="1">
        <w:r>
          <w:rPr>
            <w:rStyle w:val="Hyperlink"/>
            <w:color w:val="0000EE"/>
            <w:u w:color="0000EE"/>
            <w:lang w:val="el" w:eastAsia="el"/>
          </w:rPr>
          <w:t>Τροποποίηση 1563/1985, Άρθρο 18</w:t>
        </w:r>
      </w:hyperlink>
      <w:r>
        <w:rPr>
          <w:lang w:val="el" w:eastAsia="el"/>
        </w:rPr>
        <w:t xml:space="preserve">; </w:t>
      </w:r>
      <w:hyperlink r:id="rId49" w:anchor="art_7" w:history="1">
        <w:r>
          <w:rPr>
            <w:rStyle w:val="Hyperlink"/>
            <w:color w:val="0000EE"/>
            <w:u w:color="0000EE"/>
            <w:lang w:val="el" w:eastAsia="el"/>
          </w:rPr>
          <w:t>Τροποποίηση 1160/1981, Άρθρο 7</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21" w:history="1">
        <w:r>
          <w:rPr>
            <w:rStyle w:val="Hyperlink"/>
            <w:color w:val="0000EE"/>
            <w:u w:color="0000EE"/>
            <w:lang w:val="el" w:eastAsia="el"/>
          </w:rPr>
          <w:t>Τροποποίηση 3842/2010, Άρθρο 21</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301" w:history="1">
        <w:r>
          <w:rPr>
            <w:rStyle w:val="Hyperlink"/>
            <w:color w:val="0000EE"/>
            <w:u w:color="0000EE"/>
            <w:lang w:val="el" w:eastAsia="el"/>
          </w:rPr>
          <w:t>Τροποποίηση 4738/2020, Άρθρο 301</w:t>
        </w:r>
      </w:hyperlink>
      <w:r>
        <w:rPr>
          <w:lang w:val="el" w:eastAsia="el"/>
        </w:rPr>
        <w:t xml:space="preserve">; </w:t>
      </w:r>
      <w:hyperlink r:id="rId52" w:anchor="art_16" w:history="1">
        <w:r>
          <w:rPr>
            <w:rStyle w:val="Hyperlink"/>
            <w:color w:val="0000EE"/>
            <w:u w:color="0000EE"/>
            <w:lang w:val="el" w:eastAsia="el"/>
          </w:rPr>
          <w:t>Τροποποίηση 3522/2006, Άρθρο 16</w:t>
        </w:r>
      </w:hyperlink>
      <w:r>
        <w:rPr>
          <w:lang w:val="el" w:eastAsia="el"/>
        </w:rPr>
        <w:t xml:space="preserve">; </w:t>
      </w:r>
      <w:hyperlink r:id="rId53" w:anchor="art_10" w:history="1">
        <w:r>
          <w:rPr>
            <w:rStyle w:val="Hyperlink"/>
            <w:color w:val="0000EE"/>
            <w:u w:color="0000EE"/>
            <w:lang w:val="el" w:eastAsia="el"/>
          </w:rPr>
          <w:t>Τροποποίηση 3091/2002, Άρθρο 10</w:t>
        </w:r>
      </w:hyperlink>
      <w:r>
        <w:rPr>
          <w:lang w:val="el" w:eastAsia="el"/>
        </w:rPr>
        <w:t xml:space="preserve">; </w:t>
      </w:r>
      <w:hyperlink r:id="rId54" w:anchor="art_2" w:history="1">
        <w:r>
          <w:rPr>
            <w:rStyle w:val="Hyperlink"/>
            <w:color w:val="0000EE"/>
            <w:u w:color="0000EE"/>
            <w:lang w:val="el" w:eastAsia="el"/>
          </w:rPr>
          <w:t>Τροποποίηση 2873/2000, Άρθρο 2</w:t>
        </w:r>
      </w:hyperlink>
      <w:r>
        <w:rPr>
          <w:lang w:val="el" w:eastAsia="el"/>
        </w:rPr>
        <w:t xml:space="preserve">; </w:t>
      </w:r>
      <w:hyperlink r:id="rId55" w:anchor="art_14" w:history="1">
        <w:r>
          <w:rPr>
            <w:rStyle w:val="Hyperlink"/>
            <w:color w:val="0000EE"/>
            <w:u w:color="0000EE"/>
            <w:lang w:val="el" w:eastAsia="el"/>
          </w:rPr>
          <w:t>Τροποποίηση 1882/1990, Άρθρο 14</w:t>
        </w:r>
      </w:hyperlink>
      <w:r>
        <w:rPr>
          <w:lang w:val="el" w:eastAsia="el"/>
        </w:rPr>
        <w:t xml:space="preserve">; </w:t>
      </w:r>
      <w:hyperlink r:id="rId56" w:anchor="art_14" w:history="1">
        <w:r>
          <w:rPr>
            <w:rStyle w:val="Hyperlink"/>
            <w:color w:val="0000EE"/>
            <w:u w:color="0000EE"/>
            <w:lang w:val="el" w:eastAsia="el"/>
          </w:rPr>
          <w:t>Προσθήκη 1591/1986, Άρθρο 14</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0/04/23/3842" TargetMode="External" /><Relationship Id="rId10" Type="http://schemas.openxmlformats.org/officeDocument/2006/relationships/hyperlink" Target="http://data.aade.gr/eli/pri/law/1990/03/23/1882" TargetMode="External" /><Relationship Id="rId11" Type="http://schemas.openxmlformats.org/officeDocument/2006/relationships/hyperlink" Target="http://data.aade.gr/eli/pri/law/1987/09/09/1731" TargetMode="External" /><Relationship Id="rId12" Type="http://schemas.openxmlformats.org/officeDocument/2006/relationships/hyperlink" Target="http://data.aade.gr/eli/pri/law/1984/09/07/1473" TargetMode="External" /><Relationship Id="rId13" Type="http://schemas.openxmlformats.org/officeDocument/2006/relationships/hyperlink" Target="http://data.aade.gr/eli/pri/law/2010/04/23/3842" TargetMode="External" /><Relationship Id="rId14" Type="http://schemas.openxmlformats.org/officeDocument/2006/relationships/hyperlink" Target="http://data.aade.gr/eli/pri/law/2008/01/29/3634" TargetMode="External" /><Relationship Id="rId15" Type="http://schemas.openxmlformats.org/officeDocument/2006/relationships/hyperlink" Target="http://data.aade.gr/eli/pri/law/2007/04/16/3554" TargetMode="External" /><Relationship Id="rId16" Type="http://schemas.openxmlformats.org/officeDocument/2006/relationships/hyperlink" Target="http://data.aade.gr/eli/pri/law/2005/12/27/3427" TargetMode="External" /><Relationship Id="rId17" Type="http://schemas.openxmlformats.org/officeDocument/2006/relationships/hyperlink" Target="http://data.aade.gr/eli/pri/law/2002/12/24/3091" TargetMode="External" /><Relationship Id="rId18" Type="http://schemas.openxmlformats.org/officeDocument/2006/relationships/hyperlink" Target="http://data.aade.gr/eli/pri/law/2001/10/19/2948" TargetMode="External" /><Relationship Id="rId19" Type="http://schemas.openxmlformats.org/officeDocument/2006/relationships/hyperlink" Target="http://data.aade.gr/eli/pri/law/2001/03/09/2892" TargetMode="External" /><Relationship Id="rId2" Type="http://schemas.openxmlformats.org/officeDocument/2006/relationships/hyperlink" Target="http://data.aade.gr/eli/pri/law/2008/01/29/3634" TargetMode="External" /><Relationship Id="rId20" Type="http://schemas.openxmlformats.org/officeDocument/2006/relationships/hyperlink" Target="http://data.aade.gr/eli/pri/law/2000/12/28/2873" TargetMode="External" /><Relationship Id="rId21" Type="http://schemas.openxmlformats.org/officeDocument/2006/relationships/hyperlink" Target="http://data.aade.gr/eli/pri/law/1992/06/30/2065" TargetMode="External" /><Relationship Id="rId22" Type="http://schemas.openxmlformats.org/officeDocument/2006/relationships/hyperlink" Target="http://data.aade.gr/eli/pri/law/1990/03/23/1882" TargetMode="External" /><Relationship Id="rId23" Type="http://schemas.openxmlformats.org/officeDocument/2006/relationships/hyperlink" Target="http://data.aade.gr/eli/pri/law/1989/01/03/1828" TargetMode="External" /><Relationship Id="rId24" Type="http://schemas.openxmlformats.org/officeDocument/2006/relationships/hyperlink" Target="http://data.aade.gr/eli/pri/law/1987/09/09/1731" TargetMode="External" /><Relationship Id="rId25" Type="http://schemas.openxmlformats.org/officeDocument/2006/relationships/hyperlink" Target="http://data.aade.gr/eli/pri/law/1986/04/24/1591" TargetMode="External" /><Relationship Id="rId26" Type="http://schemas.openxmlformats.org/officeDocument/2006/relationships/hyperlink" Target="http://data.aade.gr/eli/pri/law/1985/09/17/1563" TargetMode="External" /><Relationship Id="rId27" Type="http://schemas.openxmlformats.org/officeDocument/2006/relationships/hyperlink" Target="http://data.aade.gr/eli/pri/law/1981/06/05/1160" TargetMode="External" /><Relationship Id="rId28" Type="http://schemas.openxmlformats.org/officeDocument/2006/relationships/hyperlink" Target="http://data.aade.gr/eli/pri/law/2012/04/11/4072" TargetMode="External" /><Relationship Id="rId29" Type="http://schemas.openxmlformats.org/officeDocument/2006/relationships/hyperlink" Target="http://data.aade.gr/eli/pri/law/2011/03/31/3943" TargetMode="External" /><Relationship Id="rId3" Type="http://schemas.openxmlformats.org/officeDocument/2006/relationships/hyperlink" Target="http://data.aade.gr/eli/pri/law/2004/01/28/3220" TargetMode="External" /><Relationship Id="rId30" Type="http://schemas.openxmlformats.org/officeDocument/2006/relationships/hyperlink" Target="http://data.aade.gr/eli/pri/law/2010/04/23/3842" TargetMode="External" /><Relationship Id="rId31" Type="http://schemas.openxmlformats.org/officeDocument/2006/relationships/hyperlink" Target="http://data.aade.gr/eli/pri/law/2001/03/09/2892" TargetMode="External" /><Relationship Id="rId32" Type="http://schemas.openxmlformats.org/officeDocument/2006/relationships/hyperlink" Target="http://data.aade.gr/eli/pri/law/1985/09/17/1563" TargetMode="External" /><Relationship Id="rId33" Type="http://schemas.openxmlformats.org/officeDocument/2006/relationships/hyperlink" Target="http://data.aade.gr/eli/pri/law/2010/04/23/3842" TargetMode="External" /><Relationship Id="rId34" Type="http://schemas.openxmlformats.org/officeDocument/2006/relationships/hyperlink" Target="http://data.aade.gr/eli/pri/law/1984/09/07/1473" TargetMode="External" /><Relationship Id="rId35" Type="http://schemas.openxmlformats.org/officeDocument/2006/relationships/hyperlink" Target="http://data.aade.gr/eli/pri/law/1981/06/05/1160" TargetMode="External" /><Relationship Id="rId36" Type="http://schemas.openxmlformats.org/officeDocument/2006/relationships/hyperlink" Target="http://data.aade.gr/eli/pri/law/2002/12/24/3091" TargetMode="External" /><Relationship Id="rId37" Type="http://schemas.openxmlformats.org/officeDocument/2006/relationships/hyperlink" Target="http://data.aade.gr/eli/pri/law/2001/03/09/2892" TargetMode="External" /><Relationship Id="rId38" Type="http://schemas.openxmlformats.org/officeDocument/2006/relationships/hyperlink" Target="http://data.aade.gr/eli/pri/law/1992/06/30/2065" TargetMode="External" /><Relationship Id="rId39" Type="http://schemas.openxmlformats.org/officeDocument/2006/relationships/hyperlink" Target="http://data.aade.gr/eli/pri/law/1989/01/03/1828" TargetMode="External" /><Relationship Id="rId4" Type="http://schemas.openxmlformats.org/officeDocument/2006/relationships/hyperlink" Target="http://data.aade.gr/eli/pri/law/2001/03/09/2892" TargetMode="External" /><Relationship Id="rId40" Type="http://schemas.openxmlformats.org/officeDocument/2006/relationships/hyperlink" Target="http://data.aade.gr/eli/pri/law/1986/04/24/1591" TargetMode="External" /><Relationship Id="rId41" Type="http://schemas.openxmlformats.org/officeDocument/2006/relationships/hyperlink" Target="http://data.aade.gr/eli/pri/law/1981/06/05/1160" TargetMode="External" /><Relationship Id="rId42" Type="http://schemas.openxmlformats.org/officeDocument/2006/relationships/hyperlink" Target="http://data.aade.gr/eli/pri/law/2010/04/23/3842" TargetMode="External" /><Relationship Id="rId43" Type="http://schemas.openxmlformats.org/officeDocument/2006/relationships/hyperlink" Target="http://data.aade.gr/eli/pri/law/1987/09/09/1731" TargetMode="External" /><Relationship Id="rId44" Type="http://schemas.openxmlformats.org/officeDocument/2006/relationships/hyperlink" Target="http://data.aade.gr/eli/pri/law/2011/03/31/3943" TargetMode="External" /><Relationship Id="rId45" Type="http://schemas.openxmlformats.org/officeDocument/2006/relationships/hyperlink" Target="http://data.aade.gr/eli/pri/law/2004/01/28/3220" TargetMode="External" /><Relationship Id="rId46" Type="http://schemas.openxmlformats.org/officeDocument/2006/relationships/hyperlink" Target="http://data.aade.gr/eli/pri/law/2001/03/09/2892" TargetMode="External" /><Relationship Id="rId47" Type="http://schemas.openxmlformats.org/officeDocument/2006/relationships/hyperlink" Target="http://data.aade.gr/eli/pri/law/2008/01/29/3634" TargetMode="External" /><Relationship Id="rId48" Type="http://schemas.openxmlformats.org/officeDocument/2006/relationships/hyperlink" Target="http://data.aade.gr/eli/pri/law/1985/09/17/1563" TargetMode="External" /><Relationship Id="rId49" Type="http://schemas.openxmlformats.org/officeDocument/2006/relationships/hyperlink" Target="http://data.aade.gr/eli/pri/law/1981/06/05/1160" TargetMode="External" /><Relationship Id="rId5" Type="http://schemas.openxmlformats.org/officeDocument/2006/relationships/hyperlink" Target="http://data.aade.gr/eli/pri/law/1999/11/17/2753" TargetMode="External" /><Relationship Id="rId50" Type="http://schemas.openxmlformats.org/officeDocument/2006/relationships/hyperlink" Target="http://data.aade.gr/eli/pri/law/2010/04/23/3842" TargetMode="External" /><Relationship Id="rId51" Type="http://schemas.openxmlformats.org/officeDocument/2006/relationships/hyperlink" Target="http://data.aade.gr/eli/pri/law/2020/10/27/4738" TargetMode="External" /><Relationship Id="rId52" Type="http://schemas.openxmlformats.org/officeDocument/2006/relationships/hyperlink" Target="http://data.aade.gr/eli/pri/law/2006/12/22/3522" TargetMode="External" /><Relationship Id="rId53" Type="http://schemas.openxmlformats.org/officeDocument/2006/relationships/hyperlink" Target="http://data.aade.gr/eli/pri/law/2002/12/24/3091" TargetMode="External" /><Relationship Id="rId54" Type="http://schemas.openxmlformats.org/officeDocument/2006/relationships/hyperlink" Target="http://data.aade.gr/eli/pri/law/2000/12/28/2873" TargetMode="External" /><Relationship Id="rId55" Type="http://schemas.openxmlformats.org/officeDocument/2006/relationships/hyperlink" Target="http://data.aade.gr/eli/pri/law/1990/03/23/1882" TargetMode="External" /><Relationship Id="rId56" Type="http://schemas.openxmlformats.org/officeDocument/2006/relationships/hyperlink" Target="http://data.aade.gr/eli/pri/law/1986/04/24/1591" TargetMode="External" /><Relationship Id="rId6" Type="http://schemas.openxmlformats.org/officeDocument/2006/relationships/hyperlink" Target="http://data.aade.gr/eli/pri/law/1998/02/17/2579" TargetMode="External" /><Relationship Id="rId7" Type="http://schemas.openxmlformats.org/officeDocument/2006/relationships/hyperlink" Target="http://data.aade.gr/eli/pri/law/1996/03/07/2386" TargetMode="External" /><Relationship Id="rId8" Type="http://schemas.openxmlformats.org/officeDocument/2006/relationships/hyperlink" Target="http://data.aade.gr/eli/pri/law/1994/05/11/2214" TargetMode="External" /><Relationship Id="rId9" Type="http://schemas.openxmlformats.org/officeDocument/2006/relationships/hyperlink" Target="http://data.aade.gr/eli/pri/law/1992/06/30/206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