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προσώπου του άρθρου 17, το οποίο δεν υπάγεται σε φόρο στο κράτος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καταστατικής έδρας προσώπου του άρθρου 17, του οποίου η έδρα της πραγματικής διεύθυνσης βρίσκεται σε τρίτο κράτος, που δεν είναι μέλος των Ευρωπαϊκών Κοινοτήτων και δε θεωρείται ότι υπάγεται στο φόρο στο κράτος μέλος των Ευρωπαϊκών Κοινοτήτων.</w:t>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μεταφορά στην Ελλάδα από κράτος μέλος των Ευρωπαϊκών Κοινοτήτων της έδρας της πραγματικής διεύθυνσης ή της καταστατικής έδρας προσώπου του άρθρου 17 το οποίο υπάγεται στο φόρο στο κράτος μέλος των Ευρωπαϊκών Κοινοτήτων.</w:t>
      </w:r>
    </w:p>
    <w:p>
      <w:pPr>
        <w:pStyle w:val="StructureList1"/>
        <w:spacing w:before="120" w:after="0"/>
        <w:rPr>
          <w:lang w:val="el" w:eastAsia="el"/>
        </w:rPr>
      </w:pPr>
      <w:r>
        <w:rPr>
          <w:lang w:val="el" w:eastAsia="el"/>
        </w:rPr>
        <w:t>ε)</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στ)</w:t>
      </w:r>
      <w:r>
        <w:rPr>
          <w:lang w:val="en" w:eastAsia="en"/>
        </w:rPr>
        <w:tab/>
      </w:r>
      <w:r>
        <w:rPr>
          <w:lang w:val="el" w:eastAsia="el"/>
        </w:rPr>
        <w:t>κάθε σύμβαση ή πράξη που είναι παρεπόμενη των πράξεων του άρθρου τούτου.</w:t>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σε ένα στα εκατό (1%) στην αξία που φορολογείται.</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η συμπλοιοκτησία, οι ναυτιλιακές κοινοπραξίες και οι κάθε μορφής ναυτιλιακές εταιρείες.</w:t>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ββ)</w:t>
      </w:r>
      <w:r>
        <w:rPr>
          <w:lang w:val="en" w:eastAsia="en"/>
        </w:rPr>
        <w:tab/>
      </w:r>
      <w:r>
        <w:rPr>
          <w:lang w:val="el" w:eastAsia="el"/>
        </w:rPr>
        <w:t>επιδιώκουν, σύμφωνα με το καταστατικό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κεφαλοποίηση κερδών, αποθεματικών ή προβλέψεων.</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w:t>
      </w:r>
    </w:p>
    <w:p>
      <w:pPr>
        <w:pStyle w:val="StructureList1"/>
        <w:spacing w:before="120" w:after="0"/>
        <w:rPr>
          <w:lang w:val="el" w:eastAsia="el"/>
        </w:rPr>
      </w:pPr>
      <w:r>
        <w:rPr>
          <w:lang w:val="el" w:eastAsia="el"/>
        </w:rPr>
        <w:t>α)</w:t>
      </w:r>
      <w:r>
        <w:rPr>
          <w:lang w:val="en" w:eastAsia="en"/>
        </w:rPr>
        <w:tab/>
      </w:r>
      <w:r>
        <w:rPr>
          <w:lang w:val="el" w:eastAsia="el"/>
        </w:rPr>
        <w:t>στη σύσταση, αύξηση, μετατροπή και συγχώνευση μέσα σε δεκαπέντε (15) ημέρες από τη σύνταξη του, οικείου εγγράφου και πάντως πριν από τη δημοσίευση ή από τη σχετική εγγραφή στα οικεία βιβλία στην περίπτωση που δε συντάσσεται έγγραφο.</w:t>
      </w:r>
    </w:p>
    <w:p>
      <w:pPr>
        <w:pStyle w:val="StructureList1"/>
        <w:spacing w:before="120" w:after="0"/>
        <w:rPr>
          <w:lang w:val="el" w:eastAsia="el"/>
        </w:rPr>
      </w:pPr>
      <w:r>
        <w:rPr>
          <w:lang w:val="el" w:eastAsia="el"/>
        </w:rPr>
        <w:t>β)</w:t>
      </w:r>
      <w:r>
        <w:rPr>
          <w:lang w:val="en" w:eastAsia="en"/>
        </w:rPr>
        <w:tab/>
      </w:r>
      <w:r>
        <w:rPr>
          <w:lang w:val="el" w:eastAsia="el"/>
        </w:rPr>
        <w:t>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w:t>
      </w:r>
    </w:p>
    <w:p>
      <w:pPr>
        <w:pStyle w:val="StructureList1"/>
        <w:spacing w:before="120" w:after="0"/>
        <w:rPr>
          <w:lang w:val="el" w:eastAsia="el"/>
        </w:rPr>
      </w:pPr>
      <w:r>
        <w:rPr>
          <w:lang w:val="el" w:eastAsia="el"/>
        </w:rPr>
        <w:t>γ)</w:t>
      </w:r>
      <w:r>
        <w:rPr>
          <w:lang w:val="en" w:eastAsia="en"/>
        </w:rPr>
        <w:tab/>
      </w:r>
      <w:r>
        <w:rPr>
          <w:lang w:val="el" w:eastAsia="el"/>
        </w:rPr>
        <w:t>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υποκατάστημα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Προσθήκη 1882/1990,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Προσθήκη 1882/1990, Άρθρο 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0/03/23/1882" TargetMode="External" /><Relationship Id="rId2" Type="http://schemas.openxmlformats.org/officeDocument/2006/relationships/hyperlink" Target="http://data.aade.gr/eli/pri/law/1990/03/23/18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