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w:t>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Κέντρα διασκεδάσεως, ξενοδοχεία και εν γένει επιχειρήσεις οι οποίες παραχωρούν αίθουσες ή χώρους ή αναλαμβάνουν την εξυπηρέτηση ή εφοδιασμό για την πραγματοποίηση κοσμικών συγκεντρώσεων ή δεξιώσεων υποχρεούνται να υποβάλουν στην αρμόδια Δ.Ο.Υ. που υπάγονται μέχρι τέλους Ιανουαρίου του έτους καταστάσεις με στοιχεία κατά πελάτη. Ο τύπος και το περιεχόμενο των καταστάσεων τούτων θα καθορίζεται με απόφαση του Υπουργού Οικονομικών. </w:t>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οποιανδήποτε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w:t>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w:t>
      </w:r>
    </w:p>
    <w:p>
      <w:pPr>
        <w:pStyle w:val="MainText"/>
        <w:spacing w:before="120" w:after="0"/>
        <w:rPr>
          <w:lang w:val="el" w:eastAsia="el"/>
        </w:rPr>
      </w:pPr>
      <w:r>
        <w:rPr>
          <w:b/>
          <w:bCs/>
          <w:lang w:val="el" w:eastAsia="el"/>
        </w:rPr>
        <w:t>1.</w:t>
      </w:r>
      <w:r>
        <w:rPr>
          <w:lang w:val="el" w:eastAsia="el"/>
        </w:rPr>
        <w:t xml:space="preserve"> Η παραβίαση της προθεσμίας καταβολής, κατά τις ισχύουσες κάθε φορά διατάξεις, των χρεών προς το Δημόσιο, που είναι βεβαιωμένα στις αρμόδιες υπηρεσίες, εφ΄ όσον αυτή αναφέρεται στη μη καταβολή τριών συνεχών δόσεων, ή προκειμένου για χρέη που καταβάλλονται εφάπαξ σε καθυστέρηση καταβολής πέραν των δύο μηνών από τη λήξη του χρόνου καταβολής τους, διώκεται ύστερα από αίτηση του προϊσταμένου των ανωτέρω υπηρεσιών προς τον Εισαγγελέα Πρωτοδικών της έδρας τους και τιμωρείται με ποινή φυλακίσεως:</w:t>
      </w:r>
    </w:p>
    <w:p>
      <w:pPr>
        <w:pStyle w:val="StructureList1"/>
        <w:spacing w:before="120" w:after="0"/>
        <w:rPr>
          <w:lang w:val="el" w:eastAsia="el"/>
        </w:rPr>
      </w:pPr>
      <w:r>
        <w:rPr>
          <w:lang w:val="el" w:eastAsia="el"/>
        </w:rPr>
        <w:t>α)</w:t>
      </w:r>
      <w:r>
        <w:rPr>
          <w:lang w:val="en" w:eastAsia="en"/>
        </w:rPr>
        <w:tab/>
      </w:r>
      <w:r>
        <w:rPr>
          <w:lang w:val="el" w:eastAsia="el"/>
        </w:rPr>
        <w:t>Τεσσάρων τουλάχιστον μηνών προκειμένου περί παρακρατουμένων η επιρριπτομένων φόρων και δύο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υπερβαίνει τις εκατό χιλιάδες (100.000) δραχμές προκειμένου περί παρακρατουμένων ή επιρριπτομένων φόρων και τις 300.000 (τριακόσιες χιλιάδες) δραχμές προκειμένου περί των λοιπών φόρων και χρεών γενικά.</w:t>
      </w:r>
    </w:p>
    <w:p>
      <w:pPr>
        <w:pStyle w:val="StructureList1"/>
        <w:spacing w:before="120" w:after="0"/>
        <w:rPr>
          <w:lang w:val="el" w:eastAsia="el"/>
        </w:rPr>
      </w:pPr>
      <w:r>
        <w:rPr>
          <w:lang w:val="el" w:eastAsia="el"/>
        </w:rPr>
        <w:t>β)</w:t>
      </w:r>
      <w:r>
        <w:rPr>
          <w:lang w:val="en" w:eastAsia="en"/>
        </w:rPr>
        <w:tab/>
      </w:r>
      <w:r>
        <w:rPr>
          <w:lang w:val="el" w:eastAsia="el"/>
        </w:rPr>
        <w:t>Έξι τουλάχιστον μηνών προκειμένου περί παρακρατούμενων η επιρριπτόμενων φόρων και τεσσάρων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υπερβαίνει τις πεντακόσιες χιλιάδες (500.000) δραχμές προκειμένου περί παρακρατουμένων ή επιρριπτομένων φόρων και το ένα εκατομμύριο (1.000.000) δραχμές προκειμένου περί των λοιπών φόρων και χρεών γενικά.</w:t>
      </w:r>
    </w:p>
    <w:p>
      <w:pPr>
        <w:pStyle w:val="StructureList1"/>
        <w:spacing w:before="120" w:after="0"/>
        <w:rPr>
          <w:lang w:val="el" w:eastAsia="el"/>
        </w:rPr>
      </w:pPr>
      <w:r>
        <w:rPr>
          <w:lang w:val="el" w:eastAsia="el"/>
        </w:rPr>
        <w:t>γ)</w:t>
      </w:r>
      <w:r>
        <w:rPr>
          <w:lang w:val="en" w:eastAsia="en"/>
        </w:rPr>
        <w:tab/>
      </w:r>
      <w:r>
        <w:rPr>
          <w:lang w:val="el" w:eastAsia="el"/>
        </w:rPr>
        <w:t>Ενός τουλάχιστον έτους προκειμένου περί παρακρατούμενων ή επιρριπτομένων φόρων και έξι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είναι μεγαλύτερο από ένα εκατομμύριο (1.000.000) δραχμές προκειμένου περί παρακρατουμένων ή επιρριπτομένων φόρων και του ενός εκατομμυρίου πεντακοσίων χιλιάδων (1.500.000) δραχμών προκειμένου περί των λοιπών φόρων και χρεών γενικά.</w:t>
      </w:r>
    </w:p>
    <w:p>
      <w:pPr>
        <w:spacing w:before="240" w:after="240"/>
        <w:rPr>
          <w:lang w:val="el" w:eastAsia="el"/>
        </w:rPr>
      </w:pPr>
      <w:r>
        <w:rPr>
          <w:lang w:val="el" w:eastAsia="el"/>
        </w:rPr>
        <w:t>Η παραβίαση της προθεσμίας του πρώτου εδαφίου της παραγράφου αυτής δύναται να κριθεί ατιμώρητος εφ΄ όσον η καθυστέρηση οφείλεται σε λόγους ανωτέρας βίας και το οφειλόμενο ποσό καταβληθεί μέχρι την εκδίκαση της υπόθεσης.</w:t>
      </w:r>
    </w:p>
    <w:p>
      <w:pPr>
        <w:pStyle w:val="MainText"/>
        <w:spacing w:before="120" w:after="0"/>
        <w:rPr>
          <w:lang w:val="el" w:eastAsia="el"/>
        </w:rPr>
      </w:pPr>
      <w:r>
        <w:rPr>
          <w:b/>
          <w:bCs/>
          <w:lang w:val="el" w:eastAsia="el"/>
        </w:rPr>
        <w:t>2.</w:t>
      </w:r>
      <w:r>
        <w:rPr>
          <w:lang w:val="el" w:eastAsia="el"/>
        </w:rPr>
        <w:t xml:space="preserve"> Στις κατωτέρω περιπτώσεις οφειλετών του Δημοσίου οι προβλεπόμενες ποινές που αναφέρονται στην παράγραφο 1 του παρόντος άρθρου επιβάλλονται και: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ημεδαπές ανώνυμες εταιρίες, στους διευθύνοντες, ή εντεταλμένους ή συμπράττοντες συμβούλους ή διοικητές ή γενικούς διευθυντές αυτών ή σε κάθε πρόσωπο εντεταλμένο είτε αμέσως, είτε εμμέσως, είτε από το νόμο, είτε από ιδιωτική βούληση στη διοίκηση ή διαχείριση των εταιρειών αυτών ή με οποιονδήποτε τρόπο αναμίχθηκε, ολικώς ή μερικώς, στη διοίκηση ή διαχείριση αυτών, σωρευτικώς ή μη. Αν ελλείπουν όλα τα παραπάνω πρόσωπα, οι ποινές επιβάλλονται κατά των προέδρων των διοικητικών συμβουλίων των εταιρειών αυτών, εφ΄ όσον ασκούν πράγματι, προσωρινώς ή διαρκώς, ένα από τα καθήκοντα των προσώπων που αναφέρονται πιο πάνω.</w:t>
      </w:r>
    </w:p>
    <w:p>
      <w:pPr>
        <w:pStyle w:val="StructureList1"/>
        <w:spacing w:before="120" w:after="0"/>
        <w:rPr>
          <w:lang w:val="el" w:eastAsia="el"/>
        </w:rPr>
      </w:pPr>
      <w:r>
        <w:rPr>
          <w:lang w:val="el" w:eastAsia="el"/>
        </w:rPr>
        <w:t>β)</w:t>
      </w:r>
      <w:r>
        <w:rPr>
          <w:lang w:val="en" w:eastAsia="en"/>
        </w:rPr>
        <w:tab/>
      </w:r>
      <w:r>
        <w:rPr>
          <w:lang w:val="el" w:eastAsia="el"/>
        </w:rPr>
        <w:t>προκειμένου για εταιρείες ομόρρυθμες ή ετερόρρυθμες ή περιορισμένης ευθύνης, στους διαχειριστές αυτών και όταν ελλείπουν ή απουσιάζουν αυτοί, σε κάθε εταίρο, σωρευτικώς ή μη,</w:t>
      </w:r>
    </w:p>
    <w:p>
      <w:pPr>
        <w:pStyle w:val="StructureList1"/>
        <w:spacing w:before="120" w:after="0"/>
        <w:rPr>
          <w:lang w:val="el" w:eastAsia="el"/>
        </w:rPr>
      </w:pPr>
      <w:r>
        <w:rPr>
          <w:lang w:val="el" w:eastAsia="el"/>
        </w:rPr>
        <w:t>γ)</w:t>
      </w:r>
      <w:r>
        <w:rPr>
          <w:lang w:val="en" w:eastAsia="en"/>
        </w:rPr>
        <w:tab/>
      </w:r>
      <w:r>
        <w:rPr>
          <w:lang w:val="el" w:eastAsia="el"/>
        </w:rPr>
        <w:t>προκειμένου για συνεταιρισμούς, στους προέδρους ή γενικούς γραμματείς και διαχειριστές αυτών, σωρευτικώς ή μη,</w:t>
      </w:r>
    </w:p>
    <w:p>
      <w:pPr>
        <w:pStyle w:val="StructureList1"/>
        <w:spacing w:before="120" w:after="0"/>
        <w:rPr>
          <w:lang w:val="el" w:eastAsia="el"/>
        </w:rPr>
      </w:pPr>
      <w:r>
        <w:rPr>
          <w:lang w:val="el" w:eastAsia="el"/>
        </w:rPr>
        <w:t>δ)</w:t>
      </w:r>
      <w:r>
        <w:rPr>
          <w:lang w:val="en" w:eastAsia="en"/>
        </w:rPr>
        <w:tab/>
      </w:r>
      <w:r>
        <w:rPr>
          <w:lang w:val="el" w:eastAsia="el"/>
        </w:rPr>
        <w:t>προκειμένου για κοινοπραξίες, κοινωνίες και αστικές εταιρείες, που ασκούν επιχείρηση, στα μέλη αυτών, σωρευτικώς ή μη,</w:t>
      </w:r>
    </w:p>
    <w:p>
      <w:pPr>
        <w:pStyle w:val="StructureList1"/>
        <w:spacing w:before="120" w:after="0"/>
        <w:rPr>
          <w:lang w:val="el" w:eastAsia="el"/>
        </w:rPr>
      </w:pPr>
      <w:r>
        <w:rPr>
          <w:lang w:val="el" w:eastAsia="el"/>
        </w:rPr>
        <w:t>ε)</w:t>
      </w:r>
      <w:r>
        <w:rPr>
          <w:lang w:val="en" w:eastAsia="en"/>
        </w:rPr>
        <w:tab/>
      </w:r>
      <w:r>
        <w:rPr>
          <w:lang w:val="el" w:eastAsia="el"/>
        </w:rPr>
        <w:t>προκειμένου για αλλοδαπές επιχειρήσεις γενικά, αντιπροσώπους ή στους διευθυντές ή πράκτορες που έχουν στην Ελλάδα, σωρευτικός ή μη,</w:t>
      </w:r>
    </w:p>
    <w:p>
      <w:pPr>
        <w:pStyle w:val="StructureList1"/>
        <w:spacing w:before="120" w:after="0"/>
        <w:rPr>
          <w:lang w:val="el" w:eastAsia="el"/>
        </w:rPr>
      </w:pPr>
      <w:r>
        <w:rPr>
          <w:lang w:val="el" w:eastAsia="el"/>
        </w:rPr>
        <w:t>στ)</w:t>
      </w:r>
      <w:r>
        <w:rPr>
          <w:lang w:val="en" w:eastAsia="en"/>
        </w:rPr>
        <w:tab/>
      </w:r>
      <w:r>
        <w:rPr>
          <w:lang w:val="el" w:eastAsia="el"/>
        </w:rPr>
        <w:t>προκειμένου για νομικά πρόσωπα, εκτός των παραπάνω περιπτώσεων, στους εκπροσώ</w:t>
      </w:r>
      <w:r>
        <w:rPr>
          <w:lang w:val="el" w:eastAsia="el"/>
        </w:rPr>
        <w:softHyphen/>
        <w:t>πους αυτών.</w:t>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μετά τη λύση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υπό των ανωτέρω η ποινική δίωξη ασκείται μετά τρεις μήνες από την απόκτηση της ιδιότητας αυτής. </w:t>
      </w:r>
    </w:p>
    <w:p>
      <w:pPr>
        <w:pStyle w:val="MainText"/>
        <w:spacing w:before="120" w:after="0"/>
        <w:rPr>
          <w:lang w:val="el" w:eastAsia="el"/>
        </w:rPr>
      </w:pPr>
      <w:r>
        <w:rPr>
          <w:b/>
          <w:bCs/>
          <w:lang w:val="el" w:eastAsia="el"/>
        </w:rPr>
        <w:t>4.</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εξοφλήσεως.</w:t>
      </w:r>
    </w:p>
    <w:p>
      <w:pPr>
        <w:pStyle w:val="MainText"/>
        <w:spacing w:before="120" w:after="0"/>
        <w:rPr>
          <w:lang w:val="el" w:eastAsia="el"/>
        </w:rPr>
      </w:pPr>
      <w:r>
        <w:rPr>
          <w:b/>
          <w:bCs/>
          <w:lang w:val="el" w:eastAsia="el"/>
        </w:rPr>
        <w:t>5.</w:t>
      </w:r>
      <w:r>
        <w:rPr>
          <w:lang w:val="el" w:eastAsia="el"/>
        </w:rPr>
        <w:t xml:space="preserve"> Το τελευταίο εδάφιο της περίπτωσης β΄ της παραγράφου 1 του άρθρου 2 του Ν. 1867/1989 (ΦΕΚ Α΄ 227) καταργείται. </w:t>
      </w:r>
    </w:p>
    <w:p>
      <w:pPr>
        <w:pStyle w:val="MainText"/>
        <w:spacing w:before="120" w:after="0"/>
        <w:rPr>
          <w:lang w:val="el" w:eastAsia="el"/>
        </w:rPr>
      </w:pPr>
      <w:r>
        <w:rPr>
          <w:b/>
          <w:bCs/>
          <w:lang w:val="el" w:eastAsia="el"/>
        </w:rPr>
        <w:t>6.</w:t>
      </w:r>
      <w:r>
        <w:rPr>
          <w:lang w:val="el" w:eastAsia="el"/>
        </w:rPr>
        <w:t xml:space="preserve"> Το ποινικό αδίκημα που προβλέπουν οι προηγούμενες παράγραφοι του άρθρου αυτού, όσον αφορά ειδικά τα ήδη ληξιπρόθεσμα χρέη κατά την έναρξη ισχύος του παρόντος νόμου, διαπράττεται μόλις συμπληρωθούν τέσσερις μήνες από την έναρξη της ισχύος του παρόντος νόμου. Η προθεσμία αυτή ισχύει χωρίς καμία παράταση από οποιοδήποτε λόγο και σε περίπτωση εναλλαγής μέσα σ΄ αυτή ν των προσώπων που αναφέρονται στη παρ. 2 του παρόντος άρθρου.</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5" w:history="1">
        <w:r>
          <w:rPr>
            <w:rStyle w:val="Hyperlink"/>
            <w:color w:val="0000EE"/>
            <w:u w:color="0000EE"/>
            <w:lang w:val="el" w:eastAsia="el"/>
          </w:rPr>
          <w:t>Τροποποίηση 1884/1990, Άρθρο 35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0/06/16/18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