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πενήντα χιλιάδων (50.000)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Τριών (3) τουλάχιστον ετών, εφόσον το συνολικό χρέος, σύμφωνα με τα οριζόμενα στην ανωτέρω περίπτωση α΄, υπερβαίνει το ποσό των εκατόν πενήντα χιλιάδων (150.000) ευρώ. 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 και λοιπών επιβαρύνσεων. Η πράξη μπορεί να κριθεί ατιμώρητη, εάν το ποσό που οφείλεται εξοφληθεί μέχρι την εκδίκαση της υπόθεσης σε οποιονδήποτε βαθμό.</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εξόφλησης. Επίσης, για τον ίδιο λόγο αναβάλλεται η εκτέλεση της καταγνωσθείσας ποινής ή διακόπτεται η εκτέλεση αυτής που άρχισε, η οποία τελικά εξαλείφεται σε περίπτωση ολοσχερούς εξόφλησης.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Η υποβολή αίτησης ποινικής δίωξης αναστέλλει την παραγραφή του χρέους για το οποίο υποβλήθηκε μέχρι να εκδοθεί τελεσίδικη απόφαση. Ο χρόνος παραγραφής του χρέους δεν συμπληρώνεται πριν την πάροδο ενός έτους από τη λήξη της αναστολής.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Μάρτυρας παρίσταται ο κατά την ημερομηνία της δικασίμου προϊστάμενος της αρμόδιας δημόσιας οικονομικής υπηρεσίας ή τελωνείου ή υπάλληλος που υπηρετεί στην ίδια ή αντίστοιχη υπηρεσία.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Δ.Ο.Υ. σχετικά με τη διαδικαστική εξέλιξη της οφειλής, τρεις τουλάχιστον ημέρες πριν από τη δικάσιμο.</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Προκειμένου περί χρεών της παραγράφου 1 του παρόντος άρθρου, ήδη ληξιπρόθεσμων κατά την έναρξη ισχύος της παρούσης παραγράφου, τα ποινικά αδικήματα των περιπτώσεων α', β', γ' και δ' της παραγράφου αυτής, τελούνται με τη συνέχιση της μη καταβολής τους μετά την πάροδο τεσσάρων (4) μηνών από την έναρξη ισχύος των διατάξεων της παρούσας παραγράφου.</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2682/1999, Άρθρο 8</w:t>
        </w:r>
      </w:hyperlink>
      <w:r>
        <w:rPr>
          <w:lang w:val="el" w:eastAsia="el"/>
        </w:rPr>
        <w:t xml:space="preserve">; </w:t>
      </w:r>
      <w:hyperlink r:id="rId5"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Τροποποίηση 4321/2015, Άρθρο 20</w:t>
        </w:r>
      </w:hyperlink>
      <w:r>
        <w:rPr>
          <w:lang w:val="el" w:eastAsia="el"/>
        </w:rPr>
        <w:t xml:space="preserve">; </w:t>
      </w:r>
      <w:hyperlink r:id="rId8" w:anchor="art_3" w:history="1">
        <w:r>
          <w:rPr>
            <w:rStyle w:val="Hyperlink"/>
            <w:color w:val="0000EE"/>
            <w:u w:color="0000EE"/>
            <w:lang w:val="el" w:eastAsia="el"/>
          </w:rPr>
          <w:t>Τροποποίηση 3943/2011, Άρθρο 3</w:t>
        </w:r>
      </w:hyperlink>
      <w:r>
        <w:rPr>
          <w:lang w:val="el" w:eastAsia="el"/>
        </w:rPr>
        <w:t xml:space="preserve">; </w:t>
      </w:r>
      <w:hyperlink r:id="rId9" w:anchor="art_34" w:history="1">
        <w:r>
          <w:rPr>
            <w:rStyle w:val="Hyperlink"/>
            <w:color w:val="0000EE"/>
            <w:u w:color="0000EE"/>
            <w:lang w:val="el" w:eastAsia="el"/>
          </w:rPr>
          <w:t>Τροποποίηση 3220/2004, Άρθρο 34</w:t>
        </w:r>
      </w:hyperlink>
      <w:r>
        <w:rPr>
          <w:lang w:val="el" w:eastAsia="el"/>
        </w:rPr>
        <w:t xml:space="preserve">; </w:t>
      </w:r>
      <w:hyperlink r:id="rId10"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0" w:history="1">
        <w:r>
          <w:rPr>
            <w:rStyle w:val="Hyperlink"/>
            <w:color w:val="0000EE"/>
            <w:u w:color="0000EE"/>
            <w:lang w:val="el" w:eastAsia="el"/>
          </w:rPr>
          <w:t>Τροποποίηση 4321/2015, Άρθρο 20</w:t>
        </w:r>
      </w:hyperlink>
      <w:r>
        <w:rPr>
          <w:lang w:val="el" w:eastAsia="el"/>
        </w:rPr>
        <w:t xml:space="preserve">; </w:t>
      </w:r>
      <w:hyperlink r:id="rId12" w:anchor="art_3" w:history="1">
        <w:r>
          <w:rPr>
            <w:rStyle w:val="Hyperlink"/>
            <w:color w:val="0000EE"/>
            <w:u w:color="0000EE"/>
            <w:lang w:val="el" w:eastAsia="el"/>
          </w:rPr>
          <w:t>Τροποποίηση 3943/2011, Άρθρο 3</w:t>
        </w:r>
      </w:hyperlink>
      <w:r>
        <w:rPr>
          <w:lang w:val="el" w:eastAsia="el"/>
        </w:rPr>
        <w:t xml:space="preserve">; </w:t>
      </w:r>
      <w:hyperlink r:id="rId13" w:anchor="art_34" w:history="1">
        <w:r>
          <w:rPr>
            <w:rStyle w:val="Hyperlink"/>
            <w:color w:val="0000EE"/>
            <w:u w:color="0000EE"/>
            <w:lang w:val="el" w:eastAsia="el"/>
          </w:rPr>
          <w:t>Τροποποίηση 3220/2004, Άρθρο 34</w:t>
        </w:r>
      </w:hyperlink>
      <w:r>
        <w:rPr>
          <w:lang w:val="el" w:eastAsia="el"/>
        </w:rPr>
        <w:t xml:space="preserve">; </w:t>
      </w:r>
      <w:hyperlink r:id="rId14" w:anchor="art_19" w:history="1">
        <w:r>
          <w:rPr>
            <w:rStyle w:val="Hyperlink"/>
            <w:color w:val="0000EE"/>
            <w:u w:color="0000EE"/>
            <w:lang w:val="el" w:eastAsia="el"/>
          </w:rPr>
          <w:t>Τροποποίηση 2948/2001, Άρθρο 19</w:t>
        </w:r>
      </w:hyperlink>
      <w:r>
        <w:rPr>
          <w:lang w:val="el" w:eastAsia="el"/>
        </w:rPr>
        <w:t xml:space="preserve">; </w:t>
      </w:r>
      <w:hyperlink r:id="rId15"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4321/2015, Άρθρο 20</w:t>
        </w:r>
      </w:hyperlink>
      <w:r>
        <w:rPr>
          <w:lang w:val="el" w:eastAsia="el"/>
        </w:rPr>
        <w:t xml:space="preserve">; </w:t>
      </w:r>
      <w:hyperlink r:id="rId17" w:anchor="art_3" w:history="1">
        <w:r>
          <w:rPr>
            <w:rStyle w:val="Hyperlink"/>
            <w:color w:val="0000EE"/>
            <w:u w:color="0000EE"/>
            <w:lang w:val="el" w:eastAsia="el"/>
          </w:rPr>
          <w:t>Τροποποίηση 3943/2011, Άρθρο 3</w:t>
        </w:r>
      </w:hyperlink>
      <w:r>
        <w:rPr>
          <w:lang w:val="el" w:eastAsia="el"/>
        </w:rPr>
        <w:t xml:space="preserve">; </w:t>
      </w:r>
      <w:hyperlink r:id="rId18" w:anchor="art_34" w:history="1">
        <w:r>
          <w:rPr>
            <w:rStyle w:val="Hyperlink"/>
            <w:color w:val="0000EE"/>
            <w:u w:color="0000EE"/>
            <w:lang w:val="el" w:eastAsia="el"/>
          </w:rPr>
          <w:t>Τροποποίηση 3220/2004, Άρθρο 34</w:t>
        </w:r>
      </w:hyperlink>
      <w:r>
        <w:rPr>
          <w:lang w:val="el" w:eastAsia="el"/>
        </w:rPr>
        <w:t xml:space="preserve">; </w:t>
      </w:r>
      <w:hyperlink r:id="rId19" w:anchor="art_19" w:history="1">
        <w:r>
          <w:rPr>
            <w:rStyle w:val="Hyperlink"/>
            <w:color w:val="0000EE"/>
            <w:u w:color="0000EE"/>
            <w:lang w:val="el" w:eastAsia="el"/>
          </w:rPr>
          <w:t>Τροποποίηση 2948/2001, Άρθρο 19</w:t>
        </w:r>
      </w:hyperlink>
      <w:r>
        <w:rPr>
          <w:lang w:val="el" w:eastAsia="el"/>
        </w:rPr>
        <w:t xml:space="preserve">; </w:t>
      </w:r>
      <w:hyperlink r:id="rId20"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Αφαίρεση 4321/2015, Άρθρο 20</w:t>
        </w:r>
      </w:hyperlink>
      <w:r>
        <w:rPr>
          <w:lang w:val="el" w:eastAsia="el"/>
        </w:rPr>
        <w:t xml:space="preserve">; </w:t>
      </w:r>
      <w:hyperlink r:id="rId22" w:anchor="art_3" w:history="1">
        <w:r>
          <w:rPr>
            <w:rStyle w:val="Hyperlink"/>
            <w:color w:val="0000EE"/>
            <w:u w:color="0000EE"/>
            <w:lang w:val="el" w:eastAsia="el"/>
          </w:rPr>
          <w:t>Τροποποίηση 3943/2011, Άρθρο 3</w:t>
        </w:r>
      </w:hyperlink>
      <w:r>
        <w:rPr>
          <w:lang w:val="el" w:eastAsia="el"/>
        </w:rPr>
        <w:t xml:space="preserve">; </w:t>
      </w:r>
      <w:hyperlink r:id="rId23" w:anchor="art_34" w:history="1">
        <w:r>
          <w:rPr>
            <w:rStyle w:val="Hyperlink"/>
            <w:color w:val="0000EE"/>
            <w:u w:color="0000EE"/>
            <w:lang w:val="el" w:eastAsia="el"/>
          </w:rPr>
          <w:t>Τροποποίηση 3220/2004, Άρθρο 34</w:t>
        </w:r>
      </w:hyperlink>
      <w:r>
        <w:rPr>
          <w:lang w:val="el" w:eastAsia="el"/>
        </w:rPr>
        <w:t xml:space="preserve">; </w:t>
      </w:r>
      <w:hyperlink r:id="rId24" w:anchor="art_19" w:history="1">
        <w:r>
          <w:rPr>
            <w:rStyle w:val="Hyperlink"/>
            <w:color w:val="0000EE"/>
            <w:u w:color="0000EE"/>
            <w:lang w:val="el" w:eastAsia="el"/>
          </w:rPr>
          <w:t>Τροποποίηση 2948/2001, Άρθρο 19</w:t>
        </w:r>
      </w:hyperlink>
      <w:r>
        <w:rPr>
          <w:lang w:val="el" w:eastAsia="el"/>
        </w:rPr>
        <w:t xml:space="preserve">; </w:t>
      </w:r>
      <w:hyperlink r:id="rId25"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Τροποποίηση 2523/1997, Άρθρο 23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3" w:history="1">
        <w:r>
          <w:rPr>
            <w:rStyle w:val="Hyperlink"/>
            <w:color w:val="0000EE"/>
            <w:u w:color="0000EE"/>
            <w:lang w:val="el" w:eastAsia="el"/>
          </w:rPr>
          <w:t>Τροποποίηση 2523/1997, Άρθρο 23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34" w:history="1">
        <w:r>
          <w:rPr>
            <w:rStyle w:val="Hyperlink"/>
            <w:color w:val="0000EE"/>
            <w:u w:color="0000EE"/>
            <w:lang w:val="el" w:eastAsia="el"/>
          </w:rPr>
          <w:t>Τροποποίηση 3220/2004, Άρθρο 34</w:t>
        </w:r>
      </w:hyperlink>
      <w:r>
        <w:rPr>
          <w:lang w:val="el" w:eastAsia="el"/>
        </w:rPr>
        <w:t xml:space="preserve">; </w:t>
      </w:r>
      <w:hyperlink r:id="rId37" w:anchor="art_23" w:history="1">
        <w:r>
          <w:rPr>
            <w:rStyle w:val="Hyperlink"/>
            <w:color w:val="0000EE"/>
            <w:u w:color="0000EE"/>
            <w:lang w:val="el" w:eastAsia="el"/>
          </w:rPr>
          <w:t>Προσθήκη 2523/1997, Άρθρο 23</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 w:history="1">
        <w:r>
          <w:rPr>
            <w:rStyle w:val="Hyperlink"/>
            <w:color w:val="0000EE"/>
            <w:u w:color="0000EE"/>
            <w:lang w:val="el" w:eastAsia="el"/>
          </w:rPr>
          <w:t>Προσθήκη 3943/2011, Άρθρο 3</w:t>
        </w:r>
      </w:hyperlink>
      <w:r>
        <w:rPr>
          <w:lang w:val="el" w:eastAsia="el"/>
        </w:rPr>
        <w:t xml:space="preserve">; </w:t>
      </w:r>
      <w:hyperlink r:id="rId39" w:anchor="art_34" w:history="1">
        <w:r>
          <w:rPr>
            <w:rStyle w:val="Hyperlink"/>
            <w:color w:val="0000EE"/>
            <w:u w:color="0000EE"/>
            <w:lang w:val="el" w:eastAsia="el"/>
          </w:rPr>
          <w:t>Προσθήκη 3220/2004, Άρθρο 34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 w:history="1">
        <w:r>
          <w:rPr>
            <w:rStyle w:val="Hyperlink"/>
            <w:color w:val="0000EE"/>
            <w:u w:color="0000EE"/>
            <w:lang w:val="el" w:eastAsia="el"/>
          </w:rPr>
          <w:t>Προσθήκη 3943/2011, Άρθρο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1997/09/11/2523" TargetMode="External" /><Relationship Id="rId11" Type="http://schemas.openxmlformats.org/officeDocument/2006/relationships/hyperlink" Target="http://data.aade.gr/eli/pri/law/2015/03/21/4321" TargetMode="External" /><Relationship Id="rId12" Type="http://schemas.openxmlformats.org/officeDocument/2006/relationships/hyperlink" Target="http://data.aade.gr/eli/pri/law/2011/03/31/3943"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1/10/19/2948" TargetMode="External" /><Relationship Id="rId15" Type="http://schemas.openxmlformats.org/officeDocument/2006/relationships/hyperlink" Target="http://data.aade.gr/eli/pri/law/1997/09/11/2523" TargetMode="External" /><Relationship Id="rId16" Type="http://schemas.openxmlformats.org/officeDocument/2006/relationships/hyperlink" Target="http://data.aade.gr/eli/pri/law/2015/03/21/4321" TargetMode="External" /><Relationship Id="rId17" Type="http://schemas.openxmlformats.org/officeDocument/2006/relationships/hyperlink" Target="http://data.aade.gr/eli/pri/law/2011/03/31/3943" TargetMode="External" /><Relationship Id="rId18" Type="http://schemas.openxmlformats.org/officeDocument/2006/relationships/hyperlink" Target="http://data.aade.gr/eli/pri/law/2004/01/28/3220" TargetMode="External" /><Relationship Id="rId19" Type="http://schemas.openxmlformats.org/officeDocument/2006/relationships/hyperlink" Target="http://data.aade.gr/eli/pri/law/2001/10/19/2948" TargetMode="External" /><Relationship Id="rId2" Type="http://schemas.openxmlformats.org/officeDocument/2006/relationships/hyperlink" Target="http://data.aade.gr/eli/pri/law/1990/06/16/1884" TargetMode="External" /><Relationship Id="rId20" Type="http://schemas.openxmlformats.org/officeDocument/2006/relationships/hyperlink" Target="http://data.aade.gr/eli/pri/law/1997/09/11/2523" TargetMode="External" /><Relationship Id="rId21" Type="http://schemas.openxmlformats.org/officeDocument/2006/relationships/hyperlink" Target="http://data.aade.gr/eli/pri/law/2015/03/21/4321" TargetMode="External" /><Relationship Id="rId22" Type="http://schemas.openxmlformats.org/officeDocument/2006/relationships/hyperlink" Target="http://data.aade.gr/eli/pri/law/2011/03/31/3943" TargetMode="External" /><Relationship Id="rId23" Type="http://schemas.openxmlformats.org/officeDocument/2006/relationships/hyperlink" Target="http://data.aade.gr/eli/pri/law/2004/01/28/3220" TargetMode="External" /><Relationship Id="rId24" Type="http://schemas.openxmlformats.org/officeDocument/2006/relationships/hyperlink" Target="http://data.aade.gr/eli/pri/law/2001/10/19/2948" TargetMode="External" /><Relationship Id="rId25" Type="http://schemas.openxmlformats.org/officeDocument/2006/relationships/hyperlink" Target="http://data.aade.gr/eli/pri/law/1997/09/11/2523" TargetMode="External" /><Relationship Id="rId26" Type="http://schemas.openxmlformats.org/officeDocument/2006/relationships/hyperlink" Target="http://data.aade.gr/eli/pri/law/1997/09/11/2523" TargetMode="External" /><Relationship Id="rId27" Type="http://schemas.openxmlformats.org/officeDocument/2006/relationships/hyperlink" Target="http://data.aade.gr/eli/pri/law/1997/09/11/2523" TargetMode="External" /><Relationship Id="rId28" Type="http://schemas.openxmlformats.org/officeDocument/2006/relationships/hyperlink" Target="http://data.aade.gr/eli/pri/law/1997/09/11/2523" TargetMode="External" /><Relationship Id="rId29" Type="http://schemas.openxmlformats.org/officeDocument/2006/relationships/hyperlink" Target="http://data.aade.gr/eli/pri/law/1997/09/11/2523" TargetMode="External" /><Relationship Id="rId3" Type="http://schemas.openxmlformats.org/officeDocument/2006/relationships/hyperlink" Target="http://data.aade.gr/eli/pri/law/1992/06/30/2065" TargetMode="External" /><Relationship Id="rId30" Type="http://schemas.openxmlformats.org/officeDocument/2006/relationships/hyperlink" Target="http://data.aade.gr/eli/pri/law/1997/09/11/2523" TargetMode="External" /><Relationship Id="rId31" Type="http://schemas.openxmlformats.org/officeDocument/2006/relationships/hyperlink" Target="http://data.aade.gr/eli/pri/law/1997/09/11/2523" TargetMode="External" /><Relationship Id="rId32" Type="http://schemas.openxmlformats.org/officeDocument/2006/relationships/hyperlink" Target="http://data.aade.gr/eli/pri/law/1997/09/11/2523" TargetMode="External" /><Relationship Id="rId33" Type="http://schemas.openxmlformats.org/officeDocument/2006/relationships/hyperlink" Target="http://data.aade.gr/eli/pri/law/1997/09/11/2523" TargetMode="External" /><Relationship Id="rId34" Type="http://schemas.openxmlformats.org/officeDocument/2006/relationships/hyperlink" Target="http://data.aade.gr/eli/pri/law/1997/09/11/2523" TargetMode="External" /><Relationship Id="rId35" Type="http://schemas.openxmlformats.org/officeDocument/2006/relationships/hyperlink" Target="http://data.aade.gr/eli/pri/law/1997/09/11/2523"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1997/09/11/2523" TargetMode="External" /><Relationship Id="rId38" Type="http://schemas.openxmlformats.org/officeDocument/2006/relationships/hyperlink" Target="http://data.aade.gr/eli/pri/law/2011/03/31/3943"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1999/02/08/2682" TargetMode="External" /><Relationship Id="rId40" Type="http://schemas.openxmlformats.org/officeDocument/2006/relationships/hyperlink" Target="http://data.aade.gr/eli/pri/law/2011/03/31/3943" TargetMode="External" /><Relationship Id="rId5" Type="http://schemas.openxmlformats.org/officeDocument/2006/relationships/hyperlink" Target="http://data.aade.gr/eli/pri/law/1996/03/07/2386" TargetMode="External" /><Relationship Id="rId6" Type="http://schemas.openxmlformats.org/officeDocument/2006/relationships/hyperlink" Target="http://data.aade.gr/eli/pri/law/1997/09/11/2523" TargetMode="External" /><Relationship Id="rId7" Type="http://schemas.openxmlformats.org/officeDocument/2006/relationships/hyperlink" Target="http://data.aade.gr/eli/pri/law/2015/03/21/4321" TargetMode="External" /><Relationship Id="rId8" Type="http://schemas.openxmlformats.org/officeDocument/2006/relationships/hyperlink" Target="http://data.aade.gr/eli/pri/law/2011/03/31/3943" TargetMode="External" /><Relationship Id="rId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