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2052/1992</w:t>
      </w:r>
    </w:p>
    <w:p>
      <w:pPr>
        <w:pStyle w:val="PreambelText"/>
        <w:spacing w:before="240" w:after="240"/>
        <w:rPr>
          <w:lang w:val="el" w:eastAsia="el"/>
        </w:rPr>
      </w:pPr>
      <w:r>
        <w:rPr>
          <w:lang w:val="el" w:eastAsia="el"/>
        </w:rPr>
        <w:t>ΝΟΜΟΣ ΥΠ' ΑΡΙΘ. 2052</w:t>
      </w:r>
    </w:p>
    <w:p>
      <w:pPr>
        <w:pStyle w:val="PreambelText"/>
        <w:spacing w:before="240" w:after="240"/>
        <w:rPr>
          <w:lang w:val="el" w:eastAsia="el"/>
        </w:rPr>
      </w:pPr>
      <w:r>
        <w:rPr>
          <w:lang w:val="el" w:eastAsia="el"/>
        </w:rPr>
        <w:t>ΦΕΚ 162/Α’/2-8-2006</w:t>
      </w:r>
    </w:p>
    <w:p>
      <w:pPr>
        <w:pStyle w:val="PreambelText"/>
        <w:spacing w:before="240" w:after="240"/>
        <w:rPr>
          <w:lang w:val="el" w:eastAsia="el"/>
        </w:rPr>
      </w:pPr>
      <w:r>
        <w:rPr>
          <w:lang w:val="el" w:eastAsia="el"/>
        </w:rPr>
        <w:t>Μέτρα για την αντιμετώπιση του νέφους και πολεοδομικές ρυθμίσεις.</w:t>
      </w:r>
    </w:p>
    <w:p>
      <w:pPr>
        <w:pStyle w:val="PreambelText"/>
        <w:spacing w:before="240" w:after="240"/>
        <w:rPr>
          <w:lang w:val="el" w:eastAsia="el"/>
        </w:rPr>
      </w:pPr>
      <w:r>
        <w:rPr>
          <w:lang w:val="el" w:eastAsia="el"/>
        </w:rPr>
        <w:t>Ο ΠΡΟΕΔΡΟΣ</w:t>
      </w:r>
    </w:p>
    <w:p>
      <w:pPr>
        <w:pStyle w:val="PreambelText"/>
        <w:spacing w:before="240" w:after="240"/>
        <w:rPr>
          <w:lang w:val="el" w:eastAsia="el"/>
        </w:rPr>
      </w:pPr>
      <w:r>
        <w:rPr>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20</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Επιβολή τέλους απογραφής κ.λπ. μηχανημάτων έργων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Για την κάλυψη των δαπανών που προκύπτουν από την έγκριση του τύπου των μηχανημάτων έργων, την απογραφή και ταξινόμηση αυτών, τη χορήγηση και αντικατάσταση άδειας κυκλοφορίας, καθώς και για τη χορήγηση και αντικατάσταση των πινακίδων αριθμού κυκλοφορίας, όπως αυτά αναφέρονται στα άρθρα 84, 87, 88, 89 και 90 του ν. 614/1977 (ΦΕΚ 167 Α'), καθορίζονται τα ακόλουθα τέλη: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Για τη χορήγηση της έγκρισης του τύπου των μηχανημάτων έργων, δραχμές πενήντα χιλιάδες (50.000)</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Για την απογραφή-ταξινόμηση, τη χορήγηση άδειας κυκλοφορίας και τη χορήγηση πινακίδων αριθμού κυκλοφορίας αυτών, δραχμές τριάντα χιλιάδες (30.000).</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Για την αντικατάσταση της άδειας κυκλοφορίας ή των πινακίδων αριθμού κυκλοφορίας ή αμφοτέρων, δραχμές δεκαπέντε χιλιάδες (15.000).</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Τα ανωτέρω τέλη καταβάλλονται σε δημόσια οικονομική υπηρεσία με βάση σημείωμα της αρμόδιας υπηρεσίας της Γενικής Γραμματείας Δημόσιων Έργων του Υπουργείου Περιβάλλοντος, Χωροταξίας και Δημόσιων Έργων, που θα προσκομίζει ο υπόχρεος.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Τα τέλη των περιπτώσεων β' και γ' της προηγούμενης παραγράφου εισάγονται στον Κρατικό Προϋπολογισμό σε ίδιο φορέα και κωδικό αριθμό.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τέλη της περίπτωσης α' της προηγούμενης παραγράφου εισπράττονται υπέρ του Ταμείου Εθνικής Οδοποιίας (Τ.Ε.Ο.) και της αποδίδονται σε λογαριασμό που τηρείται στην Τράπεζα της Ελλάδος.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Στα μηχανήματα έργων επιβάλλεται ετήσιο τέλος χρήσης, το ύψος του οποίου καθορίζεται στις 350 δραχμές ανά ίππο (Αγγλικό) κινητήρα, η ισχύς του οποίου μετράται κατά DIN. Το τέλος αυτό δεν μπορεί να είναι κατώτερο του εκατονταπλάσιου του τέλους που αναλογεί στον έναν . ίππο. Αν το μηχάνημα διαθέτει δύο κινητήρες, για τον υπολογισμό του τέλους αυτού λαμβάνεται υπόψη μόνο ο κινητήρας με τη μεγαλύτερη ιπποδύναμη.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Ως προς τον υπόχρεο για την καταβολή του τέλους της προηγούμενης παραγράφου, τη βεβαίωση, καταβολή και είσπραξη αυτού, την έκπτωση λόγω ακινησίας και την επιβολή κυρώσεων λόγω φορολογικών παραβάσεων, εφαρμόζονται ανάλογα οι διατάξεις που ισχύουν κάθε φορά ως προς τα τέλη κυκλοφορίας των αυτοκινήτων και την επιβολή κυρώσεων στους κατόχους αυτών, καθώς και του Κώδικα Εισπράξεως Δημοσίων Εσόδων.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Το τέλος της παραγράφου 3 του άρθρου αυτού εισπράττεται υπέρ του Ταμείου Εθνικής Οδοποιίας (Τ.Ε.Ο.) και αποδίδεται σε λογαριασμό που τηρείται στην Τράπεζα της Ελλάδος.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Με κοινές αποφάσεις των Υπουργών Οικονομικών και Περιβάλλοντος, Χωροταξίας και Δημόσιων Έργων, που δημοσιεύονται στην Εφημερίδα της Κυβερνήσεως, καθορίζεται κάθε αναγκαία λεπτομέρεια για την εφαρμογή των διατάξεων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Το ν.δ. 21/1968 (ΦΕΚ 281 Α') καταργείται.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Η ισχύς των παραγράφων 3, 4 και 5 του άρθρου αυτού αρχίζει την 1η Ιανουαρίου 1993.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Ιουνίου 1992</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Γ. ΚΑΡΑΜΑΝΛΗΣ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ΙΩ. ΠΑΛΑΙΟΚΡΑΣΣΑΣ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Θ. ΑΝΑΓΝΩΣΤΟΠΟΥΛΟΣ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ΜΙΧ. ΠΑΠΑΚΩΝΣΤΑΝΤΙΝΟΥ</w:t>
      </w:r>
    </w:p>
    <w:p>
      <w:pPr>
        <w:spacing w:before="240" w:after="240"/>
        <w:rPr>
          <w:lang w:val="el" w:eastAsia="el"/>
        </w:rPr>
      </w:pPr>
      <w:r>
        <w:rPr>
          <w:b/>
          <w:bCs/>
          <w:lang w:val="el" w:eastAsia="el"/>
        </w:rPr>
        <w:t>ΠΕΡΙΒΑΛΛΟΝΤΟΣ, ΧΩΡΟΤΑΞΙΑΣ</w:t>
      </w:r>
    </w:p>
    <w:p>
      <w:pPr>
        <w:spacing w:before="240" w:after="240"/>
        <w:rPr>
          <w:lang w:val="el" w:eastAsia="el"/>
        </w:rPr>
      </w:pPr>
      <w:r>
        <w:rPr>
          <w:b/>
          <w:bCs/>
          <w:lang w:val="el" w:eastAsia="el"/>
        </w:rPr>
        <w:t>ΚΑΙ ΔΗΜΟΣΙΩΝ ΕΡΓΩΝ</w:t>
      </w:r>
    </w:p>
    <w:p>
      <w:pPr>
        <w:spacing w:before="240" w:after="240"/>
        <w:rPr>
          <w:lang w:val="el" w:eastAsia="el"/>
        </w:rPr>
      </w:pPr>
      <w:r>
        <w:rPr>
          <w:b/>
          <w:bCs/>
          <w:lang w:val="el" w:eastAsia="el"/>
        </w:rPr>
        <w:t>ΑΧ. ΚΑΡΑΜΑΝΛΗΣ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ΝΙΚ. ΓΚΕΛΕΣΤΑΘΗΣ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4 Ιουνίου 1992</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ΜΙΧ.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3481/2006, Άρθρο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