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άδεια ασκήσεως επαγγέλματος του Λογιστή Φοροτεχνικού διακρίνεται σε άδεια Λογιστή Φοροτεχνικού Α΄, Β΄, Γ και Δ΄ τάξεως:</w:t>
      </w:r>
    </w:p>
    <w:p>
      <w:pPr>
        <w:pStyle w:val="StructureList1"/>
        <w:spacing w:before="120" w:after="0"/>
        <w:rPr>
          <w:lang w:val="el" w:eastAsia="el"/>
        </w:rPr>
      </w:pPr>
      <w:r>
        <w:rPr>
          <w:lang w:val="el" w:eastAsia="el"/>
        </w:rPr>
        <w:t>α)</w:t>
      </w:r>
      <w:r>
        <w:rPr>
          <w:lang w:val="en" w:eastAsia="en"/>
        </w:rPr>
        <w:tab/>
      </w:r>
      <w:r>
        <w:rPr>
          <w:lang w:val="el" w:eastAsia="el"/>
        </w:rPr>
        <w:t>Άδεια ασκήσεως επαγγέλματος Λογιστή Φοροτεχνικού Δ΄ τάξεως χορηγείται από το Οικονομικό Επιμελητήριο της Ελλάδος στους κατόχους απολυτηρίου Γενικού Λυκείου, οι οποίοι ασκούν επί 12 (δώδεκα)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δέκα (10)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οκτώ (8)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οκτώ (8) έτη το επάγγελμα του βοηθού λογιστή. Οι κάτοχοι άδειας ασκήσεως επαγγέλματος Λογιστή Φοροτεχνικού Δ΄ τάξεως μετά από πενταετή άσκηση του επαγγέλματος μπορούν να αποκτήσουν άδεια Γ τάξεως.</w:t>
      </w:r>
    </w:p>
    <w:p>
      <w:pPr>
        <w:pStyle w:val="StructureList1"/>
        <w:spacing w:before="120" w:after="0"/>
        <w:rPr>
          <w:lang w:val="el" w:eastAsia="el"/>
        </w:rPr>
      </w:pPr>
      <w:r>
        <w:rPr>
          <w:lang w:val="el" w:eastAsia="el"/>
        </w:rPr>
        <w:t>β)</w:t>
      </w:r>
      <w:r>
        <w:rPr>
          <w:lang w:val="en" w:eastAsia="en"/>
        </w:rPr>
        <w:tab/>
      </w:r>
      <w:r>
        <w:rPr>
          <w:lang w:val="el" w:eastAsia="el"/>
        </w:rPr>
        <w:t>Άδεια ασκήσεως επαγγέλματος Λογιστή Φοροτεχνικού Γ΄ τάξεως χορηγείται από το Οικονομικό Επιμελητήριο της Ελλάδος στα μέλη του Ο.Ε.Ε., που έχουν άδεια ασκήσεως οικονομολογικού επαγγέλματος, στους πτυχιούχους του Τμήματος Λογιστικής της Σχολής Διοίκησης και Οικονομίας των Τεχνολογικών Εκπαιδευτικών Ιδρυμάτων που ασκούν επί διετία από τη λήψη του πτυχίου τους το επάγγελμα του Λογιστή ή στους πτυχιούχους των Τμημάτων Εμπορίας και Διαφήμισης Διοίκησης Επιχειρήσεων και Τουριστικών Επιχειρήσεων της Σχολής Διοίκησης και Οικονομίας των Τ.Ε.Ι. που ασκούν επί τετραετία από τη λήψη του πτυχίου τους το επάγγελμα του Λογιστή.</w:t>
      </w:r>
    </w:p>
    <w:p>
      <w:pPr>
        <w:pStyle w:val="StructureList1"/>
        <w:spacing w:before="120" w:after="0"/>
        <w:rPr>
          <w:lang w:val="el" w:eastAsia="el"/>
        </w:rPr>
      </w:pPr>
      <w:r>
        <w:rPr>
          <w:lang w:val="el" w:eastAsia="el"/>
        </w:rPr>
        <w:t>γ)</w:t>
      </w:r>
      <w:r>
        <w:rPr>
          <w:lang w:val="en" w:eastAsia="en"/>
        </w:rPr>
        <w:tab/>
      </w:r>
      <w:r>
        <w:rPr>
          <w:lang w:val="el" w:eastAsia="el"/>
        </w:rPr>
        <w:t>Άδεια ασκήσεως επαγγέλματος Λογιστή Φοροτεχνικού Β΄ τάξεως χορηγείται από το Οικονομικό Επιμελητήριο της Ελλάδος στα μέλη του Ο.Ε.Ε., που έχουν άδεια ασκήσεως οικονομολογικού επαγγέλματος μετά από τριετή άσκηση του επαγγέλματος Λογιστή Φοροτεχνικού Γ΄ τάξεως στους πτυχιούχους του Τμήματος Λογιστικής της Σχολής Διοίκησης και Οικονομίας και των Τμημάτων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που ασκούν επί τριετία το επάγγελμα του Λογιστή Φοροτεχνικού Γ τάξεως.</w:t>
      </w:r>
    </w:p>
    <w:p>
      <w:pPr>
        <w:pStyle w:val="StructureList1"/>
        <w:spacing w:before="120" w:after="0"/>
        <w:rPr>
          <w:lang w:val="el" w:eastAsia="el"/>
        </w:rPr>
      </w:pPr>
      <w:r>
        <w:rPr>
          <w:lang w:val="el" w:eastAsia="el"/>
        </w:rPr>
        <w:t>δ)</w:t>
      </w:r>
      <w:r>
        <w:rPr>
          <w:lang w:val="en" w:eastAsia="en"/>
        </w:rPr>
        <w:tab/>
      </w:r>
      <w:r>
        <w:rPr>
          <w:lang w:val="el" w:eastAsia="el"/>
        </w:rPr>
        <w:t>Άδεια ασκήσεως του επαγγέλματος Λογιστή Φοροτεχνικού Α΄ τάξεως χορηγείται στα μέλη του Ο.Ε.Ε., που έχουν άδεια ασκήσεως οικονομολογικού επαγγέλματος και ασκούν επί τετραετία το επάγγελμα του Λογιστή Φοροτεχνικού Β΄ τάξεως και στους πτυχιούχους του Τμήματος Λογιστικής της Σχολής Διοίκησης και Οικονομίας των Τεχνολογικών Εκπαιδευτικών Ιδρυμάτων που ασκούν επί οκταετία το επάγγελμα του Λογιστή Φοροτεχνικού Β΄ τάξεως.</w:t>
      </w:r>
    </w:p>
    <w:p>
      <w:pPr>
        <w:pStyle w:val="StructureList1"/>
        <w:spacing w:before="120" w:after="0"/>
        <w:rPr>
          <w:lang w:val="el" w:eastAsia="el"/>
        </w:rPr>
      </w:pPr>
      <w:r>
        <w:rPr>
          <w:lang w:val="el" w:eastAsia="el"/>
        </w:rPr>
        <w:t>ε)</w:t>
      </w:r>
      <w:r>
        <w:rPr>
          <w:lang w:val="en" w:eastAsia="en"/>
        </w:rPr>
        <w:tab/>
      </w:r>
      <w:r>
        <w:rPr>
          <w:lang w:val="el" w:eastAsia="el"/>
        </w:rPr>
        <w:t>Η άδεια ασκήσεως επαγγέλματος ανωτέρας τάξεως πέραν των ετών υπηρεσίας θα αποκτάται και μετά από επιτυχείς εξετάσεις, όπως αυτές θα καθορισθούν από το προεδρικό διάταγμα της παραγράφου 3 του παρόντος άρθρου. Οι εξετάσεις θα διενεργούνται από ειδική επιτροπή αποτελούμενη από καθηγητές Α.Ε.Ι. και ειδικούς επαγγελματίες αναγνωρισμένου κύρους με την ευθύνη της Κεντρικής Διοίκησης του Ο.Ε.Ε. Οι ενότητες των εξεταζομένων μαθημάτων (Α΄, Β΄, και Γ΄) θα καθορισθούν στο ίδιο προεδρικό διάταγμα.</w:t>
      </w:r>
    </w:p>
    <w:p>
      <w:pPr>
        <w:pStyle w:val="StructureList1"/>
        <w:spacing w:before="120" w:after="0"/>
        <w:rPr>
          <w:lang w:val="el" w:eastAsia="el"/>
        </w:rPr>
      </w:pPr>
      <w:r>
        <w:rPr>
          <w:lang w:val="el" w:eastAsia="el"/>
        </w:rPr>
        <w:t>στ)</w:t>
      </w:r>
      <w:r>
        <w:rPr>
          <w:lang w:val="en" w:eastAsia="en"/>
        </w:rPr>
        <w:tab/>
      </w:r>
      <w:r>
        <w:rPr>
          <w:lang w:val="el" w:eastAsia="el"/>
        </w:rPr>
        <w:t xml:space="preserve">Οι νομίμως ασκούντες μέχρι τη δημοσίευση του παρόντος νόμου το επάγγελμα του Λογιστή ως μισθωτοί ή ελεύθεροι επαγγελματίες αποκτούν το δικαίωμα άδειας άσκησης επαγγέλματος Λογιστή Φοροτεχνικού, εντασσόμενοι σε κατηγορία αντίστοιχη αυτής που ανήκουν με βάση το άρθρο 29 του π.δ/τος 186/1992 περί Κώδικα Βιβλίων και Στοιχείων. </w:t>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οι βοηθοί Ορκωτοί Εκτιμητές Α΄ τάξεως και οι βοηθοί Ορκωτοί Εκτιμητές, οι οποίοι από της συστάσεως του ασκούν δημόσιο λειτούργημα, είναι ελεύθεροι επαγγελματίες και δεν έχουν σχέση εξαρτημένης εργασίας με το Σ.Ο.Ε..</w:t>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Ψυχαγωγικά τεχνικά παίγνια είναι τα παίγνια των οποίων το αποτέλεσμα εξαρτάται από την τεχνική ή πνευματική ικανότητα του παίκτη, η δε λειτουργία και διεξαγωγή τους γίνεται αποκλειστικά για ψυχαγωγικούς σκοπούς, χωρίς να επιτρέπεται η συνομολόγηση στοιχήματος ή η παροχή οποιασδήποτε μορφής οικονομικού οφέλους στον παίκτη. Στην κατηγορία των ψυχαγωγικών τεχνικών παιγνίων εντάσσονται και όλα τα μέχρι της δημοσιεύσεως του παρόντος νόμου χαρακτηρισθέντα ως «τεχνικά παίγνια» με βάση τις διατάξεις του Β.Δ. 29/1971. Τα παντός είδους παιγνιομηχανήματα, στα οποία εγκαθίστανται ή λειτουργούν ηλεκτρονικά, ηλεκτρικά ή μηχανικά ψυχαγωγικά τεχνικά παίγνια, δεν επιτρέπεται να διαθέτουν σύστημα απόδοσης οικονομικού οφέλους.</w:t>
      </w:r>
    </w:p>
    <w:p>
      <w:pPr>
        <w:pStyle w:val="MainText"/>
        <w:spacing w:before="120" w:after="0"/>
        <w:rPr>
          <w:lang w:val="el" w:eastAsia="el"/>
        </w:rPr>
      </w:pPr>
      <w:r>
        <w:rPr>
          <w:b/>
          <w:bCs/>
          <w:lang w:val="el" w:eastAsia="el"/>
        </w:rPr>
        <w:t>2.</w:t>
      </w:r>
      <w:r>
        <w:rPr>
          <w:b/>
          <w:bCs/>
          <w:lang w:val="el" w:eastAsia="el"/>
        </w:rPr>
        <w:t xml:space="preserve"> Τα ψυχαγωγικά τεχνικά παίγνια διενεργούνται ελεύθερα. Για όσα εξ αυτών προβλέπεται η καταβολή τέλους, σύμφωνα με τις διατάξεις των παραγράφων 3 και 5, χορηγείται άδεια διενέργειας ψυχαγωγικών τεχνικών παιγνίων. Για το έτος 1997, η άδεια αυτή χορηγείται από τις αρμόδιες αστυνομικές αρχές και η ισχύς της λήγει την 31η Δεκεμβρίου 1997. Για τα έτη 1998 και επόμενα, η άδεια χορηγείται από το δήμο ή την κοινότητα, στην περιφέρεια των οποίων εγκαθίστανται ή λειτουργούν τα ψυχαγωγικά τεχνικά παίγνια και ισχύει μέχρι την τυχόν ανάκληση της. Η άδεια εκδίδεται εντός προθεσμίας τριάντα (30) ημερών, από την ημερομηνία υποβολής της σχετικής αίτησης και όλων των απαιτούμενων δικαιολογητικών.</w:t>
      </w:r>
    </w:p>
    <w:p>
      <w:pPr>
        <w:pStyle w:val="MainText"/>
        <w:spacing w:before="120" w:after="0"/>
        <w:rPr>
          <w:lang w:val="el" w:eastAsia="el"/>
        </w:rPr>
      </w:pPr>
      <w:r>
        <w:rPr>
          <w:b/>
          <w:bCs/>
          <w:lang w:val="el" w:eastAsia="el"/>
        </w:rPr>
        <w:t>3.</w:t>
      </w:r>
      <w:r>
        <w:rPr>
          <w:b/>
          <w:bCs/>
          <w:lang w:val="el" w:eastAsia="el"/>
        </w:rPr>
        <w:t xml:space="preserve"> Για τη χορήγηση της αναφερόμενης στην παράγραφο 2 του παρόντος άρθρου άδειας διενέργειας ψυχαγωγικών τεχνικών παιγνίων, καθώς και για τη διατήρησή της σε ισχύ κατ΄ έτος επιβάλλεται στους ιδιοκτήτες των καταστημάτων διενέργειας ψυχαγωγικών τεχνικών παιγνίων ετήσιο και αδιαίρετο τέλος, με την ονομασία «Τέλος Ψυχαγωγικών Τεχνικών Παιγνίων» το οποίο από 1.11.1999 επιμερίζεται σε ποσοστό 90% υπέρ του δημοσίου και σε ποσοστό 10% υπέρ του δήμου ή της κοινότητας, στην περιοχή των οποίων εγκαθίστανται και λειτουργούν τα ψυχαγωγικά τεχνικά παίγνια.</w:t>
      </w:r>
      <w:r>
        <w:rPr>
          <w:rStyle w:val="Hyperlink"/>
          <w:b/>
          <w:bCs/>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b/>
          <w:bCs/>
          <w:lang w:val="el" w:eastAsia="el"/>
        </w:rPr>
        <w:t xml:space="preserve"> Με κοινή απόφαση των Υπουργών Εσωτερικών, Δημόσιας Διοίκησης και Αποκέντρωσης και Οικονομικών, καθορίζεται η διαδικασία απόδοσης στους οικείους Ο.Τ.Α. του ποσοστού που δικαιούνται από τα τέλη διενέργειας ψυχαγωγικών τεχνικών παιγνίων, τα οποία εισπράχθηκαν ή θα εισπραχθούν από 1.11.1997 μέχρι 31.10.1999 και αφορούν τα έτη 1998 και 1999.</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b/>
          <w:bCs/>
          <w:lang w:val="el" w:eastAsia="el"/>
        </w:rPr>
        <w:t xml:space="preserve"> Τα ετήσιο τέλος επιβάλλεται σε κάθε παιγνιομηχάνημα, στο οποίο εγκαθίστανται ή λειτουργούν ηλεκτρονικά, ηλεκτρικά ή μηχανικά ψυχαγωγικά παίγνια, με σκοπό την εκμετάλλευση σε δημόσια γενικά κέντρα (ξενοδοχεία, καφενεία, αίθουσες αναγνωρισμένων σωματείων πάσης φύσεως και σε κάθε χώρο προσιτό στο κοινό), καθώς επίσης και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ειδικότερα ως εξής:</w:t>
      </w:r>
    </w:p>
    <w:p>
      <w:pPr>
        <w:spacing w:before="240" w:after="240"/>
        <w:rPr>
          <w:lang w:val="el" w:eastAsia="el"/>
        </w:rPr>
      </w:pPr>
      <w:r>
        <w:rPr>
          <w:b/>
          <w:bCs/>
          <w:lang w:val="el" w:eastAsia="el"/>
        </w:rPr>
        <w:t>α. Για δήμους και κοινότητες με πληθυσμό μέχρι 1.000 (χίλιους) κατοίκους, σε είκοσι πέντε χιλιάδες (25.000)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 με εξαίρεση τους δήμους και κοινότητες που εμπίπτουν στην επόμενη περίπτωση.</w:t>
      </w:r>
    </w:p>
    <w:p>
      <w:pPr>
        <w:spacing w:before="240" w:after="240"/>
        <w:rPr>
          <w:lang w:val="el" w:eastAsia="el"/>
        </w:rPr>
      </w:pPr>
      <w:r>
        <w:rPr>
          <w:b/>
          <w:bCs/>
          <w:lang w:val="el" w:eastAsia="el"/>
        </w:rPr>
        <w:t>β. Για δήμους και κοινότητες με πληθυσμό μέχρι 1.000 κατοίκους, που έχουν περιοχές χαρακτηρισμένες ως τουριστικές ή αρχαιολογικές ή με ιαματικά λουτρά, καθώς και σε πλοία των γραμμών εσωτερικού, σε πενήντα πέντε χιλιάδες (55.000)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γ. Για δήμους και κοινότητες με πληθυσμό πάνω από 1.000 και μέχρι 10.000 κατοίκους, σε ογδόντα χιλιάδες (80.000)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δ. Για δήμους με πληθυσμό πάνω από 10.000 και μέχρι 50.000 κατοίκους, σε εκατό χιλιάδες (100.000)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ε. Για δήμους με πληθυσμό πάνω από 50.000 κατοίκους, σε εκατόν σαράντα χιλιάδες (140.000)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στ. Για εντευκτήρια σωματείων, συλλόγων και ομίλων, σε εκατόν ογδόντα χιλιάδες (180. 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pStyle w:val="MainText"/>
        <w:spacing w:before="120" w:after="0"/>
        <w:rPr>
          <w:lang w:val="el" w:eastAsia="el"/>
        </w:rPr>
      </w:pPr>
      <w:r>
        <w:rPr>
          <w:b/>
          <w:bCs/>
          <w:lang w:val="el" w:eastAsia="el"/>
        </w:rPr>
        <w:t>6.</w:t>
      </w:r>
      <w:r>
        <w:rPr>
          <w:b/>
          <w:bCs/>
          <w:lang w:val="el" w:eastAsia="el"/>
        </w:rPr>
        <w:t xml:space="preserve"> Για τον υπολογισμό του πληθυσμού κάθε δήμου ή κοινότητας λαμβάνεται υπόψη η τελευταία απογραφή. Η περιοχή της τέως Διοικήσεως Πρωτευούσης θεωρείται για την εφαρμογή του παρόντος άρθρου ως ένας Δήμος. Το αυτό ισχύει και για το Πολεοδομικό Συγκρότημα Θεσσαλονίκης.</w:t>
      </w:r>
    </w:p>
    <w:p>
      <w:pPr>
        <w:spacing w:before="240" w:after="240"/>
        <w:rPr>
          <w:lang w:val="el" w:eastAsia="el"/>
        </w:rPr>
      </w:pPr>
      <w:r>
        <w:rPr>
          <w:b/>
          <w:bCs/>
          <w:lang w:val="el" w:eastAsia="el"/>
        </w:rPr>
        <w:t>Για την εφαρμογή των διατάξεων του παρόντος άρθρου, ειδικά διασκευασμένα τραπέζια για τη διενέργεια ψυχαγωγικών τεχνικών παιγνίων με παιγνιόχαρτα είναι αυτά τα οποία φέρουν σταθερή ή μη επικάλυψη ειδικού υφάσματος (τσόχα) ή άλλου πρόσφορου επιτρεπόμενου μέσου.</w:t>
      </w:r>
    </w:p>
    <w:p>
      <w:pPr>
        <w:pStyle w:val="MainText"/>
        <w:spacing w:before="120" w:after="0"/>
        <w:rPr>
          <w:lang w:val="el" w:eastAsia="el"/>
        </w:rPr>
      </w:pPr>
      <w:r>
        <w:rPr>
          <w:b/>
          <w:bCs/>
          <w:lang w:val="el" w:eastAsia="el"/>
        </w:rPr>
        <w:t>7.</w:t>
      </w:r>
      <w:r>
        <w:rPr>
          <w:b/>
          <w:bCs/>
          <w:lang w:val="el" w:eastAsia="el"/>
        </w:rPr>
        <w:t xml:space="preserve"> Το ετήσιο τέλος καταβάλλεται από τους ιδιοκτήτες των καταστημάτων διενέργειας ψυχαγωγικών τεχνικών παιγνίων στις αρμόδιες για τη φορολογία του εισοδήματος τους Δημόσιες Οικονομικές Υπηρεσίες (Δ.Ο.Υ.) ή από τους ιδιοκτήτες των παιγνιομηχανημάτων, είτε στις ίδιες πιο πάνω ΔΟΥ είτε στις αρμόδιες για τη φορολογία του εισοδήματος τους Δ.Ο.Υ. με την υποβολή:</w:t>
      </w:r>
    </w:p>
    <w:p>
      <w:pPr>
        <w:pStyle w:val="StructureList1"/>
        <w:spacing w:before="120" w:after="0"/>
        <w:rPr>
          <w:lang w:val="el" w:eastAsia="el"/>
        </w:rPr>
      </w:pPr>
      <w:r>
        <w:rPr>
          <w:b/>
          <w:bCs/>
          <w:lang w:val="el" w:eastAsia="el"/>
        </w:rPr>
        <w:t>α)</w:t>
      </w:r>
      <w:r>
        <w:rPr>
          <w:b/>
          <w:bCs/>
          <w:lang w:val="en" w:eastAsia="en"/>
        </w:rPr>
        <w:tab/>
      </w:r>
      <w:r>
        <w:rPr>
          <w:b/>
          <w:bCs/>
          <w:lang w:val="el" w:eastAsia="el"/>
        </w:rPr>
        <w:t>δήλωσης απογραφής, στην οποία αναγράφεται ο αριθμός των παιγνιομηχανημάτων ή/και των ειδικά διασκευασμένων τραπεζιών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υπεύθυνης δήλωσης του Ν. 1599/1986 (ΦΕΚ 75 Α΄), ότι: «στα παιγνιομηχανήματα ή/και στα ειδικά διασκευασμένα τραπέζια της συνυποβαλλόμενης δήλωσης απογραφής διεξάγονται και λειτουργούν αποκλειστικά και μόνο ψυχαγωγικά τεχνικά παίγνια».</w:t>
      </w:r>
    </w:p>
    <w:p>
      <w:pPr>
        <w:spacing w:before="240" w:after="240"/>
        <w:rPr>
          <w:lang w:val="el" w:eastAsia="el"/>
        </w:rPr>
      </w:pPr>
      <w:r>
        <w:rPr>
          <w:b/>
          <w:bCs/>
          <w:lang w:val="el" w:eastAsia="el"/>
        </w:rPr>
        <w:t>Με την καταβολή του τέλους, η αρμόδια Δ.Ο.Υ. εκδίδει σχετικό αποδεικτικό καταβολής, προβαίνει στη θεώρηση της δήλωσης απογραφής και χορηγεί ειδικό αυτοκόλλητο σήμα για κάθε παιγνιομηχάνημα ή/και τραπέζι.</w:t>
      </w:r>
    </w:p>
    <w:p>
      <w:pPr>
        <w:spacing w:before="240" w:after="240"/>
        <w:rPr>
          <w:lang w:val="el" w:eastAsia="el"/>
        </w:rPr>
      </w:pPr>
      <w:r>
        <w:rPr>
          <w:b/>
          <w:bCs/>
          <w:lang w:val="el" w:eastAsia="el"/>
        </w:rPr>
        <w:t>Το χορηγούμενο σήμα, μετά τη χορήγηση της άδειας διενέργειας και λειτουργίας ψυχαγωγικών τεχνικών παιγνίων της παραγράφου 2 του παρόντος άρθρου, επικολλάται σε εμφανές σημείο σε κάθε μηχάνημα και τραπέζι και αποτελεί ένδειξη, ότι αυτό έχει ληφθεί υπόψη για τον υπολογισμό του τέλους και ότι συμπεριλαμβάνεται στη δήλωση απογραφής.</w:t>
      </w:r>
    </w:p>
    <w:p>
      <w:pPr>
        <w:pStyle w:val="MainText"/>
        <w:spacing w:before="120" w:after="0"/>
        <w:rPr>
          <w:lang w:val="el" w:eastAsia="el"/>
        </w:rPr>
      </w:pPr>
      <w:r>
        <w:rPr>
          <w:b/>
          <w:bCs/>
          <w:lang w:val="el" w:eastAsia="el"/>
        </w:rPr>
        <w:t>8.</w:t>
      </w:r>
      <w:r>
        <w:rPr>
          <w:b/>
          <w:bCs/>
          <w:lang w:val="el" w:eastAsia="el"/>
        </w:rPr>
        <w:t xml:space="preserve"> Το τέλος που ορίζεται στην παράγραφο 5 του παρόντος άρθρου, καταβάλλεται για το έτος της πρώτης ή της συμπληρωματικής άδειας, πριν τη χορήγηση των αδειών, για έκαστο δε από τα επόμενα έτη εντός του τελευταίου διμήνου του προηγούμενου έτους εκείνου για το οποίο καταβάλλεται.</w:t>
      </w:r>
    </w:p>
    <w:p>
      <w:pPr>
        <w:spacing w:before="240" w:after="240"/>
        <w:rPr>
          <w:lang w:val="el" w:eastAsia="el"/>
        </w:rPr>
      </w:pPr>
      <w:r>
        <w:rPr>
          <w:b/>
          <w:bCs/>
          <w:lang w:val="el" w:eastAsia="el"/>
        </w:rPr>
        <w:t>Εξαιρετικά, για το έτος 1997 το τέλος καταβάλλεται εντός 3 (τριών) μηνών από τη δημοσίευση του παρόντος νόμου στην Εφημερίδα της Κυβερνήσεως, πλην της περίπτωσης που μετά τη συμπλήρωση του τριμήνου θα χορηγηθεί πρώτη η συμπληρωματική άδεια, οπότε εφαρμόζονται τα οριζόμενα στο προηγούμενο εδάφιο.</w:t>
      </w:r>
    </w:p>
    <w:p>
      <w:pPr>
        <w:spacing w:before="240" w:after="240"/>
        <w:rPr>
          <w:lang w:val="el" w:eastAsia="el"/>
        </w:rPr>
      </w:pPr>
      <w:r>
        <w:rPr>
          <w:b/>
          <w:bCs/>
          <w:lang w:val="el" w:eastAsia="el"/>
        </w:rPr>
        <w:t>Στην εκδιδόμενη άδεια επισυνάπτονται θεωρημένα αντίγραφα της δήλωσης απογραφής και του αποδεικτικού καταβολής του τέλους.</w:t>
      </w:r>
    </w:p>
    <w:p>
      <w:pPr>
        <w:spacing w:before="240" w:after="240"/>
        <w:rPr>
          <w:lang w:val="el" w:eastAsia="el"/>
        </w:rPr>
      </w:pPr>
      <w:r>
        <w:rPr>
          <w:b/>
          <w:bCs/>
          <w:lang w:val="el" w:eastAsia="el"/>
        </w:rPr>
        <w:t>Σε περίπτωση μετακίνησης ή μεταβίβασης μηχανήματος ή ειδικά διασκευασμένου τραπεζιού, για το οποίο έχει καταβληθεί το ετήσιο τέλος, δεν οφείλεται νέο τέλος για το ίδιο έτος, εκτός εάν η εγκατάσταση γίνεται σε περιοχή για την οποία προβλέπεται μεγαλύτερο τέλος, οπότε καταβάλλεται η διαφορά του τέλους χωρίς να χορηγείται νέο σήμα.</w:t>
      </w:r>
    </w:p>
    <w:p>
      <w:pPr>
        <w:spacing w:before="240" w:after="240"/>
        <w:rPr>
          <w:lang w:val="el" w:eastAsia="el"/>
        </w:rPr>
      </w:pPr>
      <w:r>
        <w:rPr>
          <w:b/>
          <w:bCs/>
          <w:lang w:val="el" w:eastAsia="el"/>
        </w:rPr>
        <w:t>Τα χρηματικά ποσά, που καταβάλλονται ως ετήσιο τέλος διενέργειας ψυχαγωγικών τεχνικών παιγνίων, θεωρούνται δαπάνη της επιχείρησης και εκπίπτουν από τα ακαθάριστα έσοδα των επιχειρήσεων, των οποίων το καθαρό εισόδημα προσδιορίζεται λογιστικά ή από τα συνολικά καθαρά κέρδη των επιχειρήσεων, των οποίων το καθαρό εισόδημα προσδιορίζεται εξωλογιστικά ή από το καθαρό εισόδημα των επιχειρήσεων που προσδιορίζεται αντικειμενικά, σύμφωνα με τις διατάξεις των παραγράφων 1 , 2 , 3 , 4 , 5 , 6 , 7 , 8 , 9 , 10 , 11 και 12 του άρθρου 33 του Ν. 2238/1994 . Το πιο πάνω ετήσιο τέλος δεν συμψηφίζεται με άλλους φόρους ή τέλη ούτε επιστρέφεται.</w:t>
      </w:r>
    </w:p>
    <w:p>
      <w:pPr>
        <w:pStyle w:val="MainText"/>
        <w:spacing w:before="120" w:after="0"/>
        <w:rPr>
          <w:lang w:val="el" w:eastAsia="el"/>
        </w:rPr>
      </w:pPr>
      <w:r>
        <w:rPr>
          <w:b/>
          <w:bCs/>
          <w:lang w:val="el" w:eastAsia="el"/>
        </w:rPr>
        <w:t>9.</w:t>
      </w:r>
      <w:r>
        <w:rPr>
          <w:b/>
          <w:bCs/>
          <w:lang w:val="el" w:eastAsia="el"/>
        </w:rPr>
        <w:t xml:space="preserve"> Σε περίπτωση απώλειας ή καταστροφής του σήματος δημιουργείται υποχρέωση προμήθειας νέου σήματος, με καταβολή του ποσού που αντιστοιχεί στο παιγνιομηχάνημα ή στο τραπέζι, για το οποίο προσδιορίζεται το σήμα.</w:t>
      </w:r>
    </w:p>
    <w:p>
      <w:pPr>
        <w:spacing w:before="240" w:after="240"/>
        <w:rPr>
          <w:lang w:val="el" w:eastAsia="el"/>
        </w:rPr>
      </w:pPr>
      <w:r>
        <w:rPr>
          <w:b/>
          <w:bCs/>
          <w:lang w:val="el" w:eastAsia="el"/>
        </w:rPr>
        <w:t>Σε περίπτωση εγκατάστασης ή λειτουργίας ψυχαγωγικών τεχνικών παιγνίων σε παιγνιομηχανήματα ή σε ειδικά διασκευασμένα τραπέζια, χωρίς την καταβολή του νόμιμου τέλους, επιβάλλεται από την αρμόδια Δ.Ο.Υ. πρόστιμο, το οποίο ανέρχεται στο πενταπλάσιο του, κατά τις παραγράφους 3 και 5, τέλους διενέργειας ψυχαγωγικών τεχνικών παιγνίων.</w:t>
      </w:r>
    </w:p>
    <w:p>
      <w:pPr>
        <w:spacing w:before="240" w:after="240"/>
        <w:rPr>
          <w:lang w:val="el" w:eastAsia="el"/>
        </w:rPr>
      </w:pPr>
      <w:r>
        <w:rPr>
          <w:b/>
          <w:bCs/>
          <w:lang w:val="el" w:eastAsia="el"/>
        </w:rPr>
        <w:t>Σε περίπτωση μη επικόλλησης του σήματος επιβάλλεται πρόστιμο που ισούται με το διπλάσιο του ετήσιου τέλους, που αντιστοιχεί στο συγκεκριμένο παιγνιομηχάνημα ή τραπέζι. Πρόστιμο που ισούται με το διπλάσιο του ετήσιου τέλους επιβάλλεται και σε περίπτωση μη επικόλλησης του σήματος, σε παιγνιομηχάνημα που έχει υποστεί βλάβη και βρίσκεται εντός του χώρου διενέργειας ψυχαγωγικών τεχνικών παιγνίων.</w:t>
      </w:r>
    </w:p>
    <w:p>
      <w:pPr>
        <w:pStyle w:val="MainText"/>
        <w:spacing w:before="120" w:after="0"/>
        <w:rPr>
          <w:lang w:val="el" w:eastAsia="el"/>
        </w:rPr>
      </w:pPr>
      <w:r>
        <w:rPr>
          <w:b/>
          <w:bCs/>
          <w:lang w:val="el" w:eastAsia="el"/>
        </w:rPr>
        <w:t>10.</w:t>
      </w:r>
      <w:r>
        <w:rPr>
          <w:b/>
          <w:bCs/>
          <w:lang w:val="el" w:eastAsia="el"/>
        </w:rPr>
        <w:t xml:space="preserve"> Απαγορεύεται, με την επιφύλαξη των διατάξεων του Ν. 2206/1994 (ΦΕΚ 62 Α΄), ή με οποιονδήποτε τρόπο εγκατάσταση και διενέργεια μικτών ή τυχερών παιγνίων.</w:t>
      </w:r>
    </w:p>
    <w:p>
      <w:pPr>
        <w:spacing w:before="240" w:after="240"/>
        <w:rPr>
          <w:lang w:val="el" w:eastAsia="el"/>
        </w:rPr>
      </w:pPr>
      <w:r>
        <w:rPr>
          <w:b/>
          <w:bCs/>
          <w:lang w:val="el" w:eastAsia="el"/>
        </w:rPr>
        <w:t>Απαγορεύεται επίσης ή με οποιονδήποτε τρόπο μετατροπή των παιγνιομηχανημάτων ψυχαγωγικών τεχνικών παιγνίων και η εγκατάσταση ή διενέργεια μικτών ή τυχερών παιγνίων επί αυτών.</w:t>
      </w:r>
    </w:p>
    <w:p>
      <w:pPr>
        <w:spacing w:before="240" w:after="240"/>
        <w:rPr>
          <w:lang w:val="el" w:eastAsia="el"/>
        </w:rPr>
      </w:pPr>
      <w:r>
        <w:rPr>
          <w:b/>
          <w:bCs/>
          <w:lang w:val="el" w:eastAsia="el"/>
        </w:rPr>
        <w:t>Σε κάθε περίπτωση εγκατάστασης ή διενέργειας μικτών ή τυχερών παιγνίων, εφαρμόζονται ως προς τις κυρώσεις οι σχετικές διατάξεις του β.δ/τος 29/1971.</w:t>
      </w:r>
    </w:p>
    <w:p>
      <w:pPr>
        <w:pStyle w:val="MainText"/>
        <w:spacing w:before="120" w:after="0"/>
        <w:rPr>
          <w:lang w:val="el" w:eastAsia="el"/>
        </w:rPr>
      </w:pPr>
      <w:r>
        <w:rPr>
          <w:b/>
          <w:bCs/>
          <w:lang w:val="el" w:eastAsia="el"/>
        </w:rPr>
        <w:t>11.</w:t>
      </w:r>
      <w:r>
        <w:rPr>
          <w:b/>
          <w:bCs/>
          <w:lang w:val="el" w:eastAsia="el"/>
        </w:rPr>
        <w:t xml:space="preserve"> Στο Υπουργείο Οικονομικών συστήνεται Γνωμοδοτική Επιτροπή Παιγνίων, η οποία υπάγεται στον Υπουργό Οικονομικών. Με Π.Δ., που εκδίδεται με πρόταση του Υπουργού Οικονομικών, εντός τριών (3) μηνών από τη δημοσίευση του παρόντος νόμου, καθορίζεται η σύνθεση και το έργο της εν λόγω Επιτροπής, καθώς και κάθε άλλη αναγκαία λεπτομέρεια λειτουργίας της. Στον πρόεδρο και τα μέλη της Επιτροπής αυτής καταβάλλεται αποζημίωση, το ύψος της οποίας καθορίζεται με απόφαση του Υπουργού Οικονομικών.</w:t>
      </w:r>
    </w:p>
    <w:p>
      <w:pPr>
        <w:pStyle w:val="MainText"/>
        <w:spacing w:before="120" w:after="0"/>
        <w:rPr>
          <w:lang w:val="el" w:eastAsia="el"/>
        </w:rPr>
      </w:pPr>
      <w:r>
        <w:rPr>
          <w:b/>
          <w:bCs/>
          <w:lang w:val="el" w:eastAsia="el"/>
        </w:rPr>
        <w:t>12.</w:t>
      </w:r>
      <w:r>
        <w:rPr>
          <w:b/>
          <w:bCs/>
          <w:lang w:val="el" w:eastAsia="el"/>
        </w:rPr>
        <w:t xml:space="preserve"> Ο έλεγχος της εφαρμογής των οριζομένων από τις διατάξεις του παρόντος άρθρου, για μεν το έτος 1997 ενεργείται από τις Αστυνομικές Αρχές και το Σώμα Δίωξης Οικονομικού Εγκλήματος, για δε τα έτη 1998 και επόμενα ανατίθεται στο Σώμα Δίωξης Οικονομικού Εγκλήματος και στη Δημοτική Αστυνομία.</w:t>
      </w:r>
    </w:p>
    <w:p>
      <w:pPr>
        <w:pStyle w:val="MainText"/>
        <w:spacing w:before="120" w:after="0"/>
        <w:rPr>
          <w:lang w:val="el" w:eastAsia="el"/>
        </w:rPr>
      </w:pPr>
      <w:r>
        <w:rPr>
          <w:b/>
          <w:bCs/>
          <w:lang w:val="el" w:eastAsia="el"/>
        </w:rPr>
        <w:t>13.</w:t>
      </w:r>
      <w:r>
        <w:rPr>
          <w:b/>
          <w:bCs/>
          <w:lang w:val="el" w:eastAsia="el"/>
        </w:rPr>
        <w:t xml:space="preserve"> Ο τύπος και το περιεχόμενο του ειδικού σήματος, που επικολλάται σε κάθε παιγνιομηχάνημα και σε κάθε ειδικά διασκευασμένο τραπέζι, η εκτύπωση και διάθεση αυτού, καθώς και κάθε αναγκαία λεπτομέρεια σχετική με το σήμα αυτό, καθορίζεται με απόφαση του Υπουργού Οικονομικών, που δημοσιεύεται στην Εφημερίδα της Κυβερνήσεως.</w:t>
      </w:r>
    </w:p>
    <w:p>
      <w:pPr>
        <w:spacing w:before="240" w:after="240"/>
        <w:rPr>
          <w:lang w:val="el" w:eastAsia="el"/>
        </w:rPr>
      </w:pPr>
      <w:r>
        <w:rPr>
          <w:b/>
          <w:bCs/>
          <w:lang w:val="el" w:eastAsia="el"/>
        </w:rPr>
        <w:t>Για το έτος 1997, οι όροι, οι προϋποθέσεις, η διαδικασία και τα δικαιολογητικά για τη χορήγηση των αδειών διενέργειας των ψυχαγωγικών τεχνικών παιγνίων, καθώς επίσης και κάθε άλλη αναγκαία λεπτομέρεια για την εφαρμογή των διατάξεων του παρόντος άρθρου, καθορίζονται με απόφαση των Υπουργών Οικονομικών και Δημόσιας Τάξης.</w:t>
      </w:r>
    </w:p>
    <w:p>
      <w:pPr>
        <w:spacing w:before="240" w:after="240"/>
        <w:rPr>
          <w:lang w:val="el" w:eastAsia="el"/>
        </w:rPr>
      </w:pPr>
      <w:r>
        <w:rPr>
          <w:b/>
          <w:bCs/>
          <w:lang w:val="el" w:eastAsia="el"/>
        </w:rPr>
        <w:t>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αδειών διενέργειας των ψυχαγωγικών τεχνικών παιγνίων και για την εφαρμογή των διατάξεων του παρόντος άρθρου καθορίζονται με απόφαση των Υπουργών Δημόσιας Διοίκησης και Αποκέντρωσης και Εσωτερικών, Οικονομικών.</w:t>
      </w:r>
    </w:p>
    <w:p>
      <w:pPr>
        <w:pStyle w:val="MainText"/>
        <w:spacing w:before="120" w:after="0"/>
        <w:rPr>
          <w:lang w:val="el" w:eastAsia="el"/>
        </w:rPr>
      </w:pPr>
      <w:r>
        <w:rPr>
          <w:b/>
          <w:bCs/>
          <w:lang w:val="el" w:eastAsia="el"/>
        </w:rPr>
        <w:t>14.</w:t>
      </w:r>
      <w:r>
        <w:rPr>
          <w:b/>
          <w:bCs/>
          <w:lang w:val="el" w:eastAsia="el"/>
        </w:rPr>
        <w:t xml:space="preserve"> Η προθεσμία που προβλέπεται από τη διάταξη της παραγράφου 2 του άρθρου 7 του Ν. 2390/1996 , για την υποβολή της αίτησης για την ανανέωση της άδειας διενέργειας τεχνικών παιγνίων του έτους 1996, που έληγε στις 21 Ιουνίου 1996, παρατείνεται, από τότε που έληγε, μέχρι και 2 Δεκεμβρίου 1996.</w:t>
      </w:r>
    </w:p>
    <w:p>
      <w:pPr>
        <w:spacing w:before="240" w:after="240"/>
        <w:rPr>
          <w:lang w:val="el" w:eastAsia="el"/>
        </w:rPr>
      </w:pPr>
      <w:r>
        <w:rPr>
          <w:b/>
          <w:bCs/>
          <w:lang w:val="el" w:eastAsia="el"/>
        </w:rPr>
        <w:t>Δεν επιβάλλονται πρόστιμα μη καταβολής του τέλους ή μη επικόλλησης του σήματος, για παραβάσεις που έχουν βεβαιωθεί κατά το χρονικό διάστημα από 21 Μαρτίου 1996 μέχρι και 2 Δεκεμβρίου 1996.</w:t>
      </w:r>
    </w:p>
    <w:p>
      <w:pPr>
        <w:spacing w:before="240" w:after="240"/>
        <w:rPr>
          <w:lang w:val="el" w:eastAsia="el"/>
        </w:rPr>
      </w:pPr>
      <w:r>
        <w:rPr>
          <w:b/>
          <w:bCs/>
          <w:lang w:val="el" w:eastAsia="el"/>
        </w:rPr>
        <w:t>Οι μέχρι τη δημοσίευση του παρόντος νόμου εκδοθείσες, κατ΄ εφαρμογή του άρθρου 5 παράγραφος 8 του β.δ/τος 29/1971 , διοικητικές πράξεις αφαίρεσης της άδειας διενέργειας τεχνικών παιγνίων, καθώς και εκείνες, η διαδικασία έκδοσης των οποίων δεν έχει ολοκληρωθεί μέχρι τη δημοσίευση του παρόντος νόμου, δεν εκτελούνται ούτε εκδίδονται, αντίστοιχα.</w:t>
      </w:r>
    </w:p>
    <w:p>
      <w:pPr>
        <w:pStyle w:val="MainText"/>
        <w:spacing w:before="120" w:after="0"/>
        <w:rPr>
          <w:lang w:val="el" w:eastAsia="el"/>
        </w:rPr>
      </w:pPr>
      <w:r>
        <w:rPr>
          <w:b/>
          <w:bCs/>
          <w:lang w:val="el" w:eastAsia="el"/>
        </w:rPr>
        <w:t>15.</w:t>
      </w:r>
      <w:r>
        <w:rPr>
          <w:b/>
          <w:bCs/>
          <w:lang w:val="el" w:eastAsia="el"/>
        </w:rPr>
        <w:t xml:space="preserve"> Καταργούνται οι διατάξεις των παραγράφων 3 και 5 του άρθρου 1, το άρθρο 2 και διαγράφεται η φράση "ή δρασάντων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p>
    <w:p>
      <w:pPr>
        <w:pStyle w:val="MainText"/>
        <w:spacing w:before="120" w:after="0"/>
        <w:rPr>
          <w:lang w:val="el" w:eastAsia="el"/>
        </w:rPr>
      </w:pPr>
      <w:r>
        <w:rPr>
          <w:b/>
          <w:bCs/>
          <w:lang w:val="el" w:eastAsia="el"/>
        </w:rPr>
        <w:t>16.</w:t>
      </w:r>
      <w:r>
        <w:rPr>
          <w:b/>
          <w:bCs/>
          <w:lang w:val="el" w:eastAsia="el"/>
        </w:rPr>
        <w:t xml:space="preserve"> Η ισχύς του παρόντος άρθρου αρχίζει από 1η Ιανουαρίου 1997, εκτός από τις περιπτώσεις που ορίζεται διαφορετικά στις επί μέρους διατάξεις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 και στα πιστωτικά ιδρύματα που συνιστώνται και λειτουργούν με τη μορφή αμιγούς προσωπικού συνεταιρισμού, σύμφωνα με τις διατάξεις της παραγράφου 1 του άρθρου 5 του Ν. 2076/1992 (ΦΕΚ 130 Α).</w:t>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19.</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Εργων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γιύ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w:t>
      </w:r>
      <w:r>
        <w:rPr>
          <w:b/>
          <w:bCs/>
          <w:lang w:val="el" w:eastAsia="el"/>
        </w:rPr>
        <w:t xml:space="preserve">ρθρο 26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8"/>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9"/>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14"/>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w:t>
      </w:r>
      <w:r>
        <w:rPr>
          <w:b/>
          <w:bCs/>
          <w:lang w:val="el" w:eastAsia="el"/>
        </w:rPr>
        <w:t xml:space="preserve">ρθρο 29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2731/1999, Άρθρο 23</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2731/1999, Άρθρο 23</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