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 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 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άδεια ασκήσεως επαγγέλματος του Λογιστή Φοροτεχνικού διακρίνεται σε άδεια Λογιστή Φοροτεχνικού Α΄, Β΄, Γ και Δ΄ τάξεως:</w:t>
      </w:r>
    </w:p>
    <w:p>
      <w:pPr>
        <w:pStyle w:val="StructureList1"/>
        <w:spacing w:before="120" w:after="0"/>
        <w:rPr>
          <w:lang w:val="el" w:eastAsia="el"/>
        </w:rPr>
      </w:pPr>
      <w:r>
        <w:rPr>
          <w:lang w:val="el" w:eastAsia="el"/>
        </w:rPr>
        <w:t>α)</w:t>
      </w:r>
      <w:r>
        <w:rPr>
          <w:lang w:val="en" w:eastAsia="en"/>
        </w:rPr>
        <w:tab/>
      </w:r>
      <w:r>
        <w:rPr>
          <w:lang w:val="el" w:eastAsia="el"/>
        </w:rPr>
        <w:t>Άδεια ασκήσεως επαγγέλματος Λογιστή Φοροτεχνικού Δ΄ τάξεως χορηγείται από το Οικονομικό Επιμελητήριο της Ελλάδος στους κατόχους απολυτηρίου Γενικού Λυκείου, οι οποίοι ασκούν επί 12 (δώδεκα)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δέκα (10)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οκτώ (8)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οκτώ (8) έτη το επάγγελμα του βοηθού λογιστή. Οι κάτοχοι άδειας ασκήσεως επαγγέλματος Λογιστή Φοροτεχνικού Δ΄ τάξεως μετά από πενταετή άσκηση του επαγγέλματος μπορούν να αποκτήσουν άδεια Γ τάξεως.</w:t>
      </w:r>
    </w:p>
    <w:p>
      <w:pPr>
        <w:pStyle w:val="StructureList1"/>
        <w:spacing w:before="120" w:after="0"/>
        <w:rPr>
          <w:lang w:val="el" w:eastAsia="el"/>
        </w:rPr>
      </w:pPr>
      <w:r>
        <w:rPr>
          <w:lang w:val="el" w:eastAsia="el"/>
        </w:rPr>
        <w:t>β)</w:t>
      </w:r>
      <w:r>
        <w:rPr>
          <w:lang w:val="en" w:eastAsia="en"/>
        </w:rPr>
        <w:tab/>
      </w:r>
      <w:r>
        <w:rPr>
          <w:lang w:val="el" w:eastAsia="el"/>
        </w:rPr>
        <w:t>Άδεια ασκήσεως επαγγέλματος Λογιστή Φοροτεχνικού Γ΄ τάξεως χορηγείται από το Οικονομικό Επιμελητήριο της Ελλάδος στα μέλη του Ο.Ε.Ε., που έχουν άδεια ασκήσεως οικονομολογικού επαγγέλματος, στους πτυχιούχους του Τμήματος Λογιστικής της Σχολής Διοίκησης και Οικονομίας των Τεχνολογικών Εκπαιδευτικών Ιδρυμάτων και στους πτυχιούχους των Τμημάτων Εμπορίας και Διαφήμισης, Διοίκησης Επιχειρήσεων και Τουριστικών Επιχειρήσεων της Σχολής Διοίκησης και Οικονομίας των Τ.Ε.Ι., που ασκούν επί τετραετία από τη λήψη του πτυχίου τους το επάγγελμα του Λογιστή.</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γ)</w:t>
      </w:r>
      <w:r>
        <w:rPr>
          <w:lang w:val="en" w:eastAsia="en"/>
        </w:rPr>
        <w:tab/>
      </w:r>
      <w:r>
        <w:rPr>
          <w:lang w:val="el" w:eastAsia="el"/>
        </w:rPr>
        <w:t>Άδεια ασκήσεως επαγγέλματος Λογιστή Φοροτεχνικού Β΄ τάξεως χορηγείται από το Οικονομικό Επιμελητήριο της Ελλάδος στα μέλη του Ο.Ε.Ε., που έχουν άδεια ασκήσεως οικονομολογικού επαγγέλματος μετά από διετή άσκηση του επαγγέλματος Λογιστή Φοροτεχνικού Γ τάξεως, στους πτυχιούχους του Τμήματος Λογιστικής της Σχολής Διοίκησης και Οικονομίας των Τ.Ε.Ι. μετά από τετραετή άσκηση του επαγγέλματος Λογιστή Φοροτεχνικού Γ΄ τάξεως και στους πτυχιούχους των Τμημάτων Εμπορίας και Διαφήμισης, Διοίκησης Επιχειρήσεων και Τουριστικών Επιχειρήσεων της Σχολής Διοίκησης και Οικονομίας των Τ.Ε.Ι. μετά από τριετή άσκηση του επαγγέλματος Λογιστή Φοροτεχνικού Γ΄ τάξεως.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Άδεια ασκήσεως του επαγγέλματος Λογιστή Φοροτεχνικού Α΄ τάξεως χορηγείται στα μέλη του Ο.Ε.Ε., που έχουν άδεια ασκήσεως οικονομολογικού επαγγέλματος και ασκούν επί τριετία το επάγγελμα του Λογιστή Φοροτεχνικού Β΄ τάξεως και στους πτυχιούχους του Τμήματος Λογιστικής της Σχολής Διοίκησης και Οικονομίας των Τεχνολογικών Εκπαιδευτικών Ιδρυμάτων που ασκούν επί τετραετία το επάγγελμα του Λογιστή Φοροτεχνικού Β΄ τάξεως.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Για τους κατόχους αναγνωρισμένου μεταπτυχιακού τίτλου στη Λογιστική-Ελεγκτική, Εσωτερικό Έλεγχο, Κοστολόγηση και Διοίκηση Επιχειρήσεων, ο απαιτούμενος χρόνος άσκησης του επαγγέλματος Λογιστή Φοροτεχνικού για την απόκτηση άδειας ανώτερης τάξης μειώνεται για χρόνο ίσο προς τη διάρκεια σπουδών για την απόκτηση του μεταπτυχιακού τίτλου.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Η άδεια άσκησης επαγγέλματος ανωτέρας τάξεως πέραν των ετών υπηρεσίας θα αποκτάται μετά από πιστοποίηση παρακολούθησης επιμορφωτικών σεμιναρίων σε λογιστικά και φορολογικά θέματα και αξιολόγησης των υποψηφίων κατά τη διάρκεια παρακολούθησης αυτών.</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Τα επιμορφωτικά σεμινάρια θα διενεργούνται τουλάχιστον μία φορά κάθε έτος από το Οικονομικό Επιμελητήριο της Ελλάδος ή από το Ινστιτούτο Εκπαίδευσης και Επιμόρφωσης των Μελών του, που θα χορηγούν και το σχετικό πιστοποιητικό παρακολούθησης και αξιολόγησης.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Οι πάσης φύσεως δαπάνες για τη διενέργεια των επιμορφωτικών σεμιναρίων βαρύνουν τον προϋπολογισμό του Οικονομικού Επιμελητηρίου της Ελλάδος.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ζ)</w:t>
      </w:r>
      <w:r>
        <w:rPr>
          <w:lang w:val="en" w:eastAsia="en"/>
        </w:rPr>
        <w:tab/>
      </w:r>
      <w:r>
        <w:rPr>
          <w:lang w:val="el" w:eastAsia="el"/>
        </w:rPr>
        <w:t>Οι νομίμως ασκούντες μέχρι τη δημοσίευση του παρόντος νόμου το επάγγελμα του Λογιστή ως μισθωτοί ή ελεύθεροι επαγγελματίες αποκτούν το δικαίωμα άδειας άσκησης επαγγέλματος Λογιστή Φοροτεχνικού, εντασσόμενοι σε κατηγορία αντίστοιχη αυτής που ανήκουν με βάση το άρθρο 29 του π.δ/τος 186/1992 περί Κώδικα Βιβλίων και Στοιχείων.</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10"/>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εκδίδεται εντός προθεσμίας τριάντα (30) ήμερων από την ημερομηνία υποβολής της σχετικής αίτησης συνοδευομένης από τα απαιτούμενα δικαιολογητικά.</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b/>
          <w:bCs/>
          <w:lang w:val="el" w:eastAsia="el"/>
        </w:rPr>
        <w:t xml:space="preserve">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r>
        <w:rPr>
          <w:rStyle w:val="Hyperlink"/>
          <w:b/>
          <w:bCs/>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b/>
          <w:bCs/>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r>
        <w:rPr>
          <w:rStyle w:val="Hyperlink"/>
          <w:b/>
          <w:bCs/>
          <w:color w:val="000000"/>
          <w:sz w:val="20"/>
          <w:szCs w:val="20"/>
          <w:u w:val="none" w:color="0000EE"/>
          <w:vertAlign w:val="superscript"/>
          <w:lang w:val="el" w:eastAsia="el"/>
        </w:rPr>
        <w:footnoteReference w:id="14"/>
      </w:r>
    </w:p>
    <w:p>
      <w:pPr>
        <w:spacing w:before="240" w:after="240"/>
        <w:rPr>
          <w:lang w:val="el" w:eastAsia="el"/>
        </w:rPr>
      </w:pPr>
      <w:r>
        <w:rPr>
          <w:b/>
          <w:bCs/>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γ. Για δήμους και κοινότητες με πληθυσμό από 2.001 μέχρι 10.000 κατοίκους σε τριακόσια ευρώ.</w:t>
      </w:r>
      <w:r>
        <w:rPr>
          <w:rStyle w:val="Hyperlink"/>
          <w:b/>
          <w:bCs/>
          <w:color w:val="000000"/>
          <w:sz w:val="20"/>
          <w:szCs w:val="20"/>
          <w:u w:val="none" w:color="0000EE"/>
          <w:vertAlign w:val="superscript"/>
          <w:lang w:val="el" w:eastAsia="el"/>
        </w:rPr>
        <w:footnoteReference w:id="17"/>
      </w:r>
    </w:p>
    <w:p>
      <w:pPr>
        <w:spacing w:before="240" w:after="240"/>
        <w:rPr>
          <w:lang w:val="el" w:eastAsia="el"/>
        </w:rPr>
      </w:pPr>
      <w:r>
        <w:rPr>
          <w:b/>
          <w:bCs/>
          <w:lang w:val="el" w:eastAsia="el"/>
        </w:rPr>
        <w:t>δ. Για δήμους με πληθυσμό από 10.001 μέχρι 50.000 κατοίκους σε τετρακόσια ευρώ.</w:t>
      </w:r>
      <w:r>
        <w:rPr>
          <w:rStyle w:val="Hyperlink"/>
          <w:b/>
          <w:bCs/>
          <w:color w:val="000000"/>
          <w:sz w:val="20"/>
          <w:szCs w:val="20"/>
          <w:u w:val="none" w:color="0000EE"/>
          <w:vertAlign w:val="superscript"/>
          <w:lang w:val="el" w:eastAsia="el"/>
        </w:rPr>
        <w:footnoteReference w:id="18"/>
      </w:r>
    </w:p>
    <w:p>
      <w:pPr>
        <w:spacing w:before="240" w:after="240"/>
        <w:rPr>
          <w:lang w:val="el" w:eastAsia="el"/>
        </w:rPr>
      </w:pPr>
      <w:r>
        <w:rPr>
          <w:b/>
          <w:bCs/>
          <w:lang w:val="el" w:eastAsia="el"/>
        </w:rPr>
        <w:t>ε. Για δήμους με πληθυσμό πάνω από 50.000 κατοίκους σε επτακόσια ευρώ.</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στ. Για εντευκτήρια σωματείων, συλλόγων και ομίλων σε χίλια ευρώ.</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b/>
          <w:bCs/>
          <w:lang w:val="el" w:eastAsia="el"/>
        </w:rPr>
        <w:t xml:space="preserve">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5.</w:t>
      </w:r>
      <w:r>
        <w:rPr>
          <w:b/>
          <w:bCs/>
          <w:lang w:val="el" w:eastAsia="el"/>
        </w:rPr>
        <w:t xml:space="preserve"> Το ετήσιο τέλος καταβάλλεται από τον ιδιοκτήτη του καταστήματος στις αρμόδιες για τη φορολογία του εισοδήματός τους Δημόσιες Οικονομικές Υπηρεσίες (Δ.Ο.Υ.) με την υποβολή:</w:t>
      </w:r>
      <w:r>
        <w:rPr>
          <w:rStyle w:val="Hyperlink"/>
          <w:b/>
          <w:bCs/>
          <w:color w:val="000000"/>
          <w:sz w:val="20"/>
          <w:szCs w:val="20"/>
          <w:u w:val="none" w:color="0000EE"/>
          <w:vertAlign w:val="superscript"/>
          <w:lang w:val="el" w:eastAsia="el"/>
        </w:rPr>
        <w:footnoteReference w:id="22"/>
      </w:r>
    </w:p>
    <w:p>
      <w:pPr>
        <w:spacing w:before="240" w:after="240"/>
        <w:rPr>
          <w:lang w:val="el" w:eastAsia="el"/>
        </w:rPr>
      </w:pPr>
      <w:r>
        <w:rPr>
          <w:b/>
          <w:bCs/>
          <w:lang w:val="el" w:eastAsia="el"/>
        </w:rPr>
        <w:t>α. Δήλωσης απογραφής, στην οποία αναγράφεται ο αριθμός των ειδικά διασκευασμένων τραπεζιών και</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β. Υπεύθυνης δήλωσης του Ν. 1599/1986 (ΦΕΚ 75 Α'), ότι: στα ειδικά διασκευασμένα τραπέζια της συνυποβαλλόμενης δήλωσης απογραφής διεξάγονται μονό ψυχαγωγικά τεχνικά παίγνια.</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Με την καταβολή του τέλους, η αρμοδία Δ.Ο.Υ. εκδίδει σχετικό αποδεικτικό καταβολής και προβαίνει στη θεώρηση της δήλωσης απογραφής που επισυνάπτονται στην εκδιδόμενη άδεια.</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b/>
          <w:bCs/>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b/>
          <w:bCs/>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αρμοδία Δ. Ο. Υ. πρόστιμο, το οποίο ανέρχεται στο πενταπλάσιο του κατά την παράγραφο 3 προβλεπόμενου τέλους.</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8.</w:t>
      </w:r>
      <w:r>
        <w:rPr>
          <w:b/>
          <w:bCs/>
          <w:lang w:val="el" w:eastAsia="el"/>
        </w:rPr>
        <w:t xml:space="preserve">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 εφαρμόζονται ανάλογα οι διατάξεις του άρθρου 9 του Ν. 2523/1997.</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9.</w:t>
      </w:r>
      <w:r>
        <w:rPr>
          <w:b/>
          <w:bCs/>
          <w:lang w:val="el" w:eastAsia="el"/>
        </w:rPr>
        <w:t xml:space="preserve"> 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άδειων διενέργειας των ψυχαγωγικών τεχνικών παιγνίων και για την εφαρμογή των διατάξεων του παρόντος άρθρου καθορίζονται με απόφαση των Υπουργών Εσωτερικών. Δημόσιας Διοίκησης και Αποκέντρωσης και Οικονομικών.</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10.</w:t>
      </w:r>
      <w:r>
        <w:rPr>
          <w:b/>
          <w:bCs/>
          <w:lang w:val="el" w:eastAsia="el"/>
        </w:rPr>
        <w:t xml:space="preserve"> Καταργούνται οι διατάξεις των παραγράφων 3 και 5 του άρθρου ι, το άρθρο 2 και διαγράφεται η φράση "ή δρασαντων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11.</w:t>
      </w:r>
      <w:r>
        <w:rPr>
          <w:b/>
          <w:bCs/>
          <w:lang w:val="el" w:eastAsia="el"/>
        </w:rPr>
        <w:t xml:space="preserve"> Η ισχύς του παρόντος άρθρου αρχίζει από την 1η Ιανουαρίου 1997, εκτός από τις περιπτώσεις που ορίζεται διαφορετικά στις επί μέρους διατάξεις αυτού.</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14.</w:t>
      </w:r>
      <w:r>
        <w:rPr>
          <w:b/>
          <w:bCs/>
          <w:lang w:val="el" w:eastAsia="el"/>
        </w:rPr>
        <w:t xml:space="preserve">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16.</w:t>
      </w:r>
      <w:r>
        <w:rPr>
          <w:b/>
          <w:bCs/>
          <w:lang w:val="el" w:eastAsia="el"/>
        </w:rPr>
        <w:t xml:space="preserve"> (…)</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ή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πόσιμου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την 31η.12.1996, εφόσον οι νομαρχίες ή οι Ο.Τ.Α. ή το Δημόσιο γενικότερα δεν κατέβαλαν ως όφειλαν το σχετικό ποσό του φόρου προστιθέμενης αξίας.</w:t>
      </w:r>
    </w:p>
    <w:p>
      <w:pPr>
        <w:spacing w:before="240" w:after="240"/>
        <w:rPr>
          <w:lang w:val="el" w:eastAsia="el"/>
        </w:rPr>
      </w:pPr>
      <w:r>
        <w:rPr>
          <w:b/>
          <w:bCs/>
          <w:lang w:val="el" w:eastAsia="el"/>
        </w:rPr>
        <w:t>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 και στα πιστωτικά ιδρύματα που συνιστώνται και λειτουργούν με τη μορφή αμιγούς προσωπικού συνεταιρισμού, σύμφωνα με τις διατάξεις της παραγράφου 1 του άρθρου 5 του Ν. 2076/1992 (ΦΕΚ 130 Α).</w:t>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και επί΄ διασπάσεως πιστωτικών ιδρυμάτων (με την επιφύλαξη της παραγράφου 8) κατά τα άρθρα 81 , 82 , 83 , 84 , 85 , 86 , 87 , 88 και 89 του Κ.Ν. 2190/1920 , όπως ισχύει, καθώς και επί εισφοράς από λειτουργούν πιστωτικό ίδρυμα κλάδου, μέρους, τμήματος ή υποκαταστήματος του σε άλλο λειτουργούν πιστωτικό ίδρυμα.</w:t>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Ανάπτυξης εκδίδει τη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44"/>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7" w:history="1">
        <w:r>
          <w:rPr>
            <w:rStyle w:val="Hyperlink"/>
            <w:color w:val="0000EE"/>
            <w:u w:color="0000EE"/>
            <w:lang w:val="el" w:eastAsia="el"/>
          </w:rPr>
          <w:t>Τροποποίηση 3470/2006, Άρθρο 17</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7" w:history="1">
        <w:r>
          <w:rPr>
            <w:rStyle w:val="Hyperlink"/>
            <w:color w:val="0000EE"/>
            <w:u w:color="0000EE"/>
            <w:lang w:val="el" w:eastAsia="el"/>
          </w:rPr>
          <w:t>Τροποποίηση 3470/2006, Άρθρο 17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7" w:history="1">
        <w:r>
          <w:rPr>
            <w:rStyle w:val="Hyperlink"/>
            <w:color w:val="0000EE"/>
            <w:u w:color="0000EE"/>
            <w:lang w:val="el" w:eastAsia="el"/>
          </w:rPr>
          <w:t>Τροποποίηση 3470/2006, Άρθρο 17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7" w:history="1">
        <w:r>
          <w:rPr>
            <w:rStyle w:val="Hyperlink"/>
            <w:color w:val="0000EE"/>
            <w:u w:color="0000EE"/>
            <w:lang w:val="el" w:eastAsia="el"/>
          </w:rPr>
          <w:t>Προσθήκη 3470/2006, Άρθρο 17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7" w:history="1">
        <w:r>
          <w:rPr>
            <w:rStyle w:val="Hyperlink"/>
            <w:color w:val="0000EE"/>
            <w:u w:color="0000EE"/>
            <w:lang w:val="el" w:eastAsia="el"/>
          </w:rPr>
          <w:t>Τροποποίηση 3470/2006, Άρθρο 17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7" w:history="1">
        <w:r>
          <w:rPr>
            <w:rStyle w:val="Hyperlink"/>
            <w:color w:val="0000EE"/>
            <w:u w:color="0000EE"/>
            <w:lang w:val="el" w:eastAsia="el"/>
          </w:rPr>
          <w:t>Τροποποίηση 3470/2006, Άρθρο 17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7" w:history="1">
        <w:r>
          <w:rPr>
            <w:rStyle w:val="Hyperlink"/>
            <w:color w:val="0000EE"/>
            <w:u w:color="0000EE"/>
            <w:lang w:val="el" w:eastAsia="el"/>
          </w:rPr>
          <w:t>Τροποποίηση 3470/2006, Άρθρο 17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7" w:history="1">
        <w:r>
          <w:rPr>
            <w:rStyle w:val="Hyperlink"/>
            <w:color w:val="0000EE"/>
            <w:u w:color="0000EE"/>
            <w:lang w:val="el" w:eastAsia="el"/>
          </w:rPr>
          <w:t>Τροποποίηση 3470/2006, Άρθρο 17</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22" w:history="1">
        <w:r>
          <w:rPr>
            <w:rStyle w:val="Hyperlink"/>
            <w:b/>
            <w:bCs/>
            <w:color w:val="0000EE"/>
            <w:u w:color="0000EE"/>
            <w:lang w:val="el" w:eastAsia="el"/>
          </w:rPr>
          <w:t>Τροποποίηση 2753/1999, Άρθρο 22</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23" w:history="1">
        <w:r>
          <w:rPr>
            <w:rStyle w:val="Hyperlink"/>
            <w:b/>
            <w:bCs/>
            <w:color w:val="0000EE"/>
            <w:u w:color="0000EE"/>
            <w:lang w:val="el" w:eastAsia="el"/>
          </w:rPr>
          <w:t>Προσθήκη 2873/2000, Άρθρο 23</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 10" w:history="1">
        <w:r>
          <w:rPr>
            <w:rStyle w:val="Hyperlink"/>
            <w:b/>
            <w:bCs/>
            <w:color w:val="0000EE"/>
            <w:u w:color="0000EE"/>
            <w:lang w:val="el" w:eastAsia="el"/>
          </w:rPr>
          <w:t>Τροποποίηση 3037/2002, Άρθρο 10</w:t>
        </w:r>
      </w:hyperlink>
      <w:r>
        <w:rPr>
          <w:b/>
          <w:bCs/>
          <w:lang w:val="el" w:eastAsia="el"/>
        </w:rPr>
        <w:t xml:space="preserve">; </w:t>
      </w:r>
      <w:hyperlink r:id="rId12" w:anchor="art_30" w:history="1">
        <w:r>
          <w:rPr>
            <w:rStyle w:val="Hyperlink"/>
            <w:b/>
            <w:bCs/>
            <w:color w:val="0000EE"/>
            <w:u w:color="0000EE"/>
            <w:lang w:val="el" w:eastAsia="el"/>
          </w:rPr>
          <w:t>Προσθήκη 2873/2000, Άρθρο 30</w:t>
        </w:r>
      </w:hyperlink>
      <w:r>
        <w:rPr>
          <w:b/>
          <w:bCs/>
          <w:lang w:val="el" w:eastAsia="el"/>
        </w:rPr>
        <w:t xml:space="preserve">; </w:t>
      </w:r>
      <w:hyperlink r:id="rId13" w:anchor="art_15" w:history="1">
        <w:r>
          <w:rPr>
            <w:rStyle w:val="Hyperlink"/>
            <w:b/>
            <w:bCs/>
            <w:color w:val="0000EE"/>
            <w:u w:color="0000EE"/>
            <w:lang w:val="el" w:eastAsia="el"/>
          </w:rPr>
          <w:t>Τροποποίηση 2753/1999, Άρθρο 15</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 10" w:history="1">
        <w:r>
          <w:rPr>
            <w:rStyle w:val="Hyperlink"/>
            <w:b/>
            <w:bCs/>
            <w:color w:val="0000EE"/>
            <w:u w:color="0000EE"/>
            <w:lang w:val="el" w:eastAsia="el"/>
          </w:rPr>
          <w:t>Τροποποίηση 3037/2002,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 10" w:history="1">
        <w:r>
          <w:rPr>
            <w:rStyle w:val="Hyperlink"/>
            <w:b/>
            <w:bCs/>
            <w:color w:val="0000EE"/>
            <w:u w:color="0000EE"/>
            <w:lang w:val="el" w:eastAsia="el"/>
          </w:rPr>
          <w:t>Τροποποίηση 3037/2002, Άρθρο 10</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 10" w:history="1">
        <w:r>
          <w:rPr>
            <w:rStyle w:val="Hyperlink"/>
            <w:b/>
            <w:bCs/>
            <w:color w:val="0000EE"/>
            <w:u w:color="0000EE"/>
            <w:lang w:val="el" w:eastAsia="el"/>
          </w:rPr>
          <w:t>Τροποποίηση 3037/2002, Άρθρο 10</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 10" w:history="1">
        <w:r>
          <w:rPr>
            <w:rStyle w:val="Hyperlink"/>
            <w:b/>
            <w:bCs/>
            <w:color w:val="0000EE"/>
            <w:u w:color="0000EE"/>
            <w:lang w:val="el" w:eastAsia="el"/>
          </w:rPr>
          <w:t>Τροποποίηση 3037/2002, Άρθρο 10</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 10" w:history="1">
        <w:r>
          <w:rPr>
            <w:rStyle w:val="Hyperlink"/>
            <w:b/>
            <w:bCs/>
            <w:color w:val="0000EE"/>
            <w:u w:color="0000EE"/>
            <w:lang w:val="el" w:eastAsia="el"/>
          </w:rPr>
          <w:t>Τροποποίηση 3037/2002, Άρθρο 10</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 10" w:history="1">
        <w:r>
          <w:rPr>
            <w:rStyle w:val="Hyperlink"/>
            <w:b/>
            <w:bCs/>
            <w:color w:val="0000EE"/>
            <w:u w:color="0000EE"/>
            <w:lang w:val="el" w:eastAsia="el"/>
          </w:rPr>
          <w:t>Τροποποίηση 3037/2002, Άρθρο 10</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 10" w:history="1">
        <w:r>
          <w:rPr>
            <w:rStyle w:val="Hyperlink"/>
            <w:b/>
            <w:bCs/>
            <w:color w:val="0000EE"/>
            <w:u w:color="0000EE"/>
            <w:lang w:val="el" w:eastAsia="el"/>
          </w:rPr>
          <w:t>Τροποποίηση 3037/2002, Άρθρο 10</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 10" w:history="1">
        <w:r>
          <w:rPr>
            <w:rStyle w:val="Hyperlink"/>
            <w:b/>
            <w:bCs/>
            <w:color w:val="0000EE"/>
            <w:u w:color="0000EE"/>
            <w:lang w:val="el" w:eastAsia="el"/>
          </w:rPr>
          <w:t>Τροποποίηση 3037/2002, Άρθρο 10</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 10" w:history="1">
        <w:r>
          <w:rPr>
            <w:rStyle w:val="Hyperlink"/>
            <w:b/>
            <w:bCs/>
            <w:color w:val="0000EE"/>
            <w:u w:color="0000EE"/>
            <w:lang w:val="el" w:eastAsia="el"/>
          </w:rPr>
          <w:t>Τροποποίηση 3037/2002, Άρθρο 10</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 10" w:history="1">
        <w:r>
          <w:rPr>
            <w:rStyle w:val="Hyperlink"/>
            <w:b/>
            <w:bCs/>
            <w:color w:val="0000EE"/>
            <w:u w:color="0000EE"/>
            <w:lang w:val="el" w:eastAsia="el"/>
          </w:rPr>
          <w:t>Τροποποίηση 3037/2002, Άρθρο 10</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 10" w:history="1">
        <w:r>
          <w:rPr>
            <w:rStyle w:val="Hyperlink"/>
            <w:b/>
            <w:bCs/>
            <w:color w:val="0000EE"/>
            <w:u w:color="0000EE"/>
            <w:lang w:val="el" w:eastAsia="el"/>
          </w:rPr>
          <w:t>Τροποποίηση 3037/2002, Άρθρο 10</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 10" w:history="1">
        <w:r>
          <w:rPr>
            <w:rStyle w:val="Hyperlink"/>
            <w:b/>
            <w:bCs/>
            <w:color w:val="0000EE"/>
            <w:u w:color="0000EE"/>
            <w:lang w:val="el" w:eastAsia="el"/>
          </w:rPr>
          <w:t>Αφαίρεση 3037/2002, Άρθρο 10</w:t>
        </w:r>
      </w:hyperlink>
      <w:r>
        <w:rPr>
          <w:b/>
          <w:bCs/>
          <w:lang w:val="el" w:eastAsia="el"/>
        </w:rPr>
        <w:t xml:space="preserve">; </w:t>
      </w:r>
      <w:hyperlink r:id="rId34" w:anchor="art_ 10" w:history="1">
        <w:r>
          <w:rPr>
            <w:rStyle w:val="Hyperlink"/>
            <w:b/>
            <w:bCs/>
            <w:color w:val="0000EE"/>
            <w:u w:color="0000EE"/>
            <w:lang w:val="el" w:eastAsia="el"/>
          </w:rPr>
          <w:t>Αφαίρεση 3037/2002, Άρθρο 10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 10" w:history="1">
        <w:r>
          <w:rPr>
            <w:rStyle w:val="Hyperlink"/>
            <w:b/>
            <w:bCs/>
            <w:color w:val="0000EE"/>
            <w:u w:color="0000EE"/>
            <w:lang w:val="el" w:eastAsia="el"/>
          </w:rPr>
          <w:t>Αφαίρεση 3037/2002, Άρθρο 10</w:t>
        </w:r>
      </w:hyperlink>
      <w:r>
        <w:rPr>
          <w:b/>
          <w:bCs/>
          <w:lang w:val="el" w:eastAsia="el"/>
        </w:rPr>
        <w:t xml:space="preserve">; </w:t>
      </w:r>
      <w:hyperlink r:id="rId36" w:anchor="art_ 10" w:history="1">
        <w:r>
          <w:rPr>
            <w:rStyle w:val="Hyperlink"/>
            <w:b/>
            <w:bCs/>
            <w:color w:val="0000EE"/>
            <w:u w:color="0000EE"/>
            <w:lang w:val="el" w:eastAsia="el"/>
          </w:rPr>
          <w:t>Αφαίρεση 3037/2002, Άρθρο 10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 10" w:history="1">
        <w:r>
          <w:rPr>
            <w:rStyle w:val="Hyperlink"/>
            <w:b/>
            <w:bCs/>
            <w:color w:val="0000EE"/>
            <w:u w:color="0000EE"/>
            <w:lang w:val="el" w:eastAsia="el"/>
          </w:rPr>
          <w:t>Αφαίρεση 3037/2002, Άρθρο 10</w:t>
        </w:r>
      </w:hyperlink>
      <w:r>
        <w:rPr>
          <w:b/>
          <w:bCs/>
          <w:lang w:val="el" w:eastAsia="el"/>
        </w:rPr>
        <w:t xml:space="preserve">; </w:t>
      </w:r>
      <w:hyperlink r:id="rId38" w:anchor="art_ 10" w:history="1">
        <w:r>
          <w:rPr>
            <w:rStyle w:val="Hyperlink"/>
            <w:b/>
            <w:bCs/>
            <w:color w:val="0000EE"/>
            <w:u w:color="0000EE"/>
            <w:lang w:val="el" w:eastAsia="el"/>
          </w:rPr>
          <w:t>Αφαίρεση 3037/2002, Άρθρο 10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 10" w:history="1">
        <w:r>
          <w:rPr>
            <w:rStyle w:val="Hyperlink"/>
            <w:b/>
            <w:bCs/>
            <w:color w:val="0000EE"/>
            <w:u w:color="0000EE"/>
            <w:lang w:val="el" w:eastAsia="el"/>
          </w:rPr>
          <w:t>Αφαίρεση 3037/2002, Άρθρο 10</w:t>
        </w:r>
      </w:hyperlink>
      <w:r>
        <w:rPr>
          <w:b/>
          <w:bCs/>
          <w:lang w:val="el" w:eastAsia="el"/>
        </w:rPr>
        <w:t xml:space="preserve">; </w:t>
      </w:r>
      <w:hyperlink r:id="rId40" w:anchor="art_ 10" w:history="1">
        <w:r>
          <w:rPr>
            <w:rStyle w:val="Hyperlink"/>
            <w:b/>
            <w:bCs/>
            <w:color w:val="0000EE"/>
            <w:u w:color="0000EE"/>
            <w:lang w:val="el" w:eastAsia="el"/>
          </w:rPr>
          <w:t>Αφαίρεση 3037/2002, Άρθρο 10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 10" w:history="1">
        <w:r>
          <w:rPr>
            <w:rStyle w:val="Hyperlink"/>
            <w:b/>
            <w:bCs/>
            <w:color w:val="0000EE"/>
            <w:u w:color="0000EE"/>
            <w:lang w:val="el" w:eastAsia="el"/>
          </w:rPr>
          <w:t>Αφαίρεση 3037/2002, Άρθρο 10</w:t>
        </w:r>
      </w:hyperlink>
      <w:r>
        <w:rPr>
          <w:b/>
          <w:bCs/>
          <w:lang w:val="el" w:eastAsia="el"/>
        </w:rPr>
        <w:t xml:space="preserve">; </w:t>
      </w:r>
      <w:hyperlink r:id="rId42" w:anchor="art_ 10" w:history="1">
        <w:r>
          <w:rPr>
            <w:rStyle w:val="Hyperlink"/>
            <w:b/>
            <w:bCs/>
            <w:color w:val="0000EE"/>
            <w:u w:color="0000EE"/>
            <w:lang w:val="el" w:eastAsia="el"/>
          </w:rPr>
          <w:t>Αφαίρεση 3037/2002, Άρθρο 10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9" w:history="1">
        <w:r>
          <w:rPr>
            <w:rStyle w:val="Hyperlink"/>
            <w:b/>
            <w:bCs/>
            <w:color w:val="0000EE"/>
            <w:u w:color="0000EE"/>
            <w:lang w:val="el" w:eastAsia="el"/>
          </w:rPr>
          <w:t>Προσθήκη 2992/2002, Άρθρο 9</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6/06/28/3470" TargetMode="External" /><Relationship Id="rId10" Type="http://schemas.openxmlformats.org/officeDocument/2006/relationships/hyperlink" Target="http://data.aade.gr/eli/pri/law/2000/12/28/2873" TargetMode="External" /><Relationship Id="rId11" Type="http://schemas.openxmlformats.org/officeDocument/2006/relationships/hyperlink" Target="http://data.aade.gr/eli/pri/law/2002/07/30/3037" TargetMode="External" /><Relationship Id="rId12" Type="http://schemas.openxmlformats.org/officeDocument/2006/relationships/hyperlink" Target="http://data.aade.gr/eli/pri/law/2000/12/28/2873" TargetMode="External" /><Relationship Id="rId13" Type="http://schemas.openxmlformats.org/officeDocument/2006/relationships/hyperlink" Target="http://data.aade.gr/eli/pri/law/1999/11/17/2753" TargetMode="External" /><Relationship Id="rId14" Type="http://schemas.openxmlformats.org/officeDocument/2006/relationships/hyperlink" Target="http://data.aade.gr/eli/pri/law/2002/07/30/3037" TargetMode="External" /><Relationship Id="rId15" Type="http://schemas.openxmlformats.org/officeDocument/2006/relationships/hyperlink" Target="http://data.aade.gr/eli/pri/law/2002/07/30/3037" TargetMode="External" /><Relationship Id="rId16" Type="http://schemas.openxmlformats.org/officeDocument/2006/relationships/hyperlink" Target="http://data.aade.gr/eli/pri/law/2002/07/30/3037" TargetMode="External" /><Relationship Id="rId17" Type="http://schemas.openxmlformats.org/officeDocument/2006/relationships/hyperlink" Target="http://data.aade.gr/eli/pri/law/2002/07/30/3037" TargetMode="External" /><Relationship Id="rId18" Type="http://schemas.openxmlformats.org/officeDocument/2006/relationships/hyperlink" Target="http://data.aade.gr/eli/pri/law/2002/07/30/3037" TargetMode="External" /><Relationship Id="rId19" Type="http://schemas.openxmlformats.org/officeDocument/2006/relationships/hyperlink" Target="http://data.aade.gr/eli/pri/law/2002/07/30/3037" TargetMode="External" /><Relationship Id="rId2" Type="http://schemas.openxmlformats.org/officeDocument/2006/relationships/hyperlink" Target="http://data.aade.gr/eli/pri/law/2006/06/28/3470" TargetMode="External" /><Relationship Id="rId20" Type="http://schemas.openxmlformats.org/officeDocument/2006/relationships/hyperlink" Target="http://data.aade.gr/eli/pri/law/2002/07/30/3037" TargetMode="External" /><Relationship Id="rId21" Type="http://schemas.openxmlformats.org/officeDocument/2006/relationships/hyperlink" Target="http://data.aade.gr/eli/pri/law/2002/07/30/3037" TargetMode="External" /><Relationship Id="rId22" Type="http://schemas.openxmlformats.org/officeDocument/2006/relationships/hyperlink" Target="http://data.aade.gr/eli/pri/law/2002/07/30/3037" TargetMode="External" /><Relationship Id="rId23" Type="http://schemas.openxmlformats.org/officeDocument/2006/relationships/hyperlink" Target="http://data.aade.gr/eli/pri/law/2002/07/30/3037" TargetMode="External" /><Relationship Id="rId24" Type="http://schemas.openxmlformats.org/officeDocument/2006/relationships/hyperlink" Target="http://data.aade.gr/eli/pri/law/2002/07/30/3037" TargetMode="External" /><Relationship Id="rId25" Type="http://schemas.openxmlformats.org/officeDocument/2006/relationships/hyperlink" Target="http://data.aade.gr/eli/pri/law/2002/07/30/3037" TargetMode="External" /><Relationship Id="rId26" Type="http://schemas.openxmlformats.org/officeDocument/2006/relationships/hyperlink" Target="http://data.aade.gr/eli/pri/law/2002/07/30/3037" TargetMode="External" /><Relationship Id="rId27" Type="http://schemas.openxmlformats.org/officeDocument/2006/relationships/hyperlink" Target="http://data.aade.gr/eli/pri/law/2002/07/30/3037" TargetMode="External" /><Relationship Id="rId28" Type="http://schemas.openxmlformats.org/officeDocument/2006/relationships/hyperlink" Target="http://data.aade.gr/eli/pri/law/2002/07/30/3037" TargetMode="External" /><Relationship Id="rId29" Type="http://schemas.openxmlformats.org/officeDocument/2006/relationships/hyperlink" Target="http://data.aade.gr/eli/pri/law/2002/07/30/3037" TargetMode="External" /><Relationship Id="rId3" Type="http://schemas.openxmlformats.org/officeDocument/2006/relationships/hyperlink" Target="http://data.aade.gr/eli/pri/law/2006/06/28/3470" TargetMode="External" /><Relationship Id="rId30" Type="http://schemas.openxmlformats.org/officeDocument/2006/relationships/hyperlink" Target="http://data.aade.gr/eli/pri/law/2002/07/30/3037" TargetMode="External" /><Relationship Id="rId31" Type="http://schemas.openxmlformats.org/officeDocument/2006/relationships/hyperlink" Target="http://data.aade.gr/eli/pri/law/2002/07/30/3037" TargetMode="External" /><Relationship Id="rId32" Type="http://schemas.openxmlformats.org/officeDocument/2006/relationships/hyperlink" Target="http://data.aade.gr/eli/pri/law/2002/07/30/3037" TargetMode="External" /><Relationship Id="rId33" Type="http://schemas.openxmlformats.org/officeDocument/2006/relationships/hyperlink" Target="http://data.aade.gr/eli/pri/law/2002/07/30/3037" TargetMode="External" /><Relationship Id="rId34" Type="http://schemas.openxmlformats.org/officeDocument/2006/relationships/hyperlink" Target="http://data.aade.gr/eli/pri/law/2002/07/30/3037" TargetMode="External" /><Relationship Id="rId35" Type="http://schemas.openxmlformats.org/officeDocument/2006/relationships/hyperlink" Target="http://data.aade.gr/eli/pri/law/2002/07/30/3037" TargetMode="External" /><Relationship Id="rId36" Type="http://schemas.openxmlformats.org/officeDocument/2006/relationships/hyperlink" Target="http://data.aade.gr/eli/pri/law/2002/07/30/3037" TargetMode="External" /><Relationship Id="rId37" Type="http://schemas.openxmlformats.org/officeDocument/2006/relationships/hyperlink" Target="http://data.aade.gr/eli/pri/law/2002/07/30/3037" TargetMode="External" /><Relationship Id="rId38" Type="http://schemas.openxmlformats.org/officeDocument/2006/relationships/hyperlink" Target="http://data.aade.gr/eli/pri/law/2002/07/30/3037" TargetMode="External" /><Relationship Id="rId39" Type="http://schemas.openxmlformats.org/officeDocument/2006/relationships/hyperlink" Target="http://data.aade.gr/eli/pri/law/2002/07/30/3037" TargetMode="External" /><Relationship Id="rId4" Type="http://schemas.openxmlformats.org/officeDocument/2006/relationships/hyperlink" Target="http://data.aade.gr/eli/pri/law/2006/06/28/3470" TargetMode="External" /><Relationship Id="rId40" Type="http://schemas.openxmlformats.org/officeDocument/2006/relationships/hyperlink" Target="http://data.aade.gr/eli/pri/law/2002/07/30/3037" TargetMode="External" /><Relationship Id="rId41" Type="http://schemas.openxmlformats.org/officeDocument/2006/relationships/hyperlink" Target="http://data.aade.gr/eli/pri/law/2002/07/30/3037" TargetMode="External" /><Relationship Id="rId42" Type="http://schemas.openxmlformats.org/officeDocument/2006/relationships/hyperlink" Target="http://data.aade.gr/eli/pri/law/2002/07/30/3037" TargetMode="External" /><Relationship Id="rId43" Type="http://schemas.openxmlformats.org/officeDocument/2006/relationships/hyperlink" Target="http://data.aade.gr/eli/pri/law/2002/03/20/2992" TargetMode="External" /><Relationship Id="rId5" Type="http://schemas.openxmlformats.org/officeDocument/2006/relationships/hyperlink" Target="http://data.aade.gr/eli/pri/law/2006/06/28/3470" TargetMode="External" /><Relationship Id="rId6" Type="http://schemas.openxmlformats.org/officeDocument/2006/relationships/hyperlink" Target="http://data.aade.gr/eli/pri/law/2006/06/28/3470" TargetMode="External" /><Relationship Id="rId7" Type="http://schemas.openxmlformats.org/officeDocument/2006/relationships/hyperlink" Target="http://data.aade.gr/eli/pri/law/2006/06/28/3470" TargetMode="External" /><Relationship Id="rId8" Type="http://schemas.openxmlformats.org/officeDocument/2006/relationships/hyperlink" Target="http://data.aade.gr/eli/pri/law/2006/06/28/3470" TargetMode="External" /><Relationship Id="rId9" Type="http://schemas.openxmlformats.org/officeDocument/2006/relationships/hyperlink" Target="http://data.aade.gr/eli/pri/law/1999/11/17/27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