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lang w:val="el" w:eastAsia="el"/>
        </w:rPr>
        <w:t>β. από τους πτυχιούχους του Τμήματος Λογιστικής και των Τμημάτων οικονομικής κατεύθυνσης της Σχολής Διοίκησης και Οικονομίας των Τεχνολογικών Εκπαιδευτικών Ιδρυμάτων (Τ.Ε.Ι.),</w:t>
      </w:r>
      <w:r>
        <w:rPr>
          <w:rStyle w:val="Hyperlink"/>
          <w:color w:val="000000"/>
          <w:sz w:val="20"/>
          <w:szCs w:val="20"/>
          <w:u w:val="none" w:color="0000EE"/>
          <w:vertAlign w:val="superscript"/>
          <w:lang w:val="el" w:eastAsia="el"/>
        </w:rPr>
        <w:footnoteReference w:id="2"/>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1.</w:t>
      </w:r>
      <w:r>
        <w:rPr>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 Α΄), ασκείται:</w:t>
      </w:r>
    </w:p>
    <w:p>
      <w:pPr>
        <w:spacing w:before="240" w:after="240"/>
        <w:rPr>
          <w:lang w:val="el" w:eastAsia="el"/>
        </w:rPr>
      </w:pPr>
      <w:r>
        <w:rPr>
          <w:lang w:val="el" w:eastAsia="el"/>
        </w:rPr>
        <w:t>α. από τα μέλη του Ο.Ε.Ε. κατά το άρθρο 3 του N. 1100/1980 (ΦΕΚ 295 Α΄), όπως αντικαταστάθηκε από το άρθρο 3 του Ν. 1479/1984 (ΦΕΚ 145 Α΄) και κατά το άρθρο 43 παράγραφος 22 του N. 2214/1994 (ΦΕΚ 75 Α΄),</w:t>
      </w:r>
    </w:p>
    <w:p>
      <w:pPr>
        <w:spacing w:before="240" w:after="240"/>
        <w:rPr>
          <w:lang w:val="el" w:eastAsia="el"/>
        </w:rPr>
      </w:pPr>
      <w:r>
        <w:rPr>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lang w:val="el" w:eastAsia="el"/>
        </w:rPr>
        <w:t>γ. από μη πτυχιούχους.</w:t>
      </w:r>
    </w:p>
    <w:p>
      <w:pPr>
        <w:pStyle w:val="MainText"/>
        <w:spacing w:before="120" w:after="0"/>
        <w:rPr>
          <w:lang w:val="el" w:eastAsia="el"/>
        </w:rPr>
      </w:pPr>
      <w:r>
        <w:rPr>
          <w:b/>
          <w:bCs/>
          <w:lang w:val="el" w:eastAsia="el"/>
        </w:rPr>
        <w:t>2.</w:t>
      </w:r>
      <w:r>
        <w:rPr>
          <w:lang w:val="el" w:eastAsia="el"/>
        </w:rPr>
        <w:t xml:space="preserve"> Η επαγγελματική ταυτότητα του Λογιστή Φοροτεχνικού διακρίνεται σε επαγγελματική ταυτότητα Λογιστή Φοροτεχνικού Α΄ και Β΄ τάξης:</w:t>
      </w:r>
      <w:r>
        <w:rPr>
          <w:rStyle w:val="Hyperlink"/>
          <w:color w:val="000000"/>
          <w:sz w:val="20"/>
          <w:szCs w:val="20"/>
          <w:u w:val="none" w:color="0000EE"/>
          <w:vertAlign w:val="superscript"/>
          <w:lang w:val="el" w:eastAsia="el"/>
        </w:rPr>
        <w:footnoteReference w:id="3"/>
      </w:r>
    </w:p>
    <w:p>
      <w:pPr>
        <w:spacing w:before="240" w:after="240"/>
        <w:rPr>
          <w:lang w:val="el" w:eastAsia="el"/>
        </w:rPr>
      </w:pPr>
      <w:r>
        <w:rPr>
          <w:lang w:val="el" w:eastAsia="el"/>
        </w:rPr>
        <w:t>α. Επαγγελματική ταυτότητα Λογιστή Φοροτεχνικού Β΄ τάξης χορηγείται από το Οικονομικό Επιμελητήριο της Ελλάδος στους κατόχους απολυτηρίου Γενικού Λυκείου, οι οποίοι ασκούν επί επτά (7)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έξι (6)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πέντε (5)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πέντε (5) έτη το επάγγελμα του βοηθού λογιστή.</w:t>
      </w:r>
      <w:r>
        <w:rPr>
          <w:rStyle w:val="Hyperlink"/>
          <w:color w:val="000000"/>
          <w:sz w:val="20"/>
          <w:szCs w:val="20"/>
          <w:u w:val="none" w:color="0000EE"/>
          <w:vertAlign w:val="superscript"/>
          <w:lang w:val="el" w:eastAsia="el"/>
        </w:rPr>
        <w:footnoteReference w:id="4"/>
      </w:r>
    </w:p>
    <w:p>
      <w:pPr>
        <w:spacing w:before="240" w:after="240"/>
        <w:rPr>
          <w:lang w:val="el" w:eastAsia="el"/>
        </w:rPr>
      </w:pPr>
      <w:r>
        <w:rPr>
          <w:lang w:val="el" w:eastAsia="el"/>
        </w:rPr>
        <w:t>β. Επαγγελματική ταυτότητα Λογιστή Φοροτεχνικού Β΄ τάξης χορηγείται από το Οικονομικό Επιμελητήριο της Ελλάδος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(Α΄ 78).</w:t>
      </w:r>
      <w:r>
        <w:rPr>
          <w:rStyle w:val="Hyperlink"/>
          <w:color w:val="000000"/>
          <w:sz w:val="20"/>
          <w:szCs w:val="20"/>
          <w:u w:val="none" w:color="0000EE"/>
          <w:vertAlign w:val="superscript"/>
          <w:lang w:val="el" w:eastAsia="el"/>
        </w:rPr>
        <w:footnoteReference w:id="5"/>
      </w:r>
    </w:p>
    <w:p>
      <w:pPr>
        <w:spacing w:before="240" w:after="240"/>
        <w:rPr>
          <w:lang w:val="el" w:eastAsia="el"/>
        </w:rPr>
      </w:pPr>
      <w:r>
        <w:rPr>
          <w:lang w:val="el" w:eastAsia="el"/>
        </w:rPr>
        <w:t>γ. Επαγγελματική ταυτότητα Λογιστή Φοροτεχνικού Α΄ τάξης χορηγείται στα μέλη του Ο.Ε.Ε., στους πτυχιούχους τμημάτων Οικονομικής κατεύθυνσης των Πανεπιστημίων, στους πτυχιούχους των Τμημάτων Οικονομικής κατεύθυνσης της Σχολής Διοίκησης και Οικονομίας των Τεχνολογικών Εκπαιδευτικών Ιδρυμάτων (Τ.Ε.Ι.) και στα φυσικά πρόσωπα που πληρούν τις προϋποθέσεις επαγγελματικών προσόντων του π.δ. 38/2010, που ασκούν επί τριετία το επάγγελμα του Λογιστή Φοροτεχνικού Β΄ τάξης.</w:t>
      </w:r>
      <w:r>
        <w:rPr>
          <w:rStyle w:val="Hyperlink"/>
          <w:color w:val="000000"/>
          <w:sz w:val="20"/>
          <w:szCs w:val="20"/>
          <w:u w:val="none" w:color="0000EE"/>
          <w:vertAlign w:val="superscript"/>
          <w:lang w:val="el" w:eastAsia="el"/>
        </w:rPr>
        <w:footnoteReference w:id="6"/>
      </w:r>
    </w:p>
    <w:p>
      <w:pPr>
        <w:spacing w:before="240" w:after="240"/>
        <w:rPr>
          <w:lang w:val="el" w:eastAsia="el"/>
        </w:rPr>
      </w:pPr>
      <w:r>
        <w:rPr>
          <w:lang w:val="el" w:eastAsia="el"/>
        </w:rPr>
        <w:t>δ. Για τους κατόχους αναγνωρισμένου μεταπτυχιακού τίτλου στη Λογιστική-Ελεγκτική, Εσωτερικό Έλεγχο, Κοστολόγηση και Διοίκηση Επιχειρήσεων, ο απαιτούμενος χρόνος άσκησης του επαγγέλματος Λογιστή Φοροτεχνικού για την απόκτηση άδειας ανώτερης τάξης μειώνεται για χρόνο ίσο προς τη διάρκεια σπουδών για την απόκτηση του μεταπτυχιακού τίτλου.</w:t>
      </w:r>
      <w:r>
        <w:rPr>
          <w:rStyle w:val="Hyperlink"/>
          <w:color w:val="000000"/>
          <w:sz w:val="20"/>
          <w:szCs w:val="20"/>
          <w:u w:val="none" w:color="0000EE"/>
          <w:vertAlign w:val="superscript"/>
          <w:lang w:val="el" w:eastAsia="el"/>
        </w:rPr>
        <w:footnoteReference w:id="7"/>
      </w:r>
    </w:p>
    <w:p>
      <w:pPr>
        <w:spacing w:before="240" w:after="240"/>
        <w:rPr>
          <w:lang w:val="el" w:eastAsia="el"/>
        </w:rPr>
      </w:pPr>
      <w:r>
        <w:rPr>
          <w:lang w:val="el" w:eastAsia="el"/>
        </w:rPr>
        <w:t>ε. Η άδεια άσκησης επαγγέλματος ανωτέρας τάξεως πέραν των ετών υπηρεσίας θα αποκτάται μετά από πιστοποίηση παρακολούθησης επιμορφωτικών σεμιναρίων σε λογιστικά και φορολογικά θέματα και αξιολόγησης των υποψηφίων κατά τη διάρκεια παρακολούθησης αυτών. Τα επιμορφωτικά σεμινάρια θα διενεργούνται τουλάχιστον μία φορά κάθε έτος από το Οικονομικό Επιμελητήριο της Ελλάδος ή από το Ινστιτούτο Εκπαίδευσης και Επιμόρφωσης των Μελών του, που θα χορηγούν και το σχετικό πιστοποιητικό παρακολούθησης και αξιολόγησης.</w:t>
      </w:r>
      <w:r>
        <w:rPr>
          <w:rStyle w:val="Hyperlink"/>
          <w:color w:val="000000"/>
          <w:sz w:val="20"/>
          <w:szCs w:val="20"/>
          <w:u w:val="none" w:color="0000EE"/>
          <w:vertAlign w:val="superscript"/>
          <w:lang w:val="el" w:eastAsia="el"/>
        </w:rPr>
        <w:footnoteReference w:id="8"/>
      </w:r>
    </w:p>
    <w:p>
      <w:pPr>
        <w:spacing w:before="240" w:after="240"/>
        <w:rPr>
          <w:lang w:val="el" w:eastAsia="el"/>
        </w:rPr>
      </w:pPr>
      <w:r>
        <w:rPr>
          <w:lang w:val="el" w:eastAsia="el"/>
        </w:rPr>
        <w:t>Οι πάσης φύσεως δαπάνες για τη διενέργεια των επιμορφωτικών σεμιναρίων βαρύνουν τον προϋπολογισμό του Οικονομικού Επιμελητηρίου της Ελλάδος</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στ. Μεταβατικές Διατάξεις:</w:t>
      </w:r>
      <w:r>
        <w:rPr>
          <w:rStyle w:val="Hyperlink"/>
          <w:color w:val="000000"/>
          <w:sz w:val="20"/>
          <w:szCs w:val="20"/>
          <w:u w:val="none" w:color="0000EE"/>
          <w:vertAlign w:val="superscript"/>
          <w:lang w:val="el" w:eastAsia="el"/>
        </w:rPr>
        <w:footnoteReference w:id="10"/>
      </w:r>
    </w:p>
    <w:p>
      <w:pPr>
        <w:spacing w:before="240" w:after="240"/>
        <w:rPr>
          <w:lang w:val="el" w:eastAsia="el"/>
        </w:rPr>
      </w:pPr>
      <w:r>
        <w:rPr>
          <w:lang w:val="el" w:eastAsia="el"/>
        </w:rPr>
        <w:t>i. Οι λογιστές φοροτεχνικοί, μη πτυχιούχοι, που κατέχουν κατά τη δημοσίευση του παρόντος νόμου επαγγελματική ταυτότητα Δ΄ ή Γ΄ τάξης, αποκτούν επαγγελματική ταυτότητα Β΄ τάξης.</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ii. Οι λογιστές φοροτεχνικοί, μέλη του Ο.Ε.Ε.,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Γ΄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2"/>
      </w:r>
    </w:p>
    <w:p>
      <w:pPr>
        <w:spacing w:before="240" w:after="240"/>
        <w:rPr>
          <w:lang w:val="el" w:eastAsia="el"/>
        </w:rPr>
      </w:pPr>
      <w:r>
        <w:rPr>
          <w:lang w:val="el" w:eastAsia="el"/>
        </w:rPr>
        <w:t>iii. Οι λογιστές φοροτεχνικοί, μέλη του Ο.Ε.Ε.,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3"/>
      </w:r>
    </w:p>
    <w:p>
      <w:pPr>
        <w:spacing w:before="240" w:after="240"/>
        <w:rPr>
          <w:lang w:val="el" w:eastAsia="el"/>
        </w:rPr>
      </w:pPr>
      <w:r>
        <w:rPr>
          <w:lang w:val="el" w:eastAsia="el"/>
        </w:rPr>
        <w:t>iv.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Γ΄ τάξης, αποκτούν επαγγελματική ταυτότητα Β΄ τάξης και με τη συμπλήρωση τριετούς αποδεδειγμένης άσκησης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 δικαιούνται να λάβουν επαγγελματική ταυτότητα Α΄ τάξης.</w:t>
      </w:r>
      <w:r>
        <w:rPr>
          <w:rStyle w:val="Hyperlink"/>
          <w:color w:val="000000"/>
          <w:sz w:val="20"/>
          <w:szCs w:val="20"/>
          <w:u w:val="none" w:color="0000EE"/>
          <w:vertAlign w:val="superscript"/>
          <w:lang w:val="el" w:eastAsia="el"/>
        </w:rPr>
        <w:footnoteReference w:id="14"/>
      </w:r>
    </w:p>
    <w:p>
      <w:pPr>
        <w:spacing w:before="240" w:after="240"/>
        <w:rPr>
          <w:lang w:val="el" w:eastAsia="el"/>
        </w:rPr>
      </w:pPr>
      <w:r>
        <w:rPr>
          <w:lang w:val="el" w:eastAsia="el"/>
        </w:rPr>
        <w:t>v. Οι λογιστές φοροτεχνικοί, πτυχιούχοι του Τμήματος Λογιστικής και των Τμημάτων Εμπορίας και Διαφήμισης, Διοίκησης Επιχειρήσεων, Τουριστικών Επιχειρήσεων, Χρηματοοικονομικών Εφαρμογών, Χρηματοοικονομικής και Ελεγκτικής και Χρηματοοικονομικής και Ασφαλιστικής της Σχολής Διοίκησης και Οικονομίας των Τεχνολογικών Εκπαιδευτικών Ιδρυμάτων (Τ.Ε.Ι.), που κατέχουν κατά τη δημοσίευση του παρόντος νόμου επαγγελματική ταυτότητα Β΄ τάξης, αποκτούν επαγγελματική ταυτότητα Α΄ τάξης μετά από τη συμπλήρωση διετούς αποδεδειγμένης προϋπηρεσίας του επαγγέλματος λογιστή φοροτεχνικού από την έκδοση της επαγγελματικής ταυτότητας Β΄ τάξης και την παρακολούθηση των επιμορφωτικών σεμιναρίων της περίπτωσης ε΄ ανωτέρω.</w:t>
      </w:r>
      <w:r>
        <w:rPr>
          <w:rStyle w:val="Hyperlink"/>
          <w:color w:val="000000"/>
          <w:sz w:val="20"/>
          <w:szCs w:val="20"/>
          <w:u w:val="none" w:color="0000EE"/>
          <w:vertAlign w:val="superscript"/>
          <w:lang w:val="el" w:eastAsia="el"/>
        </w:rPr>
        <w:footnoteReference w:id="15"/>
      </w:r>
    </w:p>
    <w:p>
      <w:pPr>
        <w:spacing w:before="240" w:after="240"/>
        <w:rPr>
          <w:lang w:val="el" w:eastAsia="el"/>
        </w:rPr>
      </w:pPr>
      <w:r>
        <w:rPr>
          <w:lang w:val="el" w:eastAsia="el"/>
        </w:rPr>
        <w:t>vi. Οι λογιστές φοροτεχνικοί που κατέχουν κατά τη δημοσίευση του παρόντος νόμου επαγγελματική ταυτότητα Α΄ τάξης συνεχίζουν ακωλύτως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6"/>
      </w:r>
    </w:p>
    <w:p>
      <w:pPr>
        <w:spacing w:before="240" w:after="240"/>
        <w:rPr>
          <w:lang w:val="el" w:eastAsia="el"/>
        </w:rPr>
      </w:pPr>
      <w:r>
        <w:rPr>
          <w:lang w:val="el" w:eastAsia="el"/>
        </w:rPr>
        <w:t>vii. Οι λογιστές φοροτεχνικοί που κατέχουν κατά τη δημοσίευση του παρόντος νόμου επαγγελματική ταυτότητα Β΄ τάξης, μέχρι τη συμπλήρωση της απαιτούμενης προϋπηρεσίας για την απόκτηση επαγγελματικής ταυτότητας Α΄ τάξης, συνεχίζουν να ασκούν το επάγγελμα του λογιστή φοροτεχνικού με τα ίδια επαγγελματικά δικαιώματα.</w:t>
      </w:r>
      <w:r>
        <w:rPr>
          <w:rStyle w:val="Hyperlink"/>
          <w:color w:val="000000"/>
          <w:sz w:val="20"/>
          <w:szCs w:val="20"/>
          <w:u w:val="none" w:color="0000EE"/>
          <w:vertAlign w:val="superscript"/>
          <w:lang w:val="el" w:eastAsia="el"/>
        </w:rPr>
        <w:footnoteReference w:id="17"/>
      </w:r>
    </w:p>
    <w:p>
      <w:pPr>
        <w:spacing w:before="240" w:after="240"/>
        <w:rPr>
          <w:lang w:val="el" w:eastAsia="el"/>
        </w:rPr>
      </w:pPr>
      <w:r>
        <w:rPr>
          <w:lang w:val="el" w:eastAsia="el"/>
        </w:rPr>
        <w:t>vii. Οι λογιστές φοροτεχνικοί, που κατέχουν κατά τη δημοσίευση του ν. 4152/2013 επαγγελματική ταυτότητα Γ' τάξης του δευτέρου εδαφίου της παραγράφου 1 του άρθρου 16 του π.δ. 340/1998, αποκτούν επαγγελματική ταυτότητα Β' τάξης. Επιπροσθέτως των δικαιωμάτων που προβλέπονται για τους κατόχους επαγγελματικής ταυτότητας ΕΓ' τάξης κατά τις διατάξεις του άρθρου 3 του π.δ. 340/1998, όπως αντικαταστάθηκε με την περίπτωση 7 της υποπαραγράφου Η.2 της παρ. Η' του άρθρου πρώτου του ν.4152/2013, οι λογιστές φοροτεχνικοί, που κατέχουν κατά τη δημοσίευση του ν. 4152/2013 επαγγελματική ταυτότητα Γ' τάξης του δευτέρου εδαφίου της παρ. 1 του άρθρου 16 του π.δ. 340/1998, διατηρούν έως τις 31.12.2018 το δικαίωμα τήρησης διπλογραφικών βιβλίων μέχρι του ορίου των ακαθαρίστων εσόδων που προβλέπονται για τα απλογραφικά βιβλία του Κώδικα Φορολογικής Απεικόνισης Συναλλαγών. Η ανωτέρω προθεσμία δύναται να παραταθεί με απόφαση του Υπουργού Ανάπτυξης και Ανταγωνιστικότητας.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3.</w:t>
      </w:r>
      <w:r>
        <w:rPr>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lang w:val="el" w:eastAsia="el"/>
        </w:rPr>
        <w:t xml:space="preserve"> Η παρ. 1 του άρθρου 3 του Ν. 1479/1984 αντικαθίσταται ως εξής:</w:t>
      </w:r>
    </w:p>
    <w:p>
      <w:pPr>
        <w:spacing w:before="240" w:after="240"/>
        <w:rPr>
          <w:lang w:val="el" w:eastAsia="el"/>
        </w:rPr>
      </w:pPr>
      <w:r>
        <w:rPr>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μη κερδοσκοπικού χαρακτήρα,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και οι Βοηθοί Ορκωτοί Εκτιμητές, οι οποίοι ασκούν δημόσιο λειτούργημα, είναι ελεύθεροι επαγγελματίες και δεν έχουν σχέση εξαρτημένης εργασίας με το Σ.Ο.Ε.</w:t>
      </w:r>
      <w:r>
        <w:rPr>
          <w:rStyle w:val="Hyperlink"/>
          <w:b/>
          <w:bCs/>
          <w:color w:val="000000"/>
          <w:sz w:val="20"/>
          <w:szCs w:val="20"/>
          <w:u w:val="none" w:color="0000EE"/>
          <w:vertAlign w:val="superscript"/>
          <w:lang w:val="el" w:eastAsia="el"/>
        </w:rPr>
        <w:footnoteReference w:id="19"/>
      </w:r>
    </w:p>
    <w:p>
      <w:pPr>
        <w:spacing w:before="240" w:after="240"/>
        <w:rPr>
          <w:lang w:val="el" w:eastAsia="el"/>
        </w:rPr>
      </w:pPr>
      <w:r>
        <w:rPr>
          <w:b/>
          <w:bCs/>
          <w:lang w:val="el" w:eastAsia="el"/>
        </w:rPr>
        <w:t>Όταν μεταβιβάζεται η κυριότητα ακινήτων στα πιο πάνω πρόσωπα, λόγω δωρεάς, δεν απαιτείται έκθεση εκτίμησης του Σώματος Ορκωτών Εκτιμητών.</w:t>
      </w:r>
      <w:r>
        <w:rPr>
          <w:rStyle w:val="Hyperlink"/>
          <w:b/>
          <w:bCs/>
          <w:color w:val="000000"/>
          <w:sz w:val="20"/>
          <w:szCs w:val="20"/>
          <w:u w:val="none" w:color="0000EE"/>
          <w:vertAlign w:val="superscript"/>
          <w:lang w:val="el" w:eastAsia="el"/>
        </w:rPr>
        <w:footnoteReference w:id="20"/>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ή την κοινότητα, στην περιφέρεια των οποίων εγκαθίστανται ή λειτουργούν και ισχύει μέχρι την τυχόν ανάκλησή της. Η αδεία εκδίδεται εντός προθεσμίας τριάντα (30) ήμερων από την ημερομηνία υποβολής της σχετικής αίτησης συνοδευομένης από τα απαιτούμενα δικαιολογητικά.</w:t>
      </w:r>
      <w:r>
        <w:rPr>
          <w:rStyle w:val="Hyperlink"/>
          <w:b/>
          <w:bCs/>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2.</w:t>
      </w:r>
      <w:r>
        <w:rPr>
          <w:b/>
          <w:bCs/>
          <w:lang w:val="el" w:eastAsia="el"/>
        </w:rPr>
        <w:t xml:space="preserve"> Για τη χορήγηση της άδειας, καθώς και τη διατήρησή της σε ισχύ κατ' έτος, επιβάλλεται στους ιδιοκτήτες των καταστημάτων ετήσιο τέλος με την ονομασία «τέλος διενεργείας ψυχαγωγικών τεχνικών παιγνίων με παιγνιόχαρτα», το οποίο επιμερίζεται σε ποσοστό 90% υπέρ του Δημοσίου και σε ποσοστό 10% υπέρ του δήμου η της κοινότητας στην περιοχή των οποίων εγκαθίστανται και λειτουργούν τα παίγνια αυτά.</w:t>
      </w:r>
      <w:r>
        <w:rPr>
          <w:rStyle w:val="Hyperlink"/>
          <w:b/>
          <w:bCs/>
          <w:color w:val="000000"/>
          <w:sz w:val="20"/>
          <w:szCs w:val="20"/>
          <w:u w:val="none" w:color="0000EE"/>
          <w:vertAlign w:val="superscript"/>
          <w:lang w:val="el" w:eastAsia="el"/>
        </w:rPr>
        <w:footnoteReference w:id="22"/>
      </w:r>
    </w:p>
    <w:p>
      <w:pPr>
        <w:pStyle w:val="MainText"/>
        <w:spacing w:before="120" w:after="0"/>
        <w:rPr>
          <w:lang w:val="el" w:eastAsia="el"/>
        </w:rPr>
      </w:pPr>
      <w:r>
        <w:rPr>
          <w:b/>
          <w:bCs/>
          <w:lang w:val="el" w:eastAsia="el"/>
        </w:rPr>
        <w:t>3.</w:t>
      </w:r>
      <w:r>
        <w:rPr>
          <w:b/>
          <w:bCs/>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από 1.1.2003 ως εξής:</w:t>
      </w:r>
      <w:r>
        <w:rPr>
          <w:rStyle w:val="Hyperlink"/>
          <w:b/>
          <w:bCs/>
          <w:color w:val="000000"/>
          <w:sz w:val="20"/>
          <w:szCs w:val="20"/>
          <w:u w:val="none" w:color="0000EE"/>
          <w:vertAlign w:val="superscript"/>
          <w:lang w:val="el" w:eastAsia="el"/>
        </w:rPr>
        <w:footnoteReference w:id="23"/>
      </w:r>
    </w:p>
    <w:p>
      <w:pPr>
        <w:spacing w:before="240" w:after="240"/>
        <w:rPr>
          <w:lang w:val="el" w:eastAsia="el"/>
        </w:rPr>
      </w:pPr>
      <w:r>
        <w:rPr>
          <w:b/>
          <w:bCs/>
          <w:lang w:val="el" w:eastAsia="el"/>
        </w:rPr>
        <w:t>α. Για δήμους και κοινότητες με πληθυσμό μέχρι 2.000 κατοίκους σε τριάντα ευρώ, με εξαίρεση τους δήμους και κοινότητες που εμπίπτουν στην επομένη περίπτωση.</w:t>
      </w:r>
      <w:r>
        <w:rPr>
          <w:rStyle w:val="Hyperlink"/>
          <w:b/>
          <w:bCs/>
          <w:color w:val="000000"/>
          <w:sz w:val="20"/>
          <w:szCs w:val="20"/>
          <w:u w:val="none" w:color="0000EE"/>
          <w:vertAlign w:val="superscript"/>
          <w:lang w:val="el" w:eastAsia="el"/>
        </w:rPr>
        <w:footnoteReference w:id="24"/>
      </w:r>
    </w:p>
    <w:p>
      <w:pPr>
        <w:spacing w:before="240" w:after="240"/>
        <w:rPr>
          <w:lang w:val="el" w:eastAsia="el"/>
        </w:rPr>
      </w:pPr>
      <w:r>
        <w:rPr>
          <w:b/>
          <w:bCs/>
          <w:lang w:val="el" w:eastAsia="el"/>
        </w:rPr>
        <w:t>β. Για δήμους και κοινότητες με πληθυσμό μέχρι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ευρώ.</w:t>
      </w:r>
      <w:r>
        <w:rPr>
          <w:rStyle w:val="Hyperlink"/>
          <w:b/>
          <w:bCs/>
          <w:color w:val="000000"/>
          <w:sz w:val="20"/>
          <w:szCs w:val="20"/>
          <w:u w:val="none" w:color="0000EE"/>
          <w:vertAlign w:val="superscript"/>
          <w:lang w:val="el" w:eastAsia="el"/>
        </w:rPr>
        <w:footnoteReference w:id="25"/>
      </w:r>
    </w:p>
    <w:p>
      <w:pPr>
        <w:spacing w:before="240" w:after="240"/>
        <w:rPr>
          <w:lang w:val="el" w:eastAsia="el"/>
        </w:rPr>
      </w:pPr>
      <w:r>
        <w:rPr>
          <w:b/>
          <w:bCs/>
          <w:lang w:val="el" w:eastAsia="el"/>
        </w:rPr>
        <w:t>γ. Για δήμους και κοινότητες με πληθυσμό από 2.001 μέχρι 10.000 κατοίκους σε τριακόσια ευρώ.</w:t>
      </w:r>
      <w:r>
        <w:rPr>
          <w:rStyle w:val="Hyperlink"/>
          <w:b/>
          <w:bCs/>
          <w:color w:val="000000"/>
          <w:sz w:val="20"/>
          <w:szCs w:val="20"/>
          <w:u w:val="none" w:color="0000EE"/>
          <w:vertAlign w:val="superscript"/>
          <w:lang w:val="el" w:eastAsia="el"/>
        </w:rPr>
        <w:footnoteReference w:id="26"/>
      </w:r>
    </w:p>
    <w:p>
      <w:pPr>
        <w:spacing w:before="240" w:after="240"/>
        <w:rPr>
          <w:lang w:val="el" w:eastAsia="el"/>
        </w:rPr>
      </w:pPr>
      <w:r>
        <w:rPr>
          <w:b/>
          <w:bCs/>
          <w:lang w:val="el" w:eastAsia="el"/>
        </w:rPr>
        <w:t>δ. Για δήμους με πληθυσμό από 10.001 μέχρι 50.000 κατοίκους σε τετρακόσια ευρώ.</w:t>
      </w:r>
      <w:r>
        <w:rPr>
          <w:rStyle w:val="Hyperlink"/>
          <w:b/>
          <w:bCs/>
          <w:color w:val="000000"/>
          <w:sz w:val="20"/>
          <w:szCs w:val="20"/>
          <w:u w:val="none" w:color="0000EE"/>
          <w:vertAlign w:val="superscript"/>
          <w:lang w:val="el" w:eastAsia="el"/>
        </w:rPr>
        <w:footnoteReference w:id="27"/>
      </w:r>
    </w:p>
    <w:p>
      <w:pPr>
        <w:spacing w:before="240" w:after="240"/>
        <w:rPr>
          <w:lang w:val="el" w:eastAsia="el"/>
        </w:rPr>
      </w:pPr>
      <w:r>
        <w:rPr>
          <w:b/>
          <w:bCs/>
          <w:lang w:val="el" w:eastAsia="el"/>
        </w:rPr>
        <w:t>ε. Για δήμους με πληθυσμό πάνω από 50.000 κατοίκους σε επτακόσια ευρώ.</w:t>
      </w:r>
      <w:r>
        <w:rPr>
          <w:rStyle w:val="Hyperlink"/>
          <w:b/>
          <w:bCs/>
          <w:color w:val="000000"/>
          <w:sz w:val="20"/>
          <w:szCs w:val="20"/>
          <w:u w:val="none" w:color="0000EE"/>
          <w:vertAlign w:val="superscript"/>
          <w:lang w:val="el" w:eastAsia="el"/>
        </w:rPr>
        <w:footnoteReference w:id="28"/>
      </w:r>
    </w:p>
    <w:p>
      <w:pPr>
        <w:spacing w:before="240" w:after="240"/>
        <w:rPr>
          <w:lang w:val="el" w:eastAsia="el"/>
        </w:rPr>
      </w:pPr>
      <w:r>
        <w:rPr>
          <w:b/>
          <w:bCs/>
          <w:lang w:val="el" w:eastAsia="el"/>
        </w:rPr>
        <w:t>στ. Για εντευκτήρια σωματείων, συλλόγων και ομίλων σε χίλια ευρώ.</w:t>
      </w:r>
      <w:r>
        <w:rPr>
          <w:rStyle w:val="Hyperlink"/>
          <w:b/>
          <w:bCs/>
          <w:color w:val="000000"/>
          <w:sz w:val="20"/>
          <w:szCs w:val="20"/>
          <w:u w:val="none" w:color="0000EE"/>
          <w:vertAlign w:val="superscript"/>
          <w:lang w:val="el" w:eastAsia="el"/>
        </w:rPr>
        <w:footnoteReference w:id="29"/>
      </w:r>
    </w:p>
    <w:p>
      <w:pPr>
        <w:pStyle w:val="MainText"/>
        <w:spacing w:before="120" w:after="0"/>
        <w:rPr>
          <w:lang w:val="el" w:eastAsia="el"/>
        </w:rPr>
      </w:pPr>
      <w:r>
        <w:rPr>
          <w:b/>
          <w:bCs/>
          <w:lang w:val="el" w:eastAsia="el"/>
        </w:rPr>
        <w:t>4.</w:t>
      </w:r>
      <w:r>
        <w:rPr>
          <w:b/>
          <w:bCs/>
          <w:lang w:val="el" w:eastAsia="el"/>
        </w:rPr>
        <w:t xml:space="preserve"> Για τον υπολογισμό του πληθυσμού κάθε δήμου η κοινότητας λαμβάνεται υπόψη η τελευταία απογραφή. Για τον υπολογισμό του τέλους λαμβάνεται υπόψη ο πληθυσμός του δήμου ή της κοινότητας πριν από τη συνένωση που έγινε κατά τις διατάξεις του Ν. 2539/1997 (ΦΕΚ 244 Α') η κατά τις διατάξεις των Νόμων 1416/1984 (ΦΕΚ 18 Α') και 1622/1986 (ΦΕΚ 92 Α'). Η περιοχή της τέως διοικήσεως πρωτευούσης και το πολεοδομικό συγκρότημα Θεσσαλονίκης θεωρούνται, για την εφαρμογή του άρθρου αυτού, το καθένα ως ένας δήμος. 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η μη επικάλυψη ειδικού υφάσματος (τσόχα) η αλλού πρόσφορου μέσου.</w:t>
      </w:r>
      <w:r>
        <w:rPr>
          <w:rStyle w:val="Hyperlink"/>
          <w:b/>
          <w:bCs/>
          <w:color w:val="000000"/>
          <w:sz w:val="20"/>
          <w:szCs w:val="20"/>
          <w:u w:val="none" w:color="0000EE"/>
          <w:vertAlign w:val="superscript"/>
          <w:lang w:val="el" w:eastAsia="el"/>
        </w:rPr>
        <w:footnoteReference w:id="30"/>
      </w:r>
    </w:p>
    <w:p>
      <w:pPr>
        <w:pStyle w:val="MainText"/>
        <w:spacing w:before="120" w:after="0"/>
        <w:rPr>
          <w:lang w:val="el" w:eastAsia="el"/>
        </w:rPr>
      </w:pPr>
      <w:r>
        <w:rPr>
          <w:b/>
          <w:bCs/>
          <w:lang w:val="el" w:eastAsia="el"/>
        </w:rPr>
        <w:t>5.</w:t>
      </w:r>
      <w:r>
        <w:rPr>
          <w:b/>
          <w:bCs/>
          <w:lang w:val="el" w:eastAsia="el"/>
        </w:rPr>
        <w:t xml:space="preserve"> Το ετήσιο τέλος καταβάλλεται από τον ιδιοκτήτη του καταστήματος στις αρμόδιες για τη φορολογία του εισοδήματός τους Δημόσιες Οικονομικές Υπηρεσίες (Δ.Ο.Υ.) με την υποβολή:</w:t>
      </w:r>
      <w:r>
        <w:rPr>
          <w:rStyle w:val="Hyperlink"/>
          <w:b/>
          <w:bCs/>
          <w:color w:val="000000"/>
          <w:sz w:val="20"/>
          <w:szCs w:val="20"/>
          <w:u w:val="none" w:color="0000EE"/>
          <w:vertAlign w:val="superscript"/>
          <w:lang w:val="el" w:eastAsia="el"/>
        </w:rPr>
        <w:footnoteReference w:id="31"/>
      </w:r>
    </w:p>
    <w:p>
      <w:pPr>
        <w:spacing w:before="240" w:after="240"/>
        <w:rPr>
          <w:lang w:val="el" w:eastAsia="el"/>
        </w:rPr>
      </w:pPr>
      <w:r>
        <w:rPr>
          <w:b/>
          <w:bCs/>
          <w:lang w:val="el" w:eastAsia="el"/>
        </w:rPr>
        <w:t>α. Δήλωσης απογραφής, στην οποία αναγράφεται ο αριθμός των ειδικά διασκευασμένων τραπεζιών και</w:t>
      </w:r>
      <w:r>
        <w:rPr>
          <w:rStyle w:val="Hyperlink"/>
          <w:b/>
          <w:bCs/>
          <w:color w:val="000000"/>
          <w:sz w:val="20"/>
          <w:szCs w:val="20"/>
          <w:u w:val="none" w:color="0000EE"/>
          <w:vertAlign w:val="superscript"/>
          <w:lang w:val="el" w:eastAsia="el"/>
        </w:rPr>
        <w:footnoteReference w:id="32"/>
      </w:r>
    </w:p>
    <w:p>
      <w:pPr>
        <w:spacing w:before="240" w:after="240"/>
        <w:rPr>
          <w:lang w:val="el" w:eastAsia="el"/>
        </w:rPr>
      </w:pPr>
      <w:r>
        <w:rPr>
          <w:b/>
          <w:bCs/>
          <w:lang w:val="el" w:eastAsia="el"/>
        </w:rPr>
        <w:t>β. Υπεύθυνης δήλωσης του Ν. 1599/1986 (ΦΕΚ 75 Α'), ότι: στα ειδικά διασκευασμένα τραπέζια της συνυποβαλλόμενης δήλωσης απογραφής διεξάγονται μονό ψυχαγωγικά τεχνικά παίγνια.</w:t>
      </w:r>
      <w:r>
        <w:rPr>
          <w:rStyle w:val="Hyperlink"/>
          <w:b/>
          <w:bCs/>
          <w:color w:val="000000"/>
          <w:sz w:val="20"/>
          <w:szCs w:val="20"/>
          <w:u w:val="none" w:color="0000EE"/>
          <w:vertAlign w:val="superscript"/>
          <w:lang w:val="el" w:eastAsia="el"/>
        </w:rPr>
        <w:footnoteReference w:id="33"/>
      </w:r>
    </w:p>
    <w:p>
      <w:pPr>
        <w:spacing w:before="240" w:after="240"/>
        <w:rPr>
          <w:lang w:val="el" w:eastAsia="el"/>
        </w:rPr>
      </w:pPr>
      <w:r>
        <w:rPr>
          <w:b/>
          <w:bCs/>
          <w:lang w:val="el" w:eastAsia="el"/>
        </w:rPr>
        <w:t>Με την καταβολή του τέλους, η αρμοδία Δ.Ο.Υ. εκδίδει σχετικό αποδεικτικό καταβολής και προβαίνει στη θεώρηση της δήλωσης απογραφής που επισυνάπτονται στην εκδιδόμενη άδεια.</w:t>
      </w:r>
      <w:r>
        <w:rPr>
          <w:rStyle w:val="Hyperlink"/>
          <w:b/>
          <w:bCs/>
          <w:color w:val="000000"/>
          <w:sz w:val="20"/>
          <w:szCs w:val="20"/>
          <w:u w:val="none" w:color="0000EE"/>
          <w:vertAlign w:val="superscript"/>
          <w:lang w:val="el" w:eastAsia="el"/>
        </w:rPr>
        <w:footnoteReference w:id="34"/>
      </w:r>
    </w:p>
    <w:p>
      <w:pPr>
        <w:pStyle w:val="MainText"/>
        <w:spacing w:before="120" w:after="0"/>
        <w:rPr>
          <w:lang w:val="el" w:eastAsia="el"/>
        </w:rPr>
      </w:pPr>
      <w:r>
        <w:rPr>
          <w:b/>
          <w:bCs/>
          <w:lang w:val="el" w:eastAsia="el"/>
        </w:rPr>
        <w:t>6.</w:t>
      </w:r>
      <w:r>
        <w:rPr>
          <w:b/>
          <w:bCs/>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w:t>
      </w:r>
      <w:r>
        <w:rPr>
          <w:rStyle w:val="Hyperlink"/>
          <w:b/>
          <w:bCs/>
          <w:color w:val="000000"/>
          <w:sz w:val="20"/>
          <w:szCs w:val="20"/>
          <w:u w:val="none" w:color="0000EE"/>
          <w:vertAlign w:val="superscript"/>
          <w:lang w:val="el" w:eastAsia="el"/>
        </w:rPr>
        <w:footnoteReference w:id="35"/>
      </w:r>
    </w:p>
    <w:p>
      <w:pPr>
        <w:pStyle w:val="MainText"/>
        <w:spacing w:before="120" w:after="0"/>
        <w:rPr>
          <w:lang w:val="el" w:eastAsia="el"/>
        </w:rPr>
      </w:pPr>
      <w:r>
        <w:rPr>
          <w:b/>
          <w:bCs/>
          <w:lang w:val="el" w:eastAsia="el"/>
        </w:rPr>
        <w:t>7.</w:t>
      </w:r>
      <w:r>
        <w:rPr>
          <w:b/>
          <w:bCs/>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νομίμου τέλους, επιβάλλεται από την αρμοδία Δ. Ο. Υ. πρόστιμο, το οποίο ανέρχεται στο πενταπλάσιο του κατά την παράγραφο 3 προβλεπόμενου τέλους.</w:t>
      </w:r>
      <w:r>
        <w:rPr>
          <w:rStyle w:val="Hyperlink"/>
          <w:b/>
          <w:bCs/>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8.</w:t>
      </w:r>
      <w:r>
        <w:rPr>
          <w:b/>
          <w:bCs/>
          <w:lang w:val="el" w:eastAsia="el"/>
        </w:rPr>
        <w:t xml:space="preserve"> Για την επιβολή του προστίμου της προηγουμένης παραγράφου, τη διοικητική επίλυση της διαφοράς, το δικαστικό συμβιβασμό, την παραγραφή του δικαιώματος του Δημοσίου και τη βεβαίωση και καταβολή αυτού, εφαρμόζονται ανάλογα οι διατάξεις του άρθρου 9 του Ν. 2523/1997.</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9.</w:t>
      </w:r>
      <w:r>
        <w:rPr>
          <w:b/>
          <w:bCs/>
          <w:lang w:val="el" w:eastAsia="el"/>
        </w:rPr>
        <w:t xml:space="preserve"> 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άδειων διενέργειας των ψυχαγωγικών τεχνικών παιγνίων και για την εφαρμογή των διατάξεων του παρόντος άρθρου καθορίζονται με απόφαση των Υπουργών Εσωτερικών. Δημόσιας Διοίκησης και Αποκέντρωσης και Οικονομικών.</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10.</w:t>
      </w:r>
      <w:r>
        <w:rPr>
          <w:b/>
          <w:bCs/>
          <w:lang w:val="el" w:eastAsia="el"/>
        </w:rPr>
        <w:t xml:space="preserve"> Καταργούνται οι διατάξεις των παραγράφων 3 και 5 του άρθρου ι, το άρθρο 2 και διαγράφεται η φράση "ή δρασαντων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11.</w:t>
      </w:r>
      <w:r>
        <w:rPr>
          <w:b/>
          <w:bCs/>
          <w:lang w:val="el" w:eastAsia="el"/>
        </w:rPr>
        <w:t xml:space="preserve"> Η ισχύς του παρόντος άρθρου αρχίζει από την 1η Ιανουαρίου 1997, εκτός από τις περιπτώσεις που ορίζεται διαφορετικά στις επί μέρους διατάξεις αυτού.</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12.</w:t>
      </w:r>
      <w:r>
        <w:rPr>
          <w:b/>
          <w:bCs/>
          <w:lang w:val="el" w:eastAsia="el"/>
        </w:rPr>
        <w:t xml:space="preserve"> (...)</w:t>
      </w:r>
      <w:r>
        <w:rPr>
          <w:rStyle w:val="Hyperlink"/>
          <w:b/>
          <w:bCs/>
          <w:color w:val="000000"/>
          <w:sz w:val="20"/>
          <w:szCs w:val="20"/>
          <w:u w:val="none" w:color="0000EE"/>
          <w:vertAlign w:val="superscript"/>
          <w:lang w:val="el" w:eastAsia="el"/>
        </w:rPr>
        <w:footnoteReference w:id="41"/>
      </w:r>
    </w:p>
    <w:p>
      <w:pPr>
        <w:pStyle w:val="MainText"/>
        <w:spacing w:before="120" w:after="0"/>
        <w:rPr>
          <w:lang w:val="el" w:eastAsia="el"/>
        </w:rPr>
      </w:pPr>
      <w:r>
        <w:rPr>
          <w:b/>
          <w:bCs/>
          <w:lang w:val="el" w:eastAsia="el"/>
        </w:rPr>
        <w:t>13.</w:t>
      </w:r>
      <w:r>
        <w:rPr>
          <w:b/>
          <w:bCs/>
          <w:lang w:val="el" w:eastAsia="el"/>
        </w:rPr>
        <w:t xml:space="preserve">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14.</w:t>
      </w:r>
      <w:r>
        <w:rPr>
          <w:b/>
          <w:bCs/>
          <w:lang w:val="el" w:eastAsia="el"/>
        </w:rPr>
        <w:t xml:space="preserve">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15.</w:t>
      </w:r>
      <w:r>
        <w:rPr>
          <w:b/>
          <w:bCs/>
          <w:lang w:val="el" w:eastAsia="el"/>
        </w:rPr>
        <w:t xml:space="preserve">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16.</w:t>
      </w:r>
      <w:r>
        <w:rPr>
          <w:b/>
          <w:bCs/>
          <w:lang w:val="el" w:eastAsia="el"/>
        </w:rPr>
        <w:t xml:space="preserve"> (…)</w:t>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ή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πόσιμου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την 31η.12.1996, εφόσον οι νομαρχίες ή οι Ο.Τ.Α. ή το Δημόσιο γενικότερα δεν κατέβαλαν ως όφειλαν το σχετικό ποσό του φόρου προστιθέμενης αξίας.</w:t>
      </w:r>
    </w:p>
    <w:p>
      <w:pPr>
        <w:spacing w:before="240" w:after="240"/>
        <w:rPr>
          <w:lang w:val="el" w:eastAsia="el"/>
        </w:rPr>
      </w:pPr>
      <w:r>
        <w:rPr>
          <w:b/>
          <w:bCs/>
          <w:lang w:val="el" w:eastAsia="el"/>
        </w:rPr>
        <w:t>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Άρθρο 14</w:t>
      </w:r>
      <w:r>
        <w:rPr>
          <w:b/>
          <w:bCs/>
          <w:lang w:val="el" w:eastAsia="el"/>
        </w:rPr>
        <w:t xml:space="preserve">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 και στα πιστωτικά ιδρύματα που συνιστώνται και λειτουργούν με τη μορφή αμιγούς προσωπικού συνεταιρισμού, σύμφωνα με τις διατάξεις της παραγράφου 1 του άρθρου 5 του Ν. 2076/1992 (ΦΕΚ 130 Α).</w:t>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και επί΄ διασπάσεως πιστωτικών ιδρυμάτων (με την επιφύλαξη της παραγράφου 8) κατά τα άρθρα 81 , 82 , 83 , 84 , 85 , 86 , 87 , 88 και 89 του Κ.Ν. 2190/1920 , όπως ισχύει, καθώς και επί εισφοράς από λειτουργούν πιστωτικό ίδρυμα κλάδου, μέρους, τμήματος ή υποκαταστήματος του σε άλλο λειτουργούν πιστωτικό ίδρυμα.</w:t>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α) Ο Υπουργός Ανάπτυξης εκδίδει τη εγκριτική απόφαση της συγχώνευσης, σύμφωνα με τις διατάξεις της νομοθεσίας για τις ανώνυμες εταιρείες, αφού έχει προηγηθεί η έγκριση της συγχώνευσης από την Τράπεζα της Ελλάδος.</w:t>
      </w:r>
      <w:r>
        <w:rPr>
          <w:rStyle w:val="Hyperlink"/>
          <w:b/>
          <w:bCs/>
          <w:color w:val="000000"/>
          <w:sz w:val="20"/>
          <w:szCs w:val="20"/>
          <w:u w:val="none" w:color="0000EE"/>
          <w:vertAlign w:val="superscript"/>
          <w:lang w:val="el" w:eastAsia="el"/>
        </w:rPr>
        <w:footnoteReference w:id="46"/>
      </w:r>
    </w:p>
    <w:p>
      <w:pPr>
        <w:spacing w:before="240" w:after="240"/>
        <w:rPr>
          <w:lang w:val="el" w:eastAsia="el"/>
        </w:rPr>
      </w:pPr>
      <w:r>
        <w:rPr>
          <w:b/>
          <w:bCs/>
          <w:lang w:val="el" w:eastAsia="el"/>
        </w:rPr>
        <w:t>Τα πιστωτικά ιδρύματα που συγχωνεύονται γνωστοποιούν στην Τράπεζα της Ελλάδος τις περί συγχωνεύσεως αποφάσεις των διοικητικών συμβουλίων τους, συνοδευόμενες: (I) από το σχέδιο της σύμβασης συγχωνεύσεως και τις επ΄ αυτού εκθέσεις κατ΄ άρθρο 69 παράγραφοι 1, 2 και 4 του Κ.Ν. 2190/1920, καθώς και από τις εκθέσεις των παραγράφων 4 ή 5 του παρόντος άρθρου κατά περίπτωση και (II) από πρόγραμμα επιχειρηματικής δραστηριότητας για το είδος και την έκταση των εργασιών, καθώς και για τη διοικητική και λογιστική οργάνωση και τις διαδικασίες εσωτερικού ελέγχου του πιστωτικού ιδρύματος που προέρχεται από τη συγχώνευση.</w:t>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 xml:space="preserve">Η Τράπεζα της Ελλάδος εγκρίνει τη συγχώνευση εντός δύο (2) μηνών από την υποβολή όλων των στοιχείων του προηγούμενου εδαφίου. Αν η δίμηνη προθεσμία παρέλθει άπρακτη, θεωρείται ότι η συγχώνευση εγκρίνεται. Εντός του διμήνου, η Τράπεζα της Ελλάδος αρνείται τη συγχώνευση με αιτιολογημένη απόφασή της, εάν, λόγω της συγχωνεύσεως: είτε (!) καθίσταται ανεπαρκής η διοικητική ή και η λογιστική οργάνωση ή οι διαδικασίες εσωτερικού ελέγχου του πιστωτικού ιδρύματος, το οποίο προέρχεται από τη συγχώνευση είτε (II) δεν πληρούνται ως προς το πιστωτικό αυτό ίδρυμα οι αρχές και οι κανόνες που διέπουν την εποπτεία των πιστωτικών ιδρυμάτων και ιδίως οι κανόνες που ισχύουν ως προς τη συγκέντρωση κινδύνων ή την κεφαλαιακή επάρκεια κεφαλαίων των πιστωτικών ιδρυμάτων. Επί συγχωνεύσεως δια συστάσεως νέου πιστωτικού ιδρύματος, η έγκριση της συγχώνευσης από την Τράπεζα της Ελλάδος χωρεί εντός της προθεσμίας του άρθρου 8 παράγραφος 2 του Ν. 2076/1992 και επιπροσθέτως επί τη βάσει των προβλεπόμενων από το άρθρο 6 του Ν. 2076/1992 στοιχείων, ισχύει δε και ως άδεια λειτουργίας του νέου πιστωτικού ιδρύματος, σύμφωνα με τις διατάξεις του ίδιου νόμου. </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 xml:space="preserve">Άδειες που είχε χορηγήσει η Τράπεζα της Ελλάδος προς συγχωνευόμενα πιστωτικά ιδρύματα, μεταβιβάζονται δια της συγχωνεύσεως αυτοδικαίως και ισχύουν υπέρ του απορροφώντος ή του εξαγοράζοντος ή του συνιστώμενου νέου πιστωτικού ιδρύματος, κατά περίπτωση, εφόσον δεν ορίζεται άλλως στην περί εγκρίσεως της συγχωνεύσεως απόφαση της Τράπεζας της Ελλάδος. </w:t>
      </w:r>
      <w:r>
        <w:rPr>
          <w:rStyle w:val="Hyperlink"/>
          <w:b/>
          <w:bCs/>
          <w:color w:val="000000"/>
          <w:sz w:val="20"/>
          <w:szCs w:val="20"/>
          <w:u w:val="none" w:color="0000EE"/>
          <w:vertAlign w:val="superscript"/>
          <w:lang w:val="el" w:eastAsia="el"/>
        </w:rPr>
        <w:footnoteReference w:id="4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Οι διατάξεις της παρούσας παραγράφου εφαρμόζονται αναλόγως και επί διασπάσεως πιστωτικών ιδρυμάτων κατά τα άρθρα 81, 82, 83, 84, 85, 86, 87, 88 και 89 του Κ.Ν. 2190/1920, όπως ισχύει, εφόσον επέρχεται αύξηση του ενεργητικού του επωφελούμενου πιστωτικού ιδρύματος κατά ποσοστό 10% και άνω ή αύξηση του συνολικού αριθμού των υποκαταστημάτων και θυρίδων του. </w:t>
      </w:r>
      <w:r>
        <w:rPr>
          <w:rStyle w:val="Hyperlink"/>
          <w:b/>
          <w:bCs/>
          <w:color w:val="000000"/>
          <w:sz w:val="20"/>
          <w:szCs w:val="20"/>
          <w:u w:val="none" w:color="0000EE"/>
          <w:vertAlign w:val="superscript"/>
          <w:lang w:val="el" w:eastAsia="el"/>
        </w:rPr>
        <w:footnoteReference w:id="50"/>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Ομοίως, απαιτείται προηγούμενη έγκριση από την Τράπεζα της Ελλάδος για την έγκυρη απόκτηση από λειτουργούν πιστωτικό ίδρυμα κλάδου, μέρους ή τμήματος της επιχείρησης ή υποκαταστημάτων άλλου λειτουργούντος πιστωτικού ιδρύματος, εφόσον η απόκτηση αυτή έχει ως αποτέλεσμα την αύξηση του ενεργητικού του αποκτώντος πιστωτικού ιδρύματος κατά ποσοστό 10% και άνω ή την αύξηση του συνολικού αριθμού των υποκαταστημάτων και θυρίδων του. Στην περίπτωση αυτή, η γνωστοποίηση προς την Τράπεζα της Ελλάδος γίνεται από το αποκτών πιστωτικό ίδρυμα αμέσως μετά τη λήψη της σχετικής απόφασης από το αρμόδιο όργανό του, εφαρμοζομένων κατά τα λοιπά αναλόγως των διατάξεων της παρούσας παραγράφου. </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Οι διατάξεις της παρούσας παραγράφου υπό στοιχεία α΄, β και γ΄ καταλαμβάνουν και τις επιχειρήσεις που αναφέρονται στην απόφαση της Επιτροπής Νομισματικών και Πιστωτικών θεμάτων 564/5/23.11.1995 (ΦΕΚ 28 Α/27.2.96), όπως ισχύει, εφόσον, αντιστοίχως: </w:t>
      </w:r>
      <w:r>
        <w:rPr>
          <w:rStyle w:val="Hyperlink"/>
          <w:b/>
          <w:bCs/>
          <w:color w:val="000000"/>
          <w:sz w:val="20"/>
          <w:szCs w:val="20"/>
          <w:u w:val="none" w:color="0000EE"/>
          <w:vertAlign w:val="superscript"/>
          <w:lang w:val="el" w:eastAsia="el"/>
        </w:rPr>
        <w:footnoteReference w:id="52"/>
      </w:r>
    </w:p>
    <w:p>
      <w:pPr>
        <w:spacing w:before="240" w:after="240"/>
        <w:rPr>
          <w:lang w:val="el" w:eastAsia="el"/>
        </w:rPr>
      </w:pPr>
      <w:r>
        <w:rPr>
          <w:b/>
          <w:bCs/>
          <w:lang w:val="el" w:eastAsia="el"/>
        </w:rPr>
        <w:t xml:space="preserve">(I) το απορροφούν ή το εξαγόραζον ή το συνιστώμενο νέο νομικό πρόσωπο, στις περιπτώσεις υπό στοιχείο α΄, (II) το επωφελούμενο νομικό πρόσωπο, στην περίπτωση υπό στοιχείο β΄, (ΙΙΙ) το αποκτών νομικό πρόσωπο, στην περίπτωση υπό στοιχείο γ΄, είναι πιστωτικό ίδρυμα ή άλλο χρηματοδοτικό ίδρυμα εποπτευόμενο από την Τράπεζα της Ελλάδος. </w:t>
      </w:r>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Κατ΄ απόκλιση των οριζομένων στην παράγραφο 3 του παρόντος άρθρου, οι διατάξεις της παρούσας παραγράφου εφαρμόζονται και επί της Ε.Τ.Β.Α., του Ταμείου Παρακαταθηκών και Δανείων και του Ταχυδρομικού Ταμιευτηρίου, καθώς και επί των πιστωτικών ιδρυμάτων που λειτουργούν με τη μορφή αμιγούς πιστωτικού συνεταιρισμού.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19.</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20.</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MainText"/>
        <w:spacing w:before="120" w:after="0"/>
        <w:rPr>
          <w:lang w:val="el" w:eastAsia="el"/>
        </w:rPr>
      </w:pPr>
      <w:r>
        <w:rPr>
          <w:b/>
          <w:bCs/>
          <w:lang w:val="el" w:eastAsia="el"/>
        </w:rPr>
        <w:t>21.</w:t>
      </w:r>
      <w:r>
        <w:rPr>
          <w:b/>
          <w:bCs/>
          <w:lang w:val="el" w:eastAsia="el"/>
        </w:rPr>
        <w:t xml:space="preserve"> Οι διατάξεις του άρθρου αυτού, καθώς και οι διατάξεις του άρθρου 3 του Ν. 2166/1993 (ΦΕΚ 137Α') έχουν εφαρμογή και σε οποιαδήποτε περίπτωση μετασχηματισμού εγκατεστημένων στη χώρα μας υποκαταστημάτων αλλοδαπών πιστωτικών ιδρυμάτων σε ημεδαπή τραπεζική ανώνυμη εταιρεία ή και σε περίπτωση εισφοράς αυτών σε πιστωτικό ίδρυμα με έδρα χώρα-μέλος της Ευρωπαϊκής Ένωσης.</w:t>
      </w:r>
      <w:r>
        <w:rPr>
          <w:rStyle w:val="Hyperlink"/>
          <w:b/>
          <w:bCs/>
          <w:color w:val="000000"/>
          <w:sz w:val="20"/>
          <w:szCs w:val="20"/>
          <w:u w:val="none" w:color="0000EE"/>
          <w:vertAlign w:val="superscript"/>
          <w:lang w:val="el" w:eastAsia="el"/>
        </w:rPr>
        <w:footnoteReference w:id="55"/>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Έργων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 Άρθρο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Άρθρο 26</w:t>
      </w:r>
      <w:r>
        <w:rPr>
          <w:b/>
          <w:bCs/>
          <w:lang w:val="el" w:eastAsia="el"/>
        </w:rPr>
        <w:t xml:space="preserve">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που επιλέγονται κατά τα οριζόμενα στην παράγραφο 2 του παρόντος, για να παρέχουν εξειδικευμένες υπηρεσίες στις αγορές τίτλων του Δημοσίου, να συμμετέχουν στις δημοπρασίες στην πρωτογενή αγορά και στο Σύστημα Ηλεκτρονικής Δευτερογενούς Αγοράς Τίτλων (Η.Δ.Α.Τ.).</w:t>
      </w:r>
      <w:r>
        <w:rPr>
          <w:rStyle w:val="Hyperlink"/>
          <w:b/>
          <w:bCs/>
          <w:color w:val="000000"/>
          <w:sz w:val="20"/>
          <w:szCs w:val="20"/>
          <w:u w:val="none" w:color="0000EE"/>
          <w:vertAlign w:val="superscript"/>
          <w:lang w:val="el" w:eastAsia="el"/>
        </w:rPr>
        <w:footnoteReference w:id="56"/>
      </w:r>
    </w:p>
    <w:p>
      <w:pPr>
        <w:spacing w:before="240" w:after="240"/>
        <w:rPr>
          <w:lang w:val="el" w:eastAsia="el"/>
        </w:rPr>
      </w:pPr>
      <w:r>
        <w:rPr>
          <w:b/>
          <w:bCs/>
          <w:lang w:val="el" w:eastAsia="el"/>
        </w:rPr>
        <w:t xml:space="preserve">Η Η.Δ.Α.Τ. της οποίας διαχειριστής είναι η Τράπεζα της Ελλάδος, καλύπτει την εκτός Χρηματιστηρίου δευτερογενή αγορά τίτλων του Ελληνικού Δημοσίου, καθώς και τη διενέργεια των δημοπρασιών επί των τίτλων αυτών στην πρωτογενή αγορά, στα πλαίσια των σχετικών αποφάσεων του Υπουργού Οικονομικών. </w:t>
      </w:r>
      <w:r>
        <w:rPr>
          <w:rStyle w:val="Hyperlink"/>
          <w:b/>
          <w:bCs/>
          <w:color w:val="000000"/>
          <w:sz w:val="20"/>
          <w:szCs w:val="20"/>
          <w:u w:val="none" w:color="0000EE"/>
          <w:vertAlign w:val="superscript"/>
          <w:lang w:val="el" w:eastAsia="el"/>
        </w:rPr>
        <w:footnoteReference w:id="57"/>
      </w:r>
    </w:p>
    <w:p>
      <w:pPr>
        <w:pStyle w:val="MainText"/>
        <w:spacing w:before="120" w:after="0"/>
        <w:rPr>
          <w:lang w:val="el" w:eastAsia="el"/>
        </w:rPr>
      </w:pPr>
      <w:r>
        <w:rPr>
          <w:b/>
          <w:bCs/>
          <w:lang w:val="el" w:eastAsia="el"/>
        </w:rPr>
        <w:t>2.</w:t>
      </w:r>
      <w:r>
        <w:rPr>
          <w:b/>
          <w:bCs/>
          <w:lang w:val="el" w:eastAsia="el"/>
        </w:rPr>
        <w:t xml:space="preserve"> Η λειτουργία του θεσμού των Βασικών Διαπραγματευτών Αγοράς διέπεται από κανονισμό.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 xml:space="preserve">Με κοινή απόφαση του Υπουργού Οικονομικών και του Διοικητή της Τράπεζας της Ελλάδας: α) καταρτίζεται ο Κανονισμός Λειτουργίας των Βασικών Διαπραγματευτών Αγοράς, ο οποίος καθορίζει τα κριτήρια επιλογής αυτών, το χρόνο που διατηρούν την ιδιότητα αυτή, τις υποχρεώσεις και τα δικαιώματα τους, τις περιπτώσεις και τη διαδικασία επιβολής κυρώσεων κατ΄ αυτών, καθώς και κάθε άλλη λεπτομέρεια που απαιτείται για τη λειτουργία του θεσμού, β) συγκροτείται η Επιτροπή Εποπτείας και Ελέγχου των Βασικών Διαπραγματευτών Αγοράς της παραγράφου 3 του παρόντος και καθορίζονται οι επί μέρους αρμοδιότητες και τα καθήκοντα αυτής,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και δ) καθορίζεται κάθε άλλη σχετική λεπτομέρεια. </w:t>
      </w:r>
      <w:r>
        <w:rPr>
          <w:rStyle w:val="Hyperlink"/>
          <w:b/>
          <w:bCs/>
          <w:color w:val="000000"/>
          <w:sz w:val="20"/>
          <w:szCs w:val="20"/>
          <w:u w:val="none" w:color="0000EE"/>
          <w:vertAlign w:val="superscript"/>
          <w:lang w:val="el" w:eastAsia="el"/>
        </w:rPr>
        <w:footnoteReference w:id="59"/>
      </w:r>
    </w:p>
    <w:p>
      <w:pPr>
        <w:pStyle w:val="MainText"/>
        <w:spacing w:before="120" w:after="0"/>
        <w:rPr>
          <w:lang w:val="el" w:eastAsia="el"/>
        </w:rPr>
      </w:pPr>
      <w:r>
        <w:rPr>
          <w:b/>
          <w:bCs/>
          <w:lang w:val="el" w:eastAsia="el"/>
        </w:rPr>
        <w:t>3.</w:t>
      </w:r>
      <w:r>
        <w:rPr>
          <w:b/>
          <w:bCs/>
          <w:lang w:val="el" w:eastAsia="el"/>
        </w:rPr>
        <w:t xml:space="preserve"> Η εποπτεία και ο έλεγχος της λειτουργίας των Βασικών Διαπραγματευτών Αγοράς διενεργείται από δεκαμελή Επιτροπή Εποπτείας και Ελέγχου, η οποία απαρτίζεται από έναν (1) εκπρόσωπο του Υπουργείου Εθνικής Οικονομίας, δύο (2) εκπροσώπους του Υπουργείου Οικονομικών, (2) της Τράπεζας της Ελλάδας, τρεις (3) Βασικούς Διαπραγματευτές Αγοράς, έναν (1) μη Βασικό Διαπραγματευτή και έναν (1) εκπρόσωπο της Ένωσης Ελληνικών Τραπεζών. </w:t>
      </w:r>
      <w:r>
        <w:rPr>
          <w:rStyle w:val="Hyperlink"/>
          <w:b/>
          <w:bCs/>
          <w:color w:val="000000"/>
          <w:sz w:val="20"/>
          <w:szCs w:val="20"/>
          <w:u w:val="none" w:color="0000EE"/>
          <w:vertAlign w:val="superscript"/>
          <w:lang w:val="el" w:eastAsia="el"/>
        </w:rPr>
        <w:footnoteReference w:id="60"/>
      </w:r>
    </w:p>
    <w:p>
      <w:pPr>
        <w:spacing w:before="240" w:after="240"/>
        <w:rPr>
          <w:lang w:val="el" w:eastAsia="el"/>
        </w:rPr>
      </w:pPr>
      <w:r>
        <w:rPr>
          <w:b/>
          <w:bCs/>
          <w:lang w:val="el" w:eastAsia="el"/>
        </w:rPr>
        <w:t xml:space="preserve">Κατά την πρώτη εφαρμογή του θεσμού των Βασικών Διαπραγματευτών Αγοράς και μέχρι της επιλογής αυτών, η παραπάνω Επιτροπή Εποπτείας και Ελέγχου συγκροτείται νόμιμα χωρίς τη συμμετοχή των Βασικών και μη Διαπραγματευτών. </w:t>
      </w:r>
      <w:r>
        <w:rPr>
          <w:rStyle w:val="Hyperlink"/>
          <w:b/>
          <w:bCs/>
          <w:color w:val="000000"/>
          <w:sz w:val="20"/>
          <w:szCs w:val="20"/>
          <w:u w:val="none" w:color="0000EE"/>
          <w:vertAlign w:val="superscript"/>
          <w:lang w:val="el" w:eastAsia="el"/>
        </w:rPr>
        <w:footnoteReference w:id="61"/>
      </w:r>
    </w:p>
    <w:p>
      <w:pPr>
        <w:spacing w:before="240" w:after="240"/>
        <w:rPr>
          <w:lang w:val="el" w:eastAsia="el"/>
        </w:rPr>
      </w:pPr>
      <w:r>
        <w:rPr>
          <w:b/>
          <w:bCs/>
          <w:lang w:val="el" w:eastAsia="el"/>
        </w:rPr>
        <w:t xml:space="preserve">Η γραμματειακή και τεχνική υποστήριξη της Επιτροπής παρέχεται από το Υπουργείο Οικονομικών και από την Τράπεζα της Ελλάδος. </w:t>
      </w:r>
      <w:r>
        <w:rPr>
          <w:rStyle w:val="Hyperlink"/>
          <w:b/>
          <w:bCs/>
          <w:color w:val="000000"/>
          <w:sz w:val="20"/>
          <w:szCs w:val="20"/>
          <w:u w:val="none" w:color="0000EE"/>
          <w:vertAlign w:val="superscript"/>
          <w:lang w:val="el" w:eastAsia="el"/>
        </w:rPr>
        <w:footnoteReference w:id="62"/>
      </w:r>
    </w:p>
    <w:p>
      <w:pPr>
        <w:spacing w:before="240" w:after="240"/>
        <w:rPr>
          <w:lang w:val="el" w:eastAsia="el"/>
        </w:rPr>
      </w:pPr>
      <w:r>
        <w:rPr>
          <w:b/>
          <w:bCs/>
          <w:lang w:val="el" w:eastAsia="el"/>
        </w:rPr>
        <w:t xml:space="preserve">Η Επιτροπή αυτή εισηγείται για τα θέματα της αρμοδιότητάς της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4.</w:t>
      </w:r>
      <w:r>
        <w:rPr>
          <w:b/>
          <w:bCs/>
          <w:lang w:val="el" w:eastAsia="el"/>
        </w:rPr>
        <w:t xml:space="preserve"> Ο Κανονισμός λειτουργίας της Η.Δ.Α.Τ., η συγκρότηση της Επιτροπής που την εποπτεύει, η επιβολή ποινών στους συμμετέχοντες φορείς, καθώς και κάθε άλλη σχετική λεπτομέρεια, καθορίζονται με πράξη του Διοικητή της Τράπεζας της Ελλάδος. Όταν τα ανωτέρω αφορούν τη διενέργεια δημοπρασιών τίτλων του Ελληνικού Δημοσίου, θα καθορίζονται με κοινή απόφαση του Υπουργού Οικονομικών και του Διοικητή της Τράπεζας της Ελλάδος. </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5.</w:t>
      </w:r>
      <w:r>
        <w:rPr>
          <w:b/>
          <w:bCs/>
          <w:lang w:val="el" w:eastAsia="el"/>
        </w:rPr>
        <w:t xml:space="preserve"> Η εποπτεία και ο έλεγχος της Η.Δ.Α.Τ. διενεργείται από επταμελής επιτροπή, η οποία απαρτίζεται από δύο, εκπροσώπους της Τράπεζας της Ελλάδος, τρεις (3) των Βασικών Διαπραγματευτών και δύο (2) των μη Βασικών Διαπραγματευτών Αγοράς. Τα μέλη της Επιτροπής αυξάνονται σε οκτώ (8) με τη συμμετοχή ενός (1) εκπροσώπου του Υπουργείου Οικονομικών στις περιπτώσεις που η εποπτεία και ο έλεγχος αφορά τη διενέργεια δημοπρασιών. </w:t>
      </w:r>
      <w:r>
        <w:rPr>
          <w:rStyle w:val="Hyperlink"/>
          <w:b/>
          <w:bCs/>
          <w:color w:val="000000"/>
          <w:sz w:val="20"/>
          <w:szCs w:val="20"/>
          <w:u w:val="none" w:color="0000EE"/>
          <w:vertAlign w:val="superscript"/>
          <w:lang w:val="el" w:eastAsia="el"/>
        </w:rPr>
        <w:footnoteReference w:id="65"/>
      </w:r>
    </w:p>
    <w:p>
      <w:pPr>
        <w:spacing w:before="240" w:after="240"/>
        <w:rPr>
          <w:lang w:val="el" w:eastAsia="el"/>
        </w:rPr>
      </w:pPr>
      <w:r>
        <w:rPr>
          <w:b/>
          <w:bCs/>
          <w:lang w:val="el" w:eastAsia="el"/>
        </w:rPr>
        <w:t xml:space="preserve">Η Επιτροπή προεδρεύεται από τον έναν εκπρόσωπο της Τράπεζας της Ελλάδος. </w:t>
      </w:r>
      <w:r>
        <w:rPr>
          <w:rStyle w:val="Hyperlink"/>
          <w:b/>
          <w:bCs/>
          <w:color w:val="000000"/>
          <w:sz w:val="20"/>
          <w:szCs w:val="20"/>
          <w:u w:val="none" w:color="0000EE"/>
          <w:vertAlign w:val="superscript"/>
          <w:lang w:val="el" w:eastAsia="el"/>
        </w:rPr>
        <w:footnoteReference w:id="66"/>
      </w:r>
    </w:p>
    <w:p>
      <w:pPr>
        <w:spacing w:before="240" w:after="240"/>
        <w:rPr>
          <w:lang w:val="el" w:eastAsia="el"/>
        </w:rPr>
      </w:pPr>
      <w:r>
        <w:rPr>
          <w:b/>
          <w:bCs/>
          <w:lang w:val="el" w:eastAsia="el"/>
        </w:rPr>
        <w:t xml:space="preserve">Η Επιτροπή εισηγείται για τα θέματα της αρμοδιότητάς της στον Διοικητή της Τράπεζας της Ελλάδος και όσον αφορά θέματα που αφορούν τη διενέργεια δημοπρασιών τίτλων του Ελληνικού Δημοσίου, στον Υπουργό Οικονομικών και στο Διοικητή της Τράπεζας της Ελλάδος. </w:t>
      </w:r>
      <w:r>
        <w:rPr>
          <w:rStyle w:val="Hyperlink"/>
          <w:b/>
          <w:bCs/>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 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Άρθρο 29</w:t>
      </w:r>
      <w:r>
        <w:rPr>
          <w:b/>
          <w:bCs/>
          <w:lang w:val="el" w:eastAsia="el"/>
        </w:rPr>
        <w:t xml:space="preserve">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ΕΥΑΓ. ΓΙΑΝΝΟΠΟΥΛΟΣ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62" w:history="1">
        <w:r>
          <w:rPr>
            <w:rStyle w:val="Hyperlink"/>
            <w:color w:val="0000EE"/>
            <w:u w:color="0000EE"/>
            <w:lang w:val="el" w:eastAsia="el"/>
          </w:rPr>
          <w:t>Τροποποίηση 4146/2013, Άρθρο 62</w:t>
        </w:r>
      </w:hyperlink>
      <w:r>
        <w:rPr>
          <w:lang w:val="el" w:eastAsia="el"/>
        </w:rPr>
        <w:t xml:space="preserve">; </w:t>
      </w:r>
      <w:hyperlink r:id="rId2" w:anchor="art_10" w:history="1">
        <w:r>
          <w:rPr>
            <w:rStyle w:val="Hyperlink"/>
            <w:color w:val="0000EE"/>
            <w:u w:color="0000EE"/>
            <w:lang w:val="el" w:eastAsia="el"/>
          </w:rPr>
          <w:t>Τροποποίηση 3912/2011, Άρθρο 10</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4152/2013, Άρθρο 1</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4152/2013,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1" w:history="1">
        <w:r>
          <w:rPr>
            <w:rStyle w:val="Hyperlink"/>
            <w:color w:val="0000EE"/>
            <w:u w:color="0000EE"/>
            <w:lang w:val="el" w:eastAsia="el"/>
          </w:rPr>
          <w:t>Τροποποίηση 4152/2013, Άρθρο 1</w:t>
        </w:r>
      </w:hyperlink>
      <w:r>
        <w:rPr>
          <w:lang w:val="el" w:eastAsia="el"/>
        </w:rPr>
        <w:t xml:space="preserve">; </w:t>
      </w:r>
      <w:hyperlink r:id="rId6" w:anchor="art_62" w:history="1">
        <w:r>
          <w:rPr>
            <w:rStyle w:val="Hyperlink"/>
            <w:color w:val="0000EE"/>
            <w:u w:color="0000EE"/>
            <w:lang w:val="el" w:eastAsia="el"/>
          </w:rPr>
          <w:t>Τροποποίηση 4146/2013, Άρθρο 62</w:t>
        </w:r>
      </w:hyperlink>
      <w:r>
        <w:rPr>
          <w:lang w:val="el" w:eastAsia="el"/>
        </w:rPr>
        <w:t xml:space="preserve">; </w:t>
      </w:r>
      <w:hyperlink r:id="rId7" w:anchor="art_10" w:history="1">
        <w:r>
          <w:rPr>
            <w:rStyle w:val="Hyperlink"/>
            <w:color w:val="0000EE"/>
            <w:u w:color="0000EE"/>
            <w:lang w:val="el" w:eastAsia="el"/>
          </w:rPr>
          <w:t>Τροποποίηση 3912/2011, Άρθρο 10</w:t>
        </w:r>
      </w:hyperlink>
      <w:r>
        <w:rPr>
          <w:lang w:val="el" w:eastAsia="el"/>
        </w:rPr>
        <w:t xml:space="preserve">; </w:t>
      </w:r>
      <w:hyperlink r:id="rId8" w:anchor="art_17" w:history="1">
        <w:r>
          <w:rPr>
            <w:rStyle w:val="Hyperlink"/>
            <w:color w:val="0000EE"/>
            <w:u w:color="0000EE"/>
            <w:lang w:val="el" w:eastAsia="el"/>
          </w:rPr>
          <w:t>Τροποποίηση 3470/2006, Άρθρο 17</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1" w:history="1">
        <w:r>
          <w:rPr>
            <w:rStyle w:val="Hyperlink"/>
            <w:color w:val="0000EE"/>
            <w:u w:color="0000EE"/>
            <w:lang w:val="el" w:eastAsia="el"/>
          </w:rPr>
          <w:t>Τροποποίηση 4152/2013, Άρθρο 1</w:t>
        </w:r>
      </w:hyperlink>
      <w:r>
        <w:rPr>
          <w:lang w:val="el" w:eastAsia="el"/>
        </w:rPr>
        <w:t xml:space="preserve">; </w:t>
      </w:r>
      <w:hyperlink r:id="rId10" w:anchor="art_62" w:history="1">
        <w:r>
          <w:rPr>
            <w:rStyle w:val="Hyperlink"/>
            <w:color w:val="0000EE"/>
            <w:u w:color="0000EE"/>
            <w:lang w:val="el" w:eastAsia="el"/>
          </w:rPr>
          <w:t>Τροποποίηση 4146/2013, Άρθρο 62</w:t>
        </w:r>
      </w:hyperlink>
      <w:r>
        <w:rPr>
          <w:lang w:val="el" w:eastAsia="el"/>
        </w:rPr>
        <w:t xml:space="preserve">; </w:t>
      </w:r>
      <w:hyperlink r:id="rId11" w:anchor="art_17" w:history="1">
        <w:r>
          <w:rPr>
            <w:rStyle w:val="Hyperlink"/>
            <w:color w:val="0000EE"/>
            <w:u w:color="0000EE"/>
            <w:lang w:val="el" w:eastAsia="el"/>
          </w:rPr>
          <w:t>Τροποποίηση 3470/2006, Άρθρο 17</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1" w:history="1">
        <w:r>
          <w:rPr>
            <w:rStyle w:val="Hyperlink"/>
            <w:color w:val="0000EE"/>
            <w:u w:color="0000EE"/>
            <w:lang w:val="el" w:eastAsia="el"/>
          </w:rPr>
          <w:t>Τροποποίηση 4152/2013, Άρθρο 1</w:t>
        </w:r>
      </w:hyperlink>
      <w:r>
        <w:rPr>
          <w:lang w:val="el" w:eastAsia="el"/>
        </w:rPr>
        <w:t xml:space="preserve">; </w:t>
      </w:r>
      <w:hyperlink r:id="rId13" w:anchor="art_17" w:history="1">
        <w:r>
          <w:rPr>
            <w:rStyle w:val="Hyperlink"/>
            <w:color w:val="0000EE"/>
            <w:u w:color="0000EE"/>
            <w:lang w:val="el" w:eastAsia="el"/>
          </w:rPr>
          <w:t>Τροποποίηση 3470/2006, Άρθρο 17</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1" w:history="1">
        <w:r>
          <w:rPr>
            <w:rStyle w:val="Hyperlink"/>
            <w:color w:val="0000EE"/>
            <w:u w:color="0000EE"/>
            <w:lang w:val="el" w:eastAsia="el"/>
          </w:rPr>
          <w:t>Τροποποίηση 4152/2013, Άρθρο 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 w:history="1">
        <w:r>
          <w:rPr>
            <w:rStyle w:val="Hyperlink"/>
            <w:color w:val="0000EE"/>
            <w:u w:color="0000EE"/>
            <w:lang w:val="el" w:eastAsia="el"/>
          </w:rPr>
          <w:t>Τροποποίηση 4152/2013, Άρθρο 1</w:t>
        </w:r>
      </w:hyperlink>
      <w:r>
        <w:rPr>
          <w:lang w:val="el" w:eastAsia="el"/>
        </w:rPr>
        <w:t xml:space="preserve">; </w:t>
      </w:r>
      <w:hyperlink r:id="rId16" w:anchor="art_17" w:history="1">
        <w:r>
          <w:rPr>
            <w:rStyle w:val="Hyperlink"/>
            <w:color w:val="0000EE"/>
            <w:u w:color="0000EE"/>
            <w:lang w:val="el" w:eastAsia="el"/>
          </w:rPr>
          <w:t>Προσθήκη 3470/2006, Άρθρο 17</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1" w:history="1">
        <w:r>
          <w:rPr>
            <w:rStyle w:val="Hyperlink"/>
            <w:color w:val="0000EE"/>
            <w:u w:color="0000EE"/>
            <w:lang w:val="el" w:eastAsia="el"/>
          </w:rPr>
          <w:t>Τροποποίηση 4152/2013, Άρθρο 1</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4152/2013, Άρθρο 1</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Τροποποίηση 4152/2013, Άρθρο 1</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1" w:history="1">
        <w:r>
          <w:rPr>
            <w:rStyle w:val="Hyperlink"/>
            <w:color w:val="0000EE"/>
            <w:u w:color="0000EE"/>
            <w:lang w:val="el" w:eastAsia="el"/>
          </w:rPr>
          <w:t>Τροποποίηση 4152/2013, Άρθρο 1</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1" w:history="1">
        <w:r>
          <w:rPr>
            <w:rStyle w:val="Hyperlink"/>
            <w:color w:val="0000EE"/>
            <w:u w:color="0000EE"/>
            <w:lang w:val="el" w:eastAsia="el"/>
          </w:rPr>
          <w:t>Τροποποίηση 4152/2013,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2" w:anchor="art_1" w:history="1">
        <w:r>
          <w:rPr>
            <w:rStyle w:val="Hyperlink"/>
            <w:color w:val="0000EE"/>
            <w:u w:color="0000EE"/>
            <w:lang w:val="el" w:eastAsia="el"/>
          </w:rPr>
          <w:t>Τροποποίηση 4152/2013, Άρθρο 1</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1" w:history="1">
        <w:r>
          <w:rPr>
            <w:rStyle w:val="Hyperlink"/>
            <w:color w:val="0000EE"/>
            <w:u w:color="0000EE"/>
            <w:lang w:val="el" w:eastAsia="el"/>
          </w:rPr>
          <w:t>Τροποποίηση 4152/2013, Άρθρο 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7" w:history="1">
        <w:r>
          <w:rPr>
            <w:rStyle w:val="Hyperlink"/>
            <w:color w:val="0000EE"/>
            <w:u w:color="0000EE"/>
            <w:lang w:val="el" w:eastAsia="el"/>
          </w:rPr>
          <w:t>Τροποποίηση 3470/2006, Άρθρο 17</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46" w:history="1">
        <w:r>
          <w:rPr>
            <w:rStyle w:val="Hyperlink"/>
            <w:color w:val="0000EE"/>
            <w:u w:color="0000EE"/>
            <w:lang w:val="el" w:eastAsia="el"/>
          </w:rPr>
          <w:t>Προσθήκη 4177/2013, Άρθρο 46</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22" w:history="1">
        <w:r>
          <w:rPr>
            <w:rStyle w:val="Hyperlink"/>
            <w:b/>
            <w:bCs/>
            <w:color w:val="0000EE"/>
            <w:u w:color="0000EE"/>
            <w:lang w:val="el" w:eastAsia="el"/>
          </w:rPr>
          <w:t>Τροποποίηση 2753/1999, Άρθρο 22</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23" w:history="1">
        <w:r>
          <w:rPr>
            <w:rStyle w:val="Hyperlink"/>
            <w:b/>
            <w:bCs/>
            <w:color w:val="0000EE"/>
            <w:u w:color="0000EE"/>
            <w:lang w:val="el" w:eastAsia="el"/>
          </w:rPr>
          <w:t>Προσθήκη 2873/2000, Άρθρο 23</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 10" w:history="1">
        <w:r>
          <w:rPr>
            <w:rStyle w:val="Hyperlink"/>
            <w:b/>
            <w:bCs/>
            <w:color w:val="0000EE"/>
            <w:u w:color="0000EE"/>
            <w:lang w:val="el" w:eastAsia="el"/>
          </w:rPr>
          <w:t>Τροποποίηση 3037/2002, Άρθρο 10</w:t>
        </w:r>
      </w:hyperlink>
      <w:r>
        <w:rPr>
          <w:b/>
          <w:bCs/>
          <w:lang w:val="el" w:eastAsia="el"/>
        </w:rPr>
        <w:t xml:space="preserve">; </w:t>
      </w:r>
      <w:hyperlink r:id="rId29" w:anchor="art_30" w:history="1">
        <w:r>
          <w:rPr>
            <w:rStyle w:val="Hyperlink"/>
            <w:b/>
            <w:bCs/>
            <w:color w:val="0000EE"/>
            <w:u w:color="0000EE"/>
            <w:lang w:val="el" w:eastAsia="el"/>
          </w:rPr>
          <w:t>Προσθήκη 2873/2000, Άρθρο 30</w:t>
        </w:r>
      </w:hyperlink>
      <w:r>
        <w:rPr>
          <w:b/>
          <w:bCs/>
          <w:lang w:val="el" w:eastAsia="el"/>
        </w:rPr>
        <w:t xml:space="preserve">; </w:t>
      </w:r>
      <w:hyperlink r:id="rId30" w:anchor="art_15" w:history="1">
        <w:r>
          <w:rPr>
            <w:rStyle w:val="Hyperlink"/>
            <w:b/>
            <w:bCs/>
            <w:color w:val="0000EE"/>
            <w:u w:color="0000EE"/>
            <w:lang w:val="el" w:eastAsia="el"/>
          </w:rPr>
          <w:t>Τροποποίηση 2753/1999, Άρθρο 15</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 10" w:history="1">
        <w:r>
          <w:rPr>
            <w:rStyle w:val="Hyperlink"/>
            <w:b/>
            <w:bCs/>
            <w:color w:val="0000EE"/>
            <w:u w:color="0000EE"/>
            <w:lang w:val="el" w:eastAsia="el"/>
          </w:rPr>
          <w:t>Τροποποίηση 3037/2002, Άρθρο 10</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 10" w:history="1">
        <w:r>
          <w:rPr>
            <w:rStyle w:val="Hyperlink"/>
            <w:b/>
            <w:bCs/>
            <w:color w:val="0000EE"/>
            <w:u w:color="0000EE"/>
            <w:lang w:val="el" w:eastAsia="el"/>
          </w:rPr>
          <w:t>Τροποποίηση 3037/2002, Άρθρο 10</w:t>
        </w:r>
      </w:hyperlink>
      <w:r>
        <w:rPr>
          <w:b/>
          <w:bCs/>
          <w:lang w:val="el" w:eastAsia="el"/>
        </w:rPr>
        <w:t>; Τροποποίηση 2731/1999, Άρθρο 23</w:t>
      </w:r>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 10" w:history="1">
        <w:r>
          <w:rPr>
            <w:rStyle w:val="Hyperlink"/>
            <w:b/>
            <w:bCs/>
            <w:color w:val="0000EE"/>
            <w:u w:color="0000EE"/>
            <w:lang w:val="el" w:eastAsia="el"/>
          </w:rPr>
          <w:t>Τροποποίηση 3037/2002, Άρθρο 10</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 10" w:history="1">
        <w:r>
          <w:rPr>
            <w:rStyle w:val="Hyperlink"/>
            <w:b/>
            <w:bCs/>
            <w:color w:val="0000EE"/>
            <w:u w:color="0000EE"/>
            <w:lang w:val="el" w:eastAsia="el"/>
          </w:rPr>
          <w:t>Τροποποίηση 3037/2002, Άρθρο 10</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 10" w:history="1">
        <w:r>
          <w:rPr>
            <w:rStyle w:val="Hyperlink"/>
            <w:b/>
            <w:bCs/>
            <w:color w:val="0000EE"/>
            <w:u w:color="0000EE"/>
            <w:lang w:val="el" w:eastAsia="el"/>
          </w:rPr>
          <w:t>Τροποποίηση 3037/2002, Άρθρο 10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 10" w:history="1">
        <w:r>
          <w:rPr>
            <w:rStyle w:val="Hyperlink"/>
            <w:b/>
            <w:bCs/>
            <w:color w:val="0000EE"/>
            <w:u w:color="0000EE"/>
            <w:lang w:val="el" w:eastAsia="el"/>
          </w:rPr>
          <w:t>Τροποποίηση 3037/2002, Άρθρο 10</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 10" w:history="1">
        <w:r>
          <w:rPr>
            <w:rStyle w:val="Hyperlink"/>
            <w:b/>
            <w:bCs/>
            <w:color w:val="0000EE"/>
            <w:u w:color="0000EE"/>
            <w:lang w:val="el" w:eastAsia="el"/>
          </w:rPr>
          <w:t>Τροποποίηση 3037/2002, Άρθρο 10</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 10" w:history="1">
        <w:r>
          <w:rPr>
            <w:rStyle w:val="Hyperlink"/>
            <w:b/>
            <w:bCs/>
            <w:color w:val="0000EE"/>
            <w:u w:color="0000EE"/>
            <w:lang w:val="el" w:eastAsia="el"/>
          </w:rPr>
          <w:t>Τροποποίηση 3037/2002, Άρθρο 10</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 10" w:history="1">
        <w:r>
          <w:rPr>
            <w:rStyle w:val="Hyperlink"/>
            <w:b/>
            <w:bCs/>
            <w:color w:val="0000EE"/>
            <w:u w:color="0000EE"/>
            <w:lang w:val="el" w:eastAsia="el"/>
          </w:rPr>
          <w:t>Τροποποίηση 3037/2002, Άρθρο 10</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 10" w:history="1">
        <w:r>
          <w:rPr>
            <w:rStyle w:val="Hyperlink"/>
            <w:b/>
            <w:bCs/>
            <w:color w:val="0000EE"/>
            <w:u w:color="0000EE"/>
            <w:lang w:val="el" w:eastAsia="el"/>
          </w:rPr>
          <w:t>Τροποποίηση 3037/2002, Άρθρο 10</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 10" w:history="1">
        <w:r>
          <w:rPr>
            <w:rStyle w:val="Hyperlink"/>
            <w:b/>
            <w:bCs/>
            <w:color w:val="0000EE"/>
            <w:u w:color="0000EE"/>
            <w:lang w:val="el" w:eastAsia="el"/>
          </w:rPr>
          <w:t>Τροποποίηση 3037/2002, Άρθρο 10</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 10" w:history="1">
        <w:r>
          <w:rPr>
            <w:rStyle w:val="Hyperlink"/>
            <w:b/>
            <w:bCs/>
            <w:color w:val="0000EE"/>
            <w:u w:color="0000EE"/>
            <w:lang w:val="el" w:eastAsia="el"/>
          </w:rPr>
          <w:t>Τροποποίηση 3037/2002, Άρθρο 10</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 10" w:history="1">
        <w:r>
          <w:rPr>
            <w:rStyle w:val="Hyperlink"/>
            <w:b/>
            <w:bCs/>
            <w:color w:val="0000EE"/>
            <w:u w:color="0000EE"/>
            <w:lang w:val="el" w:eastAsia="el"/>
          </w:rPr>
          <w:t>Αφαίρεση 3037/2002, Άρθρο 10</w:t>
        </w:r>
      </w:hyperlink>
      <w:r>
        <w:rPr>
          <w:b/>
          <w:bCs/>
          <w:lang w:val="el" w:eastAsia="el"/>
        </w:rPr>
        <w:t xml:space="preserve">; </w:t>
      </w:r>
      <w:hyperlink r:id="rId51" w:anchor="art_ 10" w:history="1">
        <w:r>
          <w:rPr>
            <w:rStyle w:val="Hyperlink"/>
            <w:b/>
            <w:bCs/>
            <w:color w:val="0000EE"/>
            <w:u w:color="0000EE"/>
            <w:lang w:val="el" w:eastAsia="el"/>
          </w:rPr>
          <w:t>Αφαίρεση 3037/2002, Άρθρο 10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 w:anchor="art_ 10" w:history="1">
        <w:r>
          <w:rPr>
            <w:rStyle w:val="Hyperlink"/>
            <w:b/>
            <w:bCs/>
            <w:color w:val="0000EE"/>
            <w:u w:color="0000EE"/>
            <w:lang w:val="el" w:eastAsia="el"/>
          </w:rPr>
          <w:t>Αφαίρεση 3037/2002, Άρθρο 10</w:t>
        </w:r>
      </w:hyperlink>
      <w:r>
        <w:rPr>
          <w:b/>
          <w:bCs/>
          <w:lang w:val="el" w:eastAsia="el"/>
        </w:rPr>
        <w:t xml:space="preserve">; </w:t>
      </w:r>
      <w:hyperlink r:id="rId53" w:anchor="art_ 10" w:history="1">
        <w:r>
          <w:rPr>
            <w:rStyle w:val="Hyperlink"/>
            <w:b/>
            <w:bCs/>
            <w:color w:val="0000EE"/>
            <w:u w:color="0000EE"/>
            <w:lang w:val="el" w:eastAsia="el"/>
          </w:rPr>
          <w:t>Αφαίρεση 3037/2002, Άρθρο 10</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 10" w:history="1">
        <w:r>
          <w:rPr>
            <w:rStyle w:val="Hyperlink"/>
            <w:b/>
            <w:bCs/>
            <w:color w:val="0000EE"/>
            <w:u w:color="0000EE"/>
            <w:lang w:val="el" w:eastAsia="el"/>
          </w:rPr>
          <w:t>Αφαίρεση 3037/2002, Άρθρο 10</w:t>
        </w:r>
      </w:hyperlink>
      <w:r>
        <w:rPr>
          <w:b/>
          <w:bCs/>
          <w:lang w:val="el" w:eastAsia="el"/>
        </w:rPr>
        <w:t xml:space="preserve">; </w:t>
      </w:r>
      <w:hyperlink r:id="rId55" w:anchor="art_ 10" w:history="1">
        <w:r>
          <w:rPr>
            <w:rStyle w:val="Hyperlink"/>
            <w:b/>
            <w:bCs/>
            <w:color w:val="0000EE"/>
            <w:u w:color="0000EE"/>
            <w:lang w:val="el" w:eastAsia="el"/>
          </w:rPr>
          <w:t>Αφαίρεση 3037/2002, Άρθρο 10</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 10" w:history="1">
        <w:r>
          <w:rPr>
            <w:rStyle w:val="Hyperlink"/>
            <w:b/>
            <w:bCs/>
            <w:color w:val="0000EE"/>
            <w:u w:color="0000EE"/>
            <w:lang w:val="el" w:eastAsia="el"/>
          </w:rPr>
          <w:t>Αφαίρεση 3037/2002, Άρθρο 10</w:t>
        </w:r>
      </w:hyperlink>
      <w:r>
        <w:rPr>
          <w:b/>
          <w:bCs/>
          <w:lang w:val="el" w:eastAsia="el"/>
        </w:rPr>
        <w:t xml:space="preserve">; </w:t>
      </w:r>
      <w:hyperlink r:id="rId57" w:anchor="art_ 10" w:history="1">
        <w:r>
          <w:rPr>
            <w:rStyle w:val="Hyperlink"/>
            <w:b/>
            <w:bCs/>
            <w:color w:val="0000EE"/>
            <w:u w:color="0000EE"/>
            <w:lang w:val="el" w:eastAsia="el"/>
          </w:rPr>
          <w:t>Αφαίρεση 3037/2002, Άρθρο 10</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 10" w:history="1">
        <w:r>
          <w:rPr>
            <w:rStyle w:val="Hyperlink"/>
            <w:b/>
            <w:bCs/>
            <w:color w:val="0000EE"/>
            <w:u w:color="0000EE"/>
            <w:lang w:val="el" w:eastAsia="el"/>
          </w:rPr>
          <w:t>Αφαίρεση 3037/2002, Άρθρο 10</w:t>
        </w:r>
      </w:hyperlink>
      <w:r>
        <w:rPr>
          <w:b/>
          <w:bCs/>
          <w:lang w:val="el" w:eastAsia="el"/>
        </w:rPr>
        <w:t xml:space="preserve">; </w:t>
      </w:r>
      <w:hyperlink r:id="rId59" w:anchor="art_ 10" w:history="1">
        <w:r>
          <w:rPr>
            <w:rStyle w:val="Hyperlink"/>
            <w:b/>
            <w:bCs/>
            <w:color w:val="0000EE"/>
            <w:u w:color="0000EE"/>
            <w:lang w:val="el" w:eastAsia="el"/>
          </w:rPr>
          <w:t>Αφαίρεση 3037/2002, Άρθρο 10</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2744/1999 art_12</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9" w:history="1">
        <w:r>
          <w:rPr>
            <w:rStyle w:val="Hyperlink"/>
            <w:b/>
            <w:bCs/>
            <w:color w:val="0000EE"/>
            <w:u w:color="0000EE"/>
            <w:lang w:val="el" w:eastAsia="el"/>
          </w:rPr>
          <w:t>Προσθήκη 2992/2002, Άρθρο 9</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2733/1999 art_31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04/18/4146" TargetMode="External" /><Relationship Id="rId10" Type="http://schemas.openxmlformats.org/officeDocument/2006/relationships/hyperlink" Target="http://data.aade.gr/eli/pri/law/2013/04/18/4146" TargetMode="External" /><Relationship Id="rId11" Type="http://schemas.openxmlformats.org/officeDocument/2006/relationships/hyperlink" Target="http://data.aade.gr/eli/pri/law/2006/06/28/3470" TargetMode="External" /><Relationship Id="rId12" Type="http://schemas.openxmlformats.org/officeDocument/2006/relationships/hyperlink" Target="http://data.aade.gr/eli/pri/law/2013/05/09/4152" TargetMode="External" /><Relationship Id="rId13" Type="http://schemas.openxmlformats.org/officeDocument/2006/relationships/hyperlink" Target="http://data.aade.gr/eli/pri/law/2006/06/28/3470" TargetMode="External" /><Relationship Id="rId14" Type="http://schemas.openxmlformats.org/officeDocument/2006/relationships/hyperlink" Target="http://data.aade.gr/eli/pri/law/2013/05/09/4152" TargetMode="External" /><Relationship Id="rId15" Type="http://schemas.openxmlformats.org/officeDocument/2006/relationships/hyperlink" Target="http://data.aade.gr/eli/pri/law/2013/05/09/4152" TargetMode="External" /><Relationship Id="rId16" Type="http://schemas.openxmlformats.org/officeDocument/2006/relationships/hyperlink" Target="http://data.aade.gr/eli/pri/law/2006/06/28/3470" TargetMode="External" /><Relationship Id="rId17" Type="http://schemas.openxmlformats.org/officeDocument/2006/relationships/hyperlink" Target="http://data.aade.gr/eli/pri/law/2013/05/09/4152" TargetMode="External" /><Relationship Id="rId18" Type="http://schemas.openxmlformats.org/officeDocument/2006/relationships/hyperlink" Target="http://data.aade.gr/eli/pri/law/2013/05/09/4152" TargetMode="External" /><Relationship Id="rId19" Type="http://schemas.openxmlformats.org/officeDocument/2006/relationships/hyperlink" Target="http://data.aade.gr/eli/pri/law/2013/05/09/4152" TargetMode="External" /><Relationship Id="rId2" Type="http://schemas.openxmlformats.org/officeDocument/2006/relationships/hyperlink" Target="http://data.aade.gr/eli/pri/law/2011/02/17/3912" TargetMode="External" /><Relationship Id="rId20" Type="http://schemas.openxmlformats.org/officeDocument/2006/relationships/hyperlink" Target="http://data.aade.gr/eli/pri/law/2013/05/09/4152" TargetMode="External" /><Relationship Id="rId21" Type="http://schemas.openxmlformats.org/officeDocument/2006/relationships/hyperlink" Target="http://data.aade.gr/eli/pri/law/2013/05/09/4152" TargetMode="External" /><Relationship Id="rId22" Type="http://schemas.openxmlformats.org/officeDocument/2006/relationships/hyperlink" Target="http://data.aade.gr/eli/pri/law/2013/05/09/4152" TargetMode="External" /><Relationship Id="rId23" Type="http://schemas.openxmlformats.org/officeDocument/2006/relationships/hyperlink" Target="http://data.aade.gr/eli/pri/law/2013/05/09/4152" TargetMode="External" /><Relationship Id="rId24" Type="http://schemas.openxmlformats.org/officeDocument/2006/relationships/hyperlink" Target="http://data.aade.gr/eli/pri/law/2006/06/28/3470" TargetMode="External" /><Relationship Id="rId25" Type="http://schemas.openxmlformats.org/officeDocument/2006/relationships/hyperlink" Target="http://data.aade.gr/eli/pri/law/2013/08/08/4177" TargetMode="External" /><Relationship Id="rId26" Type="http://schemas.openxmlformats.org/officeDocument/2006/relationships/hyperlink" Target="http://data.aade.gr/eli/pri/law/1999/11/17/2753" TargetMode="External" /><Relationship Id="rId27" Type="http://schemas.openxmlformats.org/officeDocument/2006/relationships/hyperlink" Target="http://data.aade.gr/eli/pri/law/2000/12/28/2873" TargetMode="External" /><Relationship Id="rId28" Type="http://schemas.openxmlformats.org/officeDocument/2006/relationships/hyperlink" Target="http://data.aade.gr/eli/pri/law/2002/07/30/3037" TargetMode="External" /><Relationship Id="rId29" Type="http://schemas.openxmlformats.org/officeDocument/2006/relationships/hyperlink" Target="http://data.aade.gr/eli/pri/law/2000/12/28/2873" TargetMode="External" /><Relationship Id="rId3" Type="http://schemas.openxmlformats.org/officeDocument/2006/relationships/hyperlink" Target="http://data.aade.gr/eli/pri/law/2013/05/09/4152" TargetMode="External" /><Relationship Id="rId30" Type="http://schemas.openxmlformats.org/officeDocument/2006/relationships/hyperlink" Target="http://data.aade.gr/eli/pri/law/1999/11/17/2753" TargetMode="External" /><Relationship Id="rId31" Type="http://schemas.openxmlformats.org/officeDocument/2006/relationships/hyperlink" Target="http://data.aade.gr/eli/pri/law/2002/07/30/3037" TargetMode="External" /><Relationship Id="rId32" Type="http://schemas.openxmlformats.org/officeDocument/2006/relationships/hyperlink" Target="http://data.aade.gr/eli/pri/law/2002/07/30/3037" TargetMode="External" /><Relationship Id="rId33" Type="http://schemas.openxmlformats.org/officeDocument/2006/relationships/hyperlink" Target="http://data.aade.gr/eli/pri/law/2002/07/30/3037" TargetMode="External" /><Relationship Id="rId34" Type="http://schemas.openxmlformats.org/officeDocument/2006/relationships/hyperlink" Target="http://data.aade.gr/eli/pri/law/2002/07/30/3037" TargetMode="External" /><Relationship Id="rId35" Type="http://schemas.openxmlformats.org/officeDocument/2006/relationships/hyperlink" Target="http://data.aade.gr/eli/pri/law/2002/07/30/3037" TargetMode="External" /><Relationship Id="rId36" Type="http://schemas.openxmlformats.org/officeDocument/2006/relationships/hyperlink" Target="http://data.aade.gr/eli/pri/law/2002/07/30/3037" TargetMode="External" /><Relationship Id="rId37" Type="http://schemas.openxmlformats.org/officeDocument/2006/relationships/hyperlink" Target="http://data.aade.gr/eli/pri/law/2002/07/30/3037" TargetMode="External" /><Relationship Id="rId38" Type="http://schemas.openxmlformats.org/officeDocument/2006/relationships/hyperlink" Target="http://data.aade.gr/eli/pri/law/2002/07/30/3037" TargetMode="External" /><Relationship Id="rId39" Type="http://schemas.openxmlformats.org/officeDocument/2006/relationships/hyperlink" Target="http://data.aade.gr/eli/pri/law/2002/07/30/3037" TargetMode="External" /><Relationship Id="rId4" Type="http://schemas.openxmlformats.org/officeDocument/2006/relationships/hyperlink" Target="http://data.aade.gr/eli/pri/law/2013/05/09/4152" TargetMode="External" /><Relationship Id="rId40" Type="http://schemas.openxmlformats.org/officeDocument/2006/relationships/hyperlink" Target="http://data.aade.gr/eli/pri/law/2002/07/30/3037" TargetMode="External" /><Relationship Id="rId41" Type="http://schemas.openxmlformats.org/officeDocument/2006/relationships/hyperlink" Target="http://data.aade.gr/eli/pri/law/2002/07/30/3037" TargetMode="External" /><Relationship Id="rId42" Type="http://schemas.openxmlformats.org/officeDocument/2006/relationships/hyperlink" Target="http://data.aade.gr/eli/pri/law/2002/07/30/3037" TargetMode="External" /><Relationship Id="rId43" Type="http://schemas.openxmlformats.org/officeDocument/2006/relationships/hyperlink" Target="http://data.aade.gr/eli/pri/law/2002/07/30/3037" TargetMode="External" /><Relationship Id="rId44" Type="http://schemas.openxmlformats.org/officeDocument/2006/relationships/hyperlink" Target="http://data.aade.gr/eli/pri/law/2002/07/30/3037" TargetMode="External" /><Relationship Id="rId45" Type="http://schemas.openxmlformats.org/officeDocument/2006/relationships/hyperlink" Target="http://data.aade.gr/eli/pri/law/2002/07/30/3037" TargetMode="External" /><Relationship Id="rId46" Type="http://schemas.openxmlformats.org/officeDocument/2006/relationships/hyperlink" Target="http://data.aade.gr/eli/pri/law/2002/07/30/3037" TargetMode="External" /><Relationship Id="rId47" Type="http://schemas.openxmlformats.org/officeDocument/2006/relationships/hyperlink" Target="http://data.aade.gr/eli/pri/law/2002/07/30/3037" TargetMode="External" /><Relationship Id="rId48" Type="http://schemas.openxmlformats.org/officeDocument/2006/relationships/hyperlink" Target="http://data.aade.gr/eli/pri/law/2002/07/30/3037" TargetMode="External" /><Relationship Id="rId49" Type="http://schemas.openxmlformats.org/officeDocument/2006/relationships/hyperlink" Target="http://data.aade.gr/eli/pri/law/2002/07/30/3037" TargetMode="External" /><Relationship Id="rId5" Type="http://schemas.openxmlformats.org/officeDocument/2006/relationships/hyperlink" Target="http://data.aade.gr/eli/pri/law/2013/05/09/4152" TargetMode="External" /><Relationship Id="rId50" Type="http://schemas.openxmlformats.org/officeDocument/2006/relationships/hyperlink" Target="http://data.aade.gr/eli/pri/law/2002/07/30/3037" TargetMode="External" /><Relationship Id="rId51" Type="http://schemas.openxmlformats.org/officeDocument/2006/relationships/hyperlink" Target="http://data.aade.gr/eli/pri/law/2002/07/30/3037" TargetMode="External" /><Relationship Id="rId52" Type="http://schemas.openxmlformats.org/officeDocument/2006/relationships/hyperlink" Target="http://data.aade.gr/eli/pri/law/2002/07/30/3037" TargetMode="External" /><Relationship Id="rId53" Type="http://schemas.openxmlformats.org/officeDocument/2006/relationships/hyperlink" Target="http://data.aade.gr/eli/pri/law/2002/07/30/3037" TargetMode="External" /><Relationship Id="rId54" Type="http://schemas.openxmlformats.org/officeDocument/2006/relationships/hyperlink" Target="http://data.aade.gr/eli/pri/law/2002/07/30/3037" TargetMode="External" /><Relationship Id="rId55" Type="http://schemas.openxmlformats.org/officeDocument/2006/relationships/hyperlink" Target="http://data.aade.gr/eli/pri/law/2002/07/30/3037" TargetMode="External" /><Relationship Id="rId56" Type="http://schemas.openxmlformats.org/officeDocument/2006/relationships/hyperlink" Target="http://data.aade.gr/eli/pri/law/2002/07/30/3037" TargetMode="External" /><Relationship Id="rId57" Type="http://schemas.openxmlformats.org/officeDocument/2006/relationships/hyperlink" Target="http://data.aade.gr/eli/pri/law/2002/07/30/3037" TargetMode="External" /><Relationship Id="rId58" Type="http://schemas.openxmlformats.org/officeDocument/2006/relationships/hyperlink" Target="http://data.aade.gr/eli/pri/law/2002/07/30/3037" TargetMode="External" /><Relationship Id="rId59" Type="http://schemas.openxmlformats.org/officeDocument/2006/relationships/hyperlink" Target="http://data.aade.gr/eli/pri/law/2002/07/30/3037" TargetMode="External" /><Relationship Id="rId6" Type="http://schemas.openxmlformats.org/officeDocument/2006/relationships/hyperlink" Target="http://data.aade.gr/eli/pri/law/2013/04/18/4146" TargetMode="External" /><Relationship Id="rId60" Type="http://schemas.openxmlformats.org/officeDocument/2006/relationships/hyperlink" Target="http://data.aade.gr/eli/pri/law/2002/03/20/2992" TargetMode="External" /><Relationship Id="rId7" Type="http://schemas.openxmlformats.org/officeDocument/2006/relationships/hyperlink" Target="http://data.aade.gr/eli/pri/law/2011/02/17/3912" TargetMode="External" /><Relationship Id="rId8" Type="http://schemas.openxmlformats.org/officeDocument/2006/relationships/hyperlink" Target="http://data.aade.gr/eli/pri/law/2006/06/28/3470" TargetMode="External" /><Relationship Id="rId9" Type="http://schemas.openxmlformats.org/officeDocument/2006/relationships/hyperlink" Target="http://data.aade.gr/eli/pri/law/2013/05/09/4152"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