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Οικονομίας και Ανάπτυξης εκδίδει την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 όταν στη συγχώνευση συμμετέχει πιστωτικό ίδρυμα με τη μορφή ανώνυμης εταιρείας ή όταν το πιστωτικό ίδρυμα που θα προέλθει από τη συγχώνευση θα έχει τη μορφή ανωνύμου εταιρείας.</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50"/>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Ειδικότερα για τα πιστωτικά ιδρύματα που λειτουργούν με τη μορφή αμιγούς πιστωτικού συνεταιρισμού προηγείται η απόφαση της Τράπεζας της Ελλάδος που εγκρίνει τη συγχώνευση σύμφωνα με τα ανωτέρω. Οι αποφάσεις των γενικών συνελεύσεων και η σύμβαση συγχώνευσης που καταρτίζεται με συμβολαιογραφικό έγγραφο καταχωρίζονται στο Γενικό Εμπορικό Μητρώο του ν. 3419/2005 (Α'297). Οι σχετικές καταχωρίσεις πραγματοποιούνται από τις αρμόδιες για την τήρησή του υπηρεσίες Γ.Ε.ΜΗ., οι οποίες ελέγχουν την πληρότητα, το υποστατό και τη νομιμότητα των σχετικών πράξεων. Η σύμβαση συγχώνευσης δεν μπορεί να συναφθεί πριν παρέλθει η προθεσμία της παρ. 2 του άρθρου 70 του κ. ν. 2190/1920. Στην περίπτωση συγχώνευσης με απορρόφηση, από την καταχώριση στην οικεία μερίδα Γ.Ε.ΜΗ. του απορροφώντος συνεταιρισμού συντελείται η συγχώνευση και αυτός υπεισέρχεται σε όλα τα δικαιώματα και τις υποχρεώσεις του ή των απορροφούμενων συνεταιρισμών. Οι εκκρεμείς δίκες συνεχίζονται από αυτόν χωρίς διακοπή. Ο απορροφώμενος συνεταιρισμός διαγράφεται από τα προβλεπόμενα στην κείμενη νομοθεσία Μητρώα Συνεταιρισμών. Στην περίπτωση συγχώνευσης με σύσταση νέου συνεταιρισμού τηρούνται οι διατάξεις της παρ. 4 του άρθρου 10 του ν. 1667/1986 πριν την καταχώριση αυτού στο Γενικό Εμπορικό Μητρώο της έδρας του.</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4"/>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6"/>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3"/>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68"/>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69"/>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8" w:history="1">
        <w:r>
          <w:rPr>
            <w:rStyle w:val="Hyperlink"/>
            <w:b/>
            <w:bCs/>
            <w:color w:val="0000EE"/>
            <w:u w:color="0000EE"/>
            <w:lang w:val="el" w:eastAsia="el"/>
          </w:rPr>
          <w:t>Τροποποίηση 4316/2014, Άρθρο 98</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4601/2016, Άρθρο 143</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45872018, Άρθρο 50; Προσθήκη 2744/1999 art_12</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50" w:history="1">
        <w:r>
          <w:rPr>
            <w:rStyle w:val="Hyperlink"/>
            <w:b/>
            <w:bCs/>
            <w:color w:val="0000EE"/>
            <w:u w:color="0000EE"/>
            <w:lang w:val="el" w:eastAsia="el"/>
          </w:rPr>
          <w:t>Προσθήκη 4587/2018, Άρθρο 50</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9" w:history="1">
        <w:r>
          <w:rPr>
            <w:rStyle w:val="Hyperlink"/>
            <w:b/>
            <w:bCs/>
            <w:color w:val="0000EE"/>
            <w:u w:color="0000EE"/>
            <w:lang w:val="el" w:eastAsia="el"/>
          </w:rPr>
          <w:t>Προσθήκη 2992/2002, Άρθρο 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8/12/24/4587" TargetMode="External" /><Relationship Id="rId62"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