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η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ποσίμου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31.12.1996. εφόσον οι νομαρχίες ή οι Ο.Τ.Α. ή το Δημόσιο γενικότερα δεν κατέβαλαν ως όφειλαν το σχετικό ποσό του φόρου προστιθέμενης αξίας. 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spacing w:before="240" w:after="240"/>
        <w:rPr>
          <w:lang w:val="el" w:eastAsia="el"/>
        </w:rPr>
      </w:pPr>
      <w:r>
        <w:rPr>
          <w:b/>
          <w:bCs/>
          <w:lang w:val="el" w:eastAsia="el"/>
        </w:rPr>
        <w:t>Φυσικά ή νομικά πρόσωπα που, βάσει σύμβασης με το Ελληνικό Δημόσιο ή με Οργανισμούς Τοπικής Αυτοδιοίκησης α΄ και β΄ βαθμού, παρέχουν υπηρεσίες ύδρευσης και μεταφοράς πόσιμου ύδατος σε άνυδρα νησιά, δεν υπόκεινται σε επιβολή τελών για τη διέλευση των πλωτών και χερσαίων μέσων μεταφοράς του νερού από τις περιοχές δικαιοδοσίας των φορέων διαχείρισης λιμένων και εξαιρούνται από την υποχρέωση καταβολής προς τους φορείς δικαιωμάτων χρήσης λιμενικών εγκαταστάσεων.</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Υφιστάμενες και ανείσπρακτες οφειλές που αφορούν τέλη του προηγούμενου εδαφίου, είτε προκύπτουν από τιμολόγια που έχουν εκδοθεί μέχρι τη δημοσίευση του παρόντος είτε όχι, θεωρούνται μη οφειλόμενες και δεν καταβάλλονται.</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5"/>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8"/>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στ)</w:t>
      </w:r>
      <w:r>
        <w:rPr>
          <w:b/>
          <w:bCs/>
          <w:lang w:val="en" w:eastAsia="en"/>
        </w:rPr>
        <w:tab/>
      </w:r>
      <w:r>
        <w:rPr>
          <w:b/>
          <w:bCs/>
          <w:lang w:val="el" w:eastAsia="el"/>
        </w:rPr>
        <w:t>Σε κάθε περίπτωση συγχώνευσης ή διάσπασης με συμμετοχή πιστωτικού ιδρύματος και με υποκατάσταση της απορροφώσας ή της νέας ή της επωφελούμενης εταιρίας, που δεν είναι ήδη πιστωτικό ίδρυμα, στην άδεια λειτουργίας του πιστωτικού ιδρύματος με την έννοια της περίπτωσης α΄ της παραγράφου 2 του άρθρου 18 ή της περίπτωσης α΄ της παραγράφου 2 του άρθρου 70 του ν. 4601/2019 (Α΄ 44), εφαρμόζεται το παρόν άρθρο. Επιπλέον, για την υποκατάσταση στην άδεια λειτουργίας απαιτείται έγκριση της εποπτικής αρχής, στην οποία εφαρμόζονται αναλόγως οι διατάξεις περί χορήγησης άδειας λειτουργίας. Κατ’ εξαίρεση, στο πλαίσιο της έγκρισης του προηγούμενου εδαφίου η εποπτική αρχή δύναται να μην αξιολογήσει τους μετόχους ή τα μέλη του διοικητικού συμβουλίου, αν έχουν ήδη αξιολογηθεί πριν από τον μετασχηματισμό και δεν συντρέχει λόγος εκ νέου αξιολόγησής τους. Επίσης, στο πλαίσιο της ίδιας έγκρισης, η εποπτική αρχή δύναται να μην επαναλάβει κάθε άλλο μέρος της διαδικασίας χορήγησης άδειας λειτουργίας, ως προς το οποίο έχει ήδη γίνει αξιολόγηση για τη χορήγηση έγκρισης που προβλέπεται στις προηγούμενες παραγράφους του παρόντος άρθρου είτε κατά την άσκηση της εποπτείας επί του πιστωτικού ιδρύματος που έφερε την άδεια λειτουργίας ως τον μετασχηματισμό, εφόσον δεν συντρέχει λόγος εκ νέου αξιολόγησης.</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7"/>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72"/>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4613/2016, Άρθρο 24</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50" w:history="1">
        <w:r>
          <w:rPr>
            <w:rStyle w:val="Hyperlink"/>
            <w:b/>
            <w:bCs/>
            <w:color w:val="0000EE"/>
            <w:u w:color="0000EE"/>
            <w:lang w:val="el" w:eastAsia="el"/>
          </w:rPr>
          <w:t>Προσθήκη 4587/2018, Άρθρο 50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 art_18" w:history="1">
        <w:r>
          <w:rPr>
            <w:rStyle w:val="Hyperlink"/>
            <w:b/>
            <w:bCs/>
            <w:color w:val="0000EE"/>
            <w:u w:color="0000EE"/>
            <w:lang w:val="el" w:eastAsia="el"/>
          </w:rPr>
          <w:t>Προσθήκη 4618/2019 art_18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9" w:history="1">
        <w:r>
          <w:rPr>
            <w:rStyle w:val="Hyperlink"/>
            <w:b/>
            <w:bCs/>
            <w:color w:val="0000EE"/>
            <w:u w:color="0000EE"/>
            <w:lang w:val="el" w:eastAsia="el"/>
          </w:rPr>
          <w:t>Προσθήκη 2992/2002, Άρθρο 9</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19/06/10/4618" TargetMode="External" /><Relationship Id="rId63"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