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η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ποσίμου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31.12.1996. εφόσον οι νομαρχίες ή οι Ο.Τ.Α. ή το Δημόσιο γενικότερα δεν κατέβαλαν ως όφειλαν το σχετικό ποσό του φόρου προστιθέμενης αξίας. 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spacing w:before="240" w:after="240"/>
        <w:rPr>
          <w:lang w:val="el" w:eastAsia="el"/>
        </w:rPr>
      </w:pPr>
      <w:r>
        <w:rPr>
          <w:b/>
          <w:bCs/>
          <w:lang w:val="el" w:eastAsia="el"/>
        </w:rPr>
        <w:t>Φυσικά ή νομικά πρόσωπα που, βάσει σύμβασης με το Ελληνικό Δημόσιο ή με Οργανισμούς Τοπικής Αυτοδιοίκησης α΄ και β΄ βαθμού, παρέχουν υπηρεσίες ύδρευσης και μεταφοράς πόσιμου ύδατος σε άνυδρα νησιά, δεν υπόκεινται σε επιβολή τελών για τη διέλευση των πλωτών και χερσαίων μέσων μεταφοράς του νερού από τις περιοχές δικαιοδοσίας των φορέων διαχείρισης λιμένων και εξαιρούνται από την υποχρέωση καταβολής προς τους φορείς δικαιωμάτων χρήσης λιμενικών εγκαταστάσεων.</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Υφιστάμενες και ανείσπρακτες οφειλές που αφορούν τέλη του προηγούμενου εδαφίου, είτε προκύπτουν από τιμολόγια που έχουν εκδοθεί μέχρι τη δημοσίευση του παρόντος είτε όχι, θεωρούνται μη οφειλόμενες και δεν καταβάλλονται.</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στ)</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4601/2016, Άρθρο 143</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50" w:history="1">
        <w:r>
          <w:rPr>
            <w:rStyle w:val="Hyperlink"/>
            <w:b/>
            <w:bCs/>
            <w:color w:val="0000EE"/>
            <w:u w:color="0000EE"/>
            <w:lang w:val="el" w:eastAsia="el"/>
          </w:rPr>
          <w:t>Προσθήκη 4587/2018, Άρθρο 50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5" w:history="1">
        <w:r>
          <w:rPr>
            <w:rStyle w:val="Hyperlink"/>
            <w:b/>
            <w:bCs/>
            <w:color w:val="0000EE"/>
            <w:u w:color="0000EE"/>
            <w:lang w:val="el" w:eastAsia="el"/>
          </w:rPr>
          <w:t>Αφαίρεση 4664/2020, Άρθρο 5</w:t>
        </w:r>
      </w:hyperlink>
      <w:r>
        <w:rPr>
          <w:b/>
          <w:bCs/>
          <w:lang w:val="el" w:eastAsia="el"/>
        </w:rPr>
        <w:t xml:space="preserve">; </w:t>
      </w:r>
      <w:hyperlink r:id="rId63" w:anchor=" art_18" w:history="1">
        <w:r>
          <w:rPr>
            <w:rStyle w:val="Hyperlink"/>
            <w:b/>
            <w:bCs/>
            <w:color w:val="0000EE"/>
            <w:u w:color="0000EE"/>
            <w:lang w:val="el" w:eastAsia="el"/>
          </w:rPr>
          <w:t>Προσθήκη 4618/2019 art_18</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9" w:history="1">
        <w:r>
          <w:rPr>
            <w:rStyle w:val="Hyperlink"/>
            <w:b/>
            <w:bCs/>
            <w:color w:val="0000EE"/>
            <w:u w:color="0000EE"/>
            <w:lang w:val="el" w:eastAsia="el"/>
          </w:rPr>
          <w:t>Προσθήκη 2992/2002, Άρθρο 9</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8/12/24/4587" TargetMode="External" /><Relationship Id="rId62" Type="http://schemas.openxmlformats.org/officeDocument/2006/relationships/hyperlink" Target="http://data.aade.gr/eli/pri/law/2020/02/14/4664" TargetMode="External" /><Relationship Id="rId63" Type="http://schemas.openxmlformats.org/officeDocument/2006/relationships/hyperlink" Target="http://data.aade.gr/eli/pri/law/2019/06/10/4618" TargetMode="External" /><Relationship Id="rId64"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