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απορροφούν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 Κατά παρέκκλιση κάθε άλλης γενικής ή ειδικής διάταξης, δεν απαιτείται να υποβάλλονται δηλώσεις φόρου μεταβίβασης ακινήτων και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ν.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22.</w:t>
      </w:r>
      <w:r>
        <w:rPr>
          <w:b/>
          <w:bCs/>
          <w:lang w:val="el" w:eastAsia="el"/>
        </w:rPr>
        <w:t xml:space="preserve"> Στους μετασχηματισμούς του παρόντος άρθρου εφαρμόζεται η παρ. 2 του άρθρου 51 του ν. 5162/2024 (Α’ 198), περί μεταφοράς ζημιών της εισφέρουσας εταιρείας από τη λήπτρια.</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1" w:history="1">
        <w:r>
          <w:rPr>
            <w:rStyle w:val="Hyperlink"/>
            <w:b/>
            <w:bCs/>
            <w:color w:val="0000EE"/>
            <w:u w:color="0000EE"/>
            <w:lang w:val="el" w:eastAsia="el"/>
          </w:rPr>
          <w:t>Αφαίρεση 5193/2025, Άρθρο 221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40" w:history="1">
        <w:r>
          <w:rPr>
            <w:rStyle w:val="Hyperlink"/>
            <w:b/>
            <w:bCs/>
            <w:color w:val="0000EE"/>
            <w:u w:color="0000EE"/>
            <w:lang w:val="el" w:eastAsia="el"/>
          </w:rPr>
          <w:t>Τροποποίηση 4818/2021, Άρθρο 40</w:t>
        </w:r>
      </w:hyperlink>
      <w:r>
        <w:rPr>
          <w:b/>
          <w:bCs/>
          <w:lang w:val="el" w:eastAsia="el"/>
        </w:rPr>
        <w:t xml:space="preserve">; </w:t>
      </w:r>
      <w:hyperlink r:id="rId63" w:anchor="art_114" w:history="1">
        <w:r>
          <w:rPr>
            <w:rStyle w:val="Hyperlink"/>
            <w:b/>
            <w:bCs/>
            <w:color w:val="0000EE"/>
            <w:u w:color="0000EE"/>
            <w:lang w:val="el" w:eastAsia="el"/>
          </w:rPr>
          <w:t>Τροποποίηση 4799/2021, Άρθρο 114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50" w:history="1">
        <w:r>
          <w:rPr>
            <w:rStyle w:val="Hyperlink"/>
            <w:b/>
            <w:bCs/>
            <w:color w:val="0000EE"/>
            <w:u w:color="0000EE"/>
            <w:lang w:val="el" w:eastAsia="el"/>
          </w:rPr>
          <w:t>Προσθήκη 4587/2018, Άρθρο 50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5" w:history="1">
        <w:r>
          <w:rPr>
            <w:rStyle w:val="Hyperlink"/>
            <w:b/>
            <w:bCs/>
            <w:color w:val="0000EE"/>
            <w:u w:color="0000EE"/>
            <w:lang w:val="el" w:eastAsia="el"/>
          </w:rPr>
          <w:t>Αφαίρεση 4664/2020, Άρθρο 5</w:t>
        </w:r>
      </w:hyperlink>
      <w:r>
        <w:rPr>
          <w:b/>
          <w:bCs/>
          <w:lang w:val="el" w:eastAsia="el"/>
        </w:rPr>
        <w:t xml:space="preserve">; </w:t>
      </w:r>
      <w:hyperlink r:id="rId66" w:anchor=" art_18" w:history="1">
        <w:r>
          <w:rPr>
            <w:rStyle w:val="Hyperlink"/>
            <w:b/>
            <w:bCs/>
            <w:color w:val="0000EE"/>
            <w:u w:color="0000EE"/>
            <w:lang w:val="el" w:eastAsia="el"/>
          </w:rPr>
          <w:t>Προσθήκη 4618/2019 art_18</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9" w:history="1">
        <w:r>
          <w:rPr>
            <w:rStyle w:val="Hyperlink"/>
            <w:b/>
            <w:bCs/>
            <w:color w:val="0000EE"/>
            <w:u w:color="0000EE"/>
            <w:lang w:val="el" w:eastAsia="el"/>
          </w:rPr>
          <w:t>Προσθήκη 2992/2002, Άρθρο 9</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1" w:history="1">
        <w:r>
          <w:rPr>
            <w:rStyle w:val="Hyperlink"/>
            <w:b/>
            <w:bCs/>
            <w:color w:val="0000EE"/>
            <w:u w:color="0000EE"/>
            <w:lang w:val="el" w:eastAsia="el"/>
          </w:rPr>
          <w:t>Προσθήκη 5193/2025, Άρθρο 221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5/18/4799"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20/02/14/4664" TargetMode="External" /><Relationship Id="rId66" Type="http://schemas.openxmlformats.org/officeDocument/2006/relationships/hyperlink" Target="http://data.aade.gr/eli/pri/law/2019/06/10/4618" TargetMode="External" /><Relationship Id="rId67" Type="http://schemas.openxmlformats.org/officeDocument/2006/relationships/hyperlink" Target="http://data.aade.gr/eli/pri/law/2002/03/20/2992" TargetMode="External" /><Relationship Id="rId68" Type="http://schemas.openxmlformats.org/officeDocument/2006/relationships/hyperlink" Target="http://data.aade.gr/eli/pri/law/2025/04/11/5193"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