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απορροφούν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 Κατά παρέκκλιση κάθε άλλης γενικής ή ειδικής διάταξης, δεν απαιτείται να υποβάλλονται δηλώσεις φόρου μεταβίβασης ακινήτων και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ν.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22.</w:t>
      </w:r>
      <w:r>
        <w:rPr>
          <w:b/>
          <w:bCs/>
          <w:lang w:val="el" w:eastAsia="el"/>
        </w:rPr>
        <w:t xml:space="preserve"> Στους μετασχηματισμούς του παρόντος άρθρου εφαρμόζεται η παρ. 2 του άρθρου 51 του ν. 5162/2024 (Α’ 198), περί μεταφοράς ζημιών της εισφέρουσας εταιρείας από τη λήπτρια.</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16A</w:t>
      </w:r>
      <w:r>
        <w:rPr>
          <w:b/>
          <w:bCs/>
          <w:lang w:val="el" w:eastAsia="el"/>
        </w:rPr>
        <w:t xml:space="preserve"> </w:t>
      </w:r>
    </w:p>
    <w:p>
      <w:pPr>
        <w:pStyle w:val="Heading6"/>
        <w:spacing w:before="240" w:after="240"/>
        <w:rPr>
          <w:lang w:val="el" w:eastAsia="el"/>
        </w:rPr>
      </w:pPr>
      <w:r>
        <w:rPr>
          <w:b/>
          <w:bCs/>
          <w:lang w:val="el" w:eastAsia="el"/>
        </w:rPr>
        <w:t>Έγκριση εταιρικών μετασχηματισμών νομικών προσώπων που εποπτεύονται από την Τράπεζα της Ελλάδος</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Η Τράπεζα της Ελλάδος είναι αρμόδια για την έγκριση του εταιρικού μετασχηματισμού, σύμφωνα με τον παρόντα, για τα ακόλουθα εποπτευόμενα νομικά πρόσωπα</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α)</w:t>
      </w:r>
      <w:r>
        <w:rPr>
          <w:b/>
          <w:bCs/>
          <w:lang w:val="en" w:eastAsia="en"/>
        </w:rPr>
        <w:tab/>
      </w:r>
      <w:r>
        <w:rPr>
          <w:b/>
          <w:bCs/>
          <w:lang w:val="el" w:eastAsia="el"/>
        </w:rPr>
        <w:t>εταιρείες χρηματοδοτικής μίσθωσης (leasing), σύμφωνα με τις διατάξεις του ν. 1665/1986 (Α’ 194),</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β)</w:t>
      </w:r>
      <w:r>
        <w:rPr>
          <w:b/>
          <w:bCs/>
          <w:lang w:val="en" w:eastAsia="en"/>
        </w:rPr>
        <w:tab/>
      </w:r>
      <w:r>
        <w:rPr>
          <w:b/>
          <w:bCs/>
          <w:lang w:val="el" w:eastAsia="el"/>
        </w:rPr>
        <w:t>εταιρείες πρακτορείας επιχειρηματικών απαιτήσεων (factoring), σύμφωνα με τις διατάξεις του ν. 1905/1990 (Α’ 147),</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γ)</w:t>
      </w:r>
      <w:r>
        <w:rPr>
          <w:b/>
          <w:bCs/>
          <w:lang w:val="en" w:eastAsia="en"/>
        </w:rPr>
        <w:tab/>
      </w:r>
      <w:r>
        <w:rPr>
          <w:b/>
          <w:bCs/>
          <w:lang w:val="el" w:eastAsia="el"/>
        </w:rPr>
        <w:t>ιδρύματα ηλεκτρονικού χρήματος, σύμφωνα με τις διατάξεις του Κεφαλαίου Α’ του Μέρους Δεύτερου του ν. 4021/2011 (Α’ 218),</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δ)</w:t>
      </w:r>
      <w:r>
        <w:rPr>
          <w:b/>
          <w:bCs/>
          <w:lang w:val="en" w:eastAsia="en"/>
        </w:rPr>
        <w:tab/>
      </w:r>
      <w:r>
        <w:rPr>
          <w:b/>
          <w:bCs/>
          <w:lang w:val="el" w:eastAsia="el"/>
        </w:rPr>
        <w:t>τρίτους φορείς παροχής υπηρεσιών πληρωμών, σύμφωνα με τις διατάξεις του Κεφαλαίου Α’ του Μέρους Δεύτερου του ν. 4021/2011 και του ν. 4537/2018 (Α’ 84), ε) ιδρύματα πληρωμών, σύμφωνα με τις διατάξεις του ν. 4537/2018,</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στ)</w:t>
      </w:r>
      <w:r>
        <w:rPr>
          <w:b/>
          <w:bCs/>
          <w:lang w:val="en" w:eastAsia="en"/>
        </w:rPr>
        <w:tab/>
      </w:r>
      <w:r>
        <w:rPr>
          <w:b/>
          <w:bCs/>
          <w:lang w:val="el" w:eastAsia="el"/>
        </w:rPr>
        <w:t>εταιρείες παροχής πιστώσεων, σύμφωνα με το άρθρο 153 του ν. 4261/2014 (Α’ 107),</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ζ)</w:t>
      </w:r>
      <w:r>
        <w:rPr>
          <w:b/>
          <w:bCs/>
          <w:lang w:val="en" w:eastAsia="en"/>
        </w:rPr>
        <w:tab/>
      </w:r>
      <w:r>
        <w:rPr>
          <w:b/>
          <w:bCs/>
          <w:lang w:val="el" w:eastAsia="el"/>
        </w:rPr>
        <w:t>εταιρείες διαχείρισης απαιτήσεων από δάνεια και πιστώσεις (servicers), σύμφωνα με τις διατάξεις του ν. 5072/2023 (Α’ 198),</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η)</w:t>
      </w:r>
      <w:r>
        <w:rPr>
          <w:b/>
          <w:bCs/>
          <w:lang w:val="en" w:eastAsia="en"/>
        </w:rPr>
        <w:tab/>
      </w:r>
      <w:r>
        <w:rPr>
          <w:b/>
          <w:bCs/>
          <w:lang w:val="el" w:eastAsia="el"/>
        </w:rPr>
        <w:t>ανταλλακτήρια συναλλάγματος, σύμφωνα με τις διατάξεις του ν. 2515/1997 (Α’ 154) και</w:t>
      </w:r>
      <w:r>
        <w:rPr>
          <w:rStyle w:val="Hyperlink"/>
          <w:b/>
          <w:bCs/>
          <w:color w:val="000000"/>
          <w:sz w:val="20"/>
          <w:szCs w:val="20"/>
          <w:u w:val="none" w:color="0000EE"/>
          <w:vertAlign w:val="superscript"/>
          <w:lang w:val="el" w:eastAsia="el"/>
        </w:rPr>
        <w:footnoteReference w:id="73"/>
      </w:r>
    </w:p>
    <w:p>
      <w:pPr>
        <w:pStyle w:val="StructureList1"/>
        <w:spacing w:before="120" w:after="0"/>
        <w:rPr>
          <w:lang w:val="el" w:eastAsia="el"/>
        </w:rPr>
      </w:pPr>
      <w:r>
        <w:rPr>
          <w:b/>
          <w:bCs/>
          <w:lang w:val="el" w:eastAsia="el"/>
        </w:rPr>
        <w:t>θ)</w:t>
      </w:r>
      <w:r>
        <w:rPr>
          <w:b/>
          <w:bCs/>
          <w:lang w:val="en" w:eastAsia="en"/>
        </w:rPr>
        <w:tab/>
      </w:r>
      <w:r>
        <w:rPr>
          <w:b/>
          <w:bCs/>
          <w:lang w:val="el" w:eastAsia="el"/>
        </w:rPr>
        <w:t>ιδρύματα μικροχρηματοδοτήσεων, σύμφωνα με τις διατάξεις του ν. 4701/2020 (Α’ 128).</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b/>
          <w:bCs/>
          <w:lang w:val="el" w:eastAsia="el"/>
        </w:rPr>
        <w:t xml:space="preserve"> Ο εταιρικός μετασχηματισμός είναι έγκυρος μόνο μετά από έγγραφη άδεια της Τράπεζας της Ελλάδος.</w:t>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1" w:history="1">
        <w:r>
          <w:rPr>
            <w:rStyle w:val="Hyperlink"/>
            <w:b/>
            <w:bCs/>
            <w:color w:val="0000EE"/>
            <w:u w:color="0000EE"/>
            <w:lang w:val="el" w:eastAsia="el"/>
          </w:rPr>
          <w:t>Αφαίρεση 5193/2025, Άρθρο 221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40" w:history="1">
        <w:r>
          <w:rPr>
            <w:rStyle w:val="Hyperlink"/>
            <w:b/>
            <w:bCs/>
            <w:color w:val="0000EE"/>
            <w:u w:color="0000EE"/>
            <w:lang w:val="el" w:eastAsia="el"/>
          </w:rPr>
          <w:t>Τροποποίηση 4818/2021, Άρθρο 40</w:t>
        </w:r>
      </w:hyperlink>
      <w:r>
        <w:rPr>
          <w:b/>
          <w:bCs/>
          <w:lang w:val="el" w:eastAsia="el"/>
        </w:rPr>
        <w:t xml:space="preserve">; </w:t>
      </w:r>
      <w:hyperlink r:id="rId63" w:anchor="art_114" w:history="1">
        <w:r>
          <w:rPr>
            <w:rStyle w:val="Hyperlink"/>
            <w:b/>
            <w:bCs/>
            <w:color w:val="0000EE"/>
            <w:u w:color="0000EE"/>
            <w:lang w:val="el" w:eastAsia="el"/>
          </w:rPr>
          <w:t>Τροποποίηση 4799/2021, Άρθρο 114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50" w:history="1">
        <w:r>
          <w:rPr>
            <w:rStyle w:val="Hyperlink"/>
            <w:b/>
            <w:bCs/>
            <w:color w:val="0000EE"/>
            <w:u w:color="0000EE"/>
            <w:lang w:val="el" w:eastAsia="el"/>
          </w:rPr>
          <w:t>Προσθήκη 4587/2018, Άρθρο 50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5" w:history="1">
        <w:r>
          <w:rPr>
            <w:rStyle w:val="Hyperlink"/>
            <w:b/>
            <w:bCs/>
            <w:color w:val="0000EE"/>
            <w:u w:color="0000EE"/>
            <w:lang w:val="el" w:eastAsia="el"/>
          </w:rPr>
          <w:t>Αφαίρεση 4664/2020, Άρθρο 5</w:t>
        </w:r>
      </w:hyperlink>
      <w:r>
        <w:rPr>
          <w:b/>
          <w:bCs/>
          <w:lang w:val="el" w:eastAsia="el"/>
        </w:rPr>
        <w:t xml:space="preserve">; </w:t>
      </w:r>
      <w:hyperlink r:id="rId66" w:anchor=" art_18" w:history="1">
        <w:r>
          <w:rPr>
            <w:rStyle w:val="Hyperlink"/>
            <w:b/>
            <w:bCs/>
            <w:color w:val="0000EE"/>
            <w:u w:color="0000EE"/>
            <w:lang w:val="el" w:eastAsia="el"/>
          </w:rPr>
          <w:t>Προσθήκη 4618/2019 art_18</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9" w:history="1">
        <w:r>
          <w:rPr>
            <w:rStyle w:val="Hyperlink"/>
            <w:b/>
            <w:bCs/>
            <w:color w:val="0000EE"/>
            <w:u w:color="0000EE"/>
            <w:lang w:val="el" w:eastAsia="el"/>
          </w:rPr>
          <w:t>Προσθήκη 2992/2002, Άρθρο 9</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1" w:history="1">
        <w:r>
          <w:rPr>
            <w:rStyle w:val="Hyperlink"/>
            <w:b/>
            <w:bCs/>
            <w:color w:val="0000EE"/>
            <w:u w:color="0000EE"/>
            <w:lang w:val="el" w:eastAsia="el"/>
          </w:rPr>
          <w:t>Προσθήκη 5193/2025, Άρθρο 221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4" w:history="1">
        <w:r>
          <w:rPr>
            <w:rStyle w:val="Hyperlink"/>
            <w:b/>
            <w:bCs/>
            <w:color w:val="0000EE"/>
            <w:u w:color="0000EE"/>
            <w:lang w:val="el" w:eastAsia="el"/>
          </w:rPr>
          <w:t>Προσθήκη 5222/2025, Άρθρο 224</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4" w:history="1">
        <w:r>
          <w:rPr>
            <w:rStyle w:val="Hyperlink"/>
            <w:b/>
            <w:bCs/>
            <w:color w:val="0000EE"/>
            <w:u w:color="0000EE"/>
            <w:lang w:val="el" w:eastAsia="el"/>
          </w:rPr>
          <w:t>Προσθήκη 5222/2025, Άρθρο 224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4" w:history="1">
        <w:r>
          <w:rPr>
            <w:rStyle w:val="Hyperlink"/>
            <w:b/>
            <w:bCs/>
            <w:color w:val="0000EE"/>
            <w:u w:color="0000EE"/>
            <w:lang w:val="el" w:eastAsia="el"/>
          </w:rPr>
          <w:t>Προσθήκη 5222/2025, Άρθρο 224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4" w:history="1">
        <w:r>
          <w:rPr>
            <w:rStyle w:val="Hyperlink"/>
            <w:b/>
            <w:bCs/>
            <w:color w:val="0000EE"/>
            <w:u w:color="0000EE"/>
            <w:lang w:val="el" w:eastAsia="el"/>
          </w:rPr>
          <w:t>Προσθήκη 5222/2025, Άρθρο 224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4" w:history="1">
        <w:r>
          <w:rPr>
            <w:rStyle w:val="Hyperlink"/>
            <w:b/>
            <w:bCs/>
            <w:color w:val="0000EE"/>
            <w:u w:color="0000EE"/>
            <w:lang w:val="el" w:eastAsia="el"/>
          </w:rPr>
          <w:t>Προσθήκη 5222/2025, Άρθρο 224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4" w:history="1">
        <w:r>
          <w:rPr>
            <w:rStyle w:val="Hyperlink"/>
            <w:b/>
            <w:bCs/>
            <w:color w:val="0000EE"/>
            <w:u w:color="0000EE"/>
            <w:lang w:val="el" w:eastAsia="el"/>
          </w:rPr>
          <w:t>Προσθήκη 5222/2025, Άρθρο 224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4" w:history="1">
        <w:r>
          <w:rPr>
            <w:rStyle w:val="Hyperlink"/>
            <w:b/>
            <w:bCs/>
            <w:color w:val="0000EE"/>
            <w:u w:color="0000EE"/>
            <w:lang w:val="el" w:eastAsia="el"/>
          </w:rPr>
          <w:t>Προσθήκη 5222/2025, Άρθρο 224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4" w:history="1">
        <w:r>
          <w:rPr>
            <w:rStyle w:val="Hyperlink"/>
            <w:b/>
            <w:bCs/>
            <w:color w:val="0000EE"/>
            <w:u w:color="0000EE"/>
            <w:lang w:val="el" w:eastAsia="el"/>
          </w:rPr>
          <w:t>Προσθήκη 5222/2025, Άρθρο 224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4" w:history="1">
        <w:r>
          <w:rPr>
            <w:rStyle w:val="Hyperlink"/>
            <w:b/>
            <w:bCs/>
            <w:color w:val="0000EE"/>
            <w:u w:color="0000EE"/>
            <w:lang w:val="el" w:eastAsia="el"/>
          </w:rPr>
          <w:t>Προσθήκη 5222/2025, Άρθρο 224</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4" w:history="1">
        <w:r>
          <w:rPr>
            <w:rStyle w:val="Hyperlink"/>
            <w:b/>
            <w:bCs/>
            <w:color w:val="0000EE"/>
            <w:u w:color="0000EE"/>
            <w:lang w:val="el" w:eastAsia="el"/>
          </w:rPr>
          <w:t>Προσθήκη 5222/2025, Άρθρο 224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4" w:history="1">
        <w:r>
          <w:rPr>
            <w:rStyle w:val="Hyperlink"/>
            <w:b/>
            <w:bCs/>
            <w:color w:val="0000EE"/>
            <w:u w:color="0000EE"/>
            <w:lang w:val="el" w:eastAsia="el"/>
          </w:rPr>
          <w:t>Προσθήκη 5222/2025, Άρθρο 224</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5/18/4799"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20/02/14/4664" TargetMode="External" /><Relationship Id="rId66" Type="http://schemas.openxmlformats.org/officeDocument/2006/relationships/hyperlink" Target="http://data.aade.gr/eli/pri/law/2019/06/10/4618" TargetMode="External" /><Relationship Id="rId67" Type="http://schemas.openxmlformats.org/officeDocument/2006/relationships/hyperlink" Target="http://data.aade.gr/eli/pri/law/2002/03/20/2992" TargetMode="External" /><Relationship Id="rId68" Type="http://schemas.openxmlformats.org/officeDocument/2006/relationships/hyperlink" Target="http://data.aade.gr/eli/pri/law/2025/04/11/5193" TargetMode="External" /><Relationship Id="rId69" Type="http://schemas.openxmlformats.org/officeDocument/2006/relationships/hyperlink" Target="http://data.aade.gr/eli/pri/law/2025/07/28/5222" TargetMode="External" /><Relationship Id="rId7" Type="http://schemas.openxmlformats.org/officeDocument/2006/relationships/hyperlink" Target="http://data.aade.gr/eli/pri/law/2011/02/17/3912" TargetMode="External" /><Relationship Id="rId70" Type="http://schemas.openxmlformats.org/officeDocument/2006/relationships/hyperlink" Target="http://data.aade.gr/eli/pri/law/2025/07/28/5222" TargetMode="External" /><Relationship Id="rId71" Type="http://schemas.openxmlformats.org/officeDocument/2006/relationships/hyperlink" Target="http://data.aade.gr/eli/pri/law/2025/07/28/5222" TargetMode="External" /><Relationship Id="rId72" Type="http://schemas.openxmlformats.org/officeDocument/2006/relationships/hyperlink" Target="http://data.aade.gr/eli/pri/law/2025/07/28/5222" TargetMode="External" /><Relationship Id="rId73" Type="http://schemas.openxmlformats.org/officeDocument/2006/relationships/hyperlink" Target="http://data.aade.gr/eli/pri/law/2025/07/28/5222" TargetMode="External" /><Relationship Id="rId74" Type="http://schemas.openxmlformats.org/officeDocument/2006/relationships/hyperlink" Target="http://data.aade.gr/eli/pri/law/2025/07/28/5222" TargetMode="External" /><Relationship Id="rId75" Type="http://schemas.openxmlformats.org/officeDocument/2006/relationships/hyperlink" Target="http://data.aade.gr/eli/pri/law/2025/07/28/5222" TargetMode="External" /><Relationship Id="rId76" Type="http://schemas.openxmlformats.org/officeDocument/2006/relationships/hyperlink" Target="http://data.aade.gr/eli/pri/law/2025/07/28/5222" TargetMode="External" /><Relationship Id="rId77" Type="http://schemas.openxmlformats.org/officeDocument/2006/relationships/hyperlink" Target="http://data.aade.gr/eli/pri/law/2025/07/28/5222" TargetMode="External" /><Relationship Id="rId78" Type="http://schemas.openxmlformats.org/officeDocument/2006/relationships/hyperlink" Target="http://data.aade.gr/eli/pri/law/2025/07/28/5222" TargetMode="External" /><Relationship Id="rId79" Type="http://schemas.openxmlformats.org/officeDocument/2006/relationships/hyperlink" Target="http://data.aade.gr/eli/pri/law/2025/07/28/522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