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 2 και 4 του άρθρ.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2003.</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η μίσθωση ή η χρησιμοποίηση για οποιονδήποτε σκοπό των ακινήτων που προβλέπουν οι διατάξεις του άρθρου 6,</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ης διατάξεις της περίπτωσης β΄ της παραγράφου 1 και των παρ. 2 και 5 του άρθρου 13,</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 </w:t>
      </w:r>
    </w:p>
    <w:p>
      <w:pPr>
        <w:pStyle w:val="MainText"/>
        <w:spacing w:before="120" w:after="0"/>
        <w:rPr>
          <w:lang w:val="el" w:eastAsia="el"/>
        </w:rPr>
      </w:pPr>
      <w:r>
        <w:rPr>
          <w:b/>
          <w:bCs/>
          <w:lang w:val="el" w:eastAsia="el"/>
        </w:rPr>
        <w:t>4.</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p>
    <w:p>
      <w:pPr>
        <w:pStyle w:val="MainText"/>
        <w:spacing w:before="120" w:after="0"/>
        <w:rPr>
          <w:lang w:val="el" w:eastAsia="el"/>
        </w:rPr>
      </w:pPr>
      <w:r>
        <w:rPr>
          <w:b/>
          <w:bCs/>
          <w:lang w:val="el" w:eastAsia="el"/>
        </w:rPr>
        <w:t>6.</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υλικώς σε άλλο κράτος - μέλος, εφόσον τα αγαθά μετά την παροχή των υπηρεσιών αποστέλλονται ή μεταφέρονται στο εσωτερικό της χώρας.</w:t>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υλικώς στο εσωτερικό της χώρας και παρέχονται σε λήπτη που διαθέτει αριθμό φορολογικού μητρώου Φ.Π.Α. σε άλλο κράτος - μέλος, εφόσον τα αγαθά αυτά στη συνέχεια αποστέλλονται ή μεταφέρονται στο κράτος - μέλος εγκατάστασης του λήπτη.</w:t>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συμφωνά με τις διατάξεις της περίπτωσης γ της παρ.1 του άρθρ. 35,</w:t>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η τρέχουσα αξία τους δεν υπερβαίνει το ποσό του ενός εκατομμυρίου πεντακοσίων χιλιάδων (1.500.000) δραχμών.</w:t>
      </w:r>
    </w:p>
    <w:p>
      <w:pPr>
        <w:pStyle w:val="MainText"/>
        <w:spacing w:before="120" w:after="0"/>
        <w:rPr>
          <w:lang w:val="el" w:eastAsia="el"/>
        </w:rPr>
      </w:pPr>
      <w:r>
        <w:rPr>
          <w:b/>
          <w:bCs/>
          <w:lang w:val="el" w:eastAsia="el"/>
        </w:rPr>
        <w:t>4.</w:t>
      </w:r>
      <w:r>
        <w:rPr>
          <w:lang w:val="el" w:eastAsia="el"/>
        </w:rPr>
        <w:t xml:space="preserve"> Όταν τα εισαγόμενα αγαθά δεν υπόκεινται σε καμία επιβάρυνση της παρ. 2, η φορολογική υποχρέωση γεννάται κατά την είσοδο των αγαθών στο τελωνειακό έδαφος και ο φόρος γίνεται απαιτητός κατά το χρόνο που λαμβάνεται υπόψη για την επιβολή των δασμών, σύμφωνα με τις διατάξεις της τελωνειακής νομοθεσίας.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 1 και 2 περίπτωση α του άρθρου 6, η αξία όπως αυτή προσδιορίζεται από τις διατάξεις του νόμου για την επιβολή του φόρου μεταβίβασης ακινήτων, που ισχύουν κατά το χρόνο γένεσης της φορολογικής υποχρέωσης.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Η αξία αυτή προσδιορίζεται όπως πιο πάνω και δεν μπορεί να είναι μικρότερη από την αξία των ποσοστών του οικοπέδου που μεταβιβάζονται από τον κύριο του οικοπέδου στον εργολάβο κατασκευαστή.</w:t>
      </w:r>
    </w:p>
    <w:p>
      <w:pPr>
        <w:spacing w:before="240" w:after="240"/>
        <w:rPr>
          <w:lang w:val="el" w:eastAsia="el"/>
        </w:rPr>
      </w:pPr>
      <w:r>
        <w:rPr>
          <w:lang w:val="el" w:eastAsia="el"/>
        </w:rPr>
        <w:t>Κατ΄ εξαίρεση, για τον υπολογισμό της φορολογητέας αξίας σε περίπτωση παράδοσης ακινήτου σε πρόσωπα που έχουν δικαίωμα μερικής ή ολικής απαλλαγής από το φόρο μεταβίβασης ακινήτων, η αξία αυτή μειώνεται κατά το μέρος που αντιστοιχεί στην απαλλασσόμενη από το φόρο μεταβίβασης ακινήτων αξία.</w:t>
      </w:r>
    </w:p>
    <w:p>
      <w:pPr>
        <w:spacing w:before="240" w:after="240"/>
        <w:rPr>
          <w:lang w:val="el" w:eastAsia="el"/>
        </w:rPr>
      </w:pPr>
      <w:r>
        <w:rPr>
          <w:lang w:val="el" w:eastAsia="el"/>
        </w:rPr>
        <w:t>Το αμάχητο τεκμήριο για τη μεταβίβαση αποπερατωμένου διαμερίσματος, που ορίζεται από τις διατάξεις του άρθρου 2 του νόμου για την επιβολή του φόρου μεταβίβασης ακινήτων, ισχύει και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οι τόκοι υπερημερίας, καθώς και τα παρεπόμενα έξοδα με τα οποία ο προμηθευτής επιβαρύνει τον αγοραστή των αγαθών ή το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στο φόρο που μεσολαβούν στη διάθεση αυτών στο κοινό δεν έχουν τις υποχρεώσεις του νόμου αυτού για τη συγκεκριμένη δραστηριότητα.</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δεκαοκτώ τοις εκατό (18%)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οκτώ τοις εκατό (8%).</w:t>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αυτήν,</w:t>
      </w:r>
    </w:p>
    <w:p>
      <w:pPr>
        <w:spacing w:before="240" w:after="240"/>
        <w:rPr>
          <w:lang w:val="el" w:eastAsia="el"/>
        </w:rPr>
      </w:pPr>
      <w:r>
        <w:rPr>
          <w:lang w:val="el" w:eastAsia="el"/>
        </w:rPr>
        <w:t>Η διάταξη αυτή ισχύει από 25/11/1992 μέχρι την καθιέρωση ειδικού απλοποιημένου καθεστώτος επιβολής και απόδοσης Φ.Π.Α, από τα παραπάνω πρόσωπα. Τυχόν φόρος που καταβλήθηκε στο Δημόσιο κατά το χρονικό αυτό διάστημα δεν επιστρέφεται ούτε συμψηφίζεται,</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εκτός από αυτά που προβλέπουν οι διατάξεις του άρθρου 6,</w:t>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2127/1993 (ΦΕΚ 48 Α΄), εφόσον πρόκειται για προϊόντα του άρθρου 1 του ιδίου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2127/1993</w:t>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Νόμου 2127/1993 (ΦΕΚ 48 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w:t>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εφόσον προορίζονται για την περαιτέρω ενέργεια φορολογητέων πράξεων ή πράξεων απαλλασσομένων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spacing w:before="240" w:after="240"/>
        <w:rPr>
          <w:lang w:val="el" w:eastAsia="el"/>
        </w:rPr>
      </w:pPr>
      <w:r>
        <w:rPr>
          <w:lang w:val="el" w:eastAsia="el"/>
        </w:rPr>
        <w:t>γ)για τις πράξεις που απαλλάσσονται από το φόρο, σύμφωνα με τις διατάξεις των άρθρων 24, 25, 27, 28,</w:t>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και γ΄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και δ΄ της παρ.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w:t>
      </w:r>
    </w:p>
    <w:p>
      <w:pPr>
        <w:spacing w:before="240" w:after="240"/>
        <w:rPr>
          <w:lang w:val="el" w:eastAsia="el"/>
        </w:rPr>
      </w:pPr>
      <w:r>
        <w:rPr>
          <w:lang w:val="el" w:eastAsia="el"/>
        </w:rPr>
        <w:t>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Υπόχρεοι στο φόρο</w:t>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 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p>
    <w:p>
      <w:pPr>
        <w:pStyle w:val="StructureList1"/>
        <w:spacing w:before="120" w:after="0"/>
        <w:rPr>
          <w:lang w:val="el" w:eastAsia="el"/>
        </w:rPr>
      </w:pPr>
      <w:r>
        <w:rPr>
          <w:lang w:val="el" w:eastAsia="el"/>
        </w:rPr>
        <w:t>β)</w:t>
      </w:r>
      <w:r>
        <w:rPr>
          <w:lang w:val="en" w:eastAsia="en"/>
        </w:rPr>
        <w:tab/>
      </w:r>
      <w:r>
        <w:rPr>
          <w:lang w:val="el" w:eastAsia="el"/>
        </w:rPr>
        <w:t>ο αντιπρόσωπος του εγκαταστημένου εκτός του εσωτερικού της χώρας προσώπου,</w:t>
      </w:r>
    </w:p>
    <w:p>
      <w:pPr>
        <w:pStyle w:val="StructureList1"/>
        <w:spacing w:before="120" w:after="0"/>
        <w:rPr>
          <w:lang w:val="el" w:eastAsia="el"/>
        </w:rPr>
      </w:pPr>
      <w:r>
        <w:rPr>
          <w:lang w:val="el" w:eastAsia="el"/>
        </w:rPr>
        <w:t>γ)</w:t>
      </w:r>
      <w:r>
        <w:rPr>
          <w:lang w:val="en" w:eastAsia="en"/>
        </w:rPr>
        <w:tab/>
      </w:r>
      <w:r>
        <w:rPr>
          <w:lang w:val="el" w:eastAsia="el"/>
        </w:rPr>
        <w:t>ο λήπτης των αγαθών και υπηρεσιών, στην περίπτωση κατά την οποία δεν υπάρχει υποχρέωση ορισμού αντιπροσώπου, σύμφωνα με τις διατάξεις της περίπτωσης ε της παραγράφου 4 του άρθρου 36, καθώς και σε κάθε περίπτωση που δεν υπάρχει αντιπρόσωπος.</w:t>
      </w:r>
    </w:p>
    <w:p>
      <w:pPr>
        <w:pStyle w:val="StructureList1"/>
        <w:spacing w:before="120" w:after="0"/>
        <w:rPr>
          <w:lang w:val="el" w:eastAsia="el"/>
        </w:rPr>
      </w:pPr>
      <w:r>
        <w:rPr>
          <w:lang w:val="el" w:eastAsia="el"/>
        </w:rPr>
        <w:t>δ)</w:t>
      </w:r>
      <w:r>
        <w:rPr>
          <w:lang w:val="en" w:eastAsia="en"/>
        </w:rPr>
        <w:tab/>
      </w:r>
      <w:r>
        <w:rPr>
          <w:lang w:val="el" w:eastAsia="el"/>
        </w:rPr>
        <w:t>οποιοδήποτε άλλο πρόσωπο, το οποίο αναγράφει το φόρο στα τιμολόγια που εκδίδει ή σε άλλα εξομοιούμενα με αυτά στοιχεία,</w:t>
      </w:r>
    </w:p>
    <w:p>
      <w:pPr>
        <w:pStyle w:val="StructureList1"/>
        <w:spacing w:before="120" w:after="0"/>
        <w:rPr>
          <w:lang w:val="el" w:eastAsia="el"/>
        </w:rPr>
      </w:pPr>
      <w:r>
        <w:rPr>
          <w:lang w:val="el" w:eastAsia="el"/>
        </w:rPr>
        <w:t>ε)</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p>
    <w:p>
      <w:pPr>
        <w:pStyle w:val="StructureList1"/>
        <w:spacing w:before="120" w:after="0"/>
        <w:rPr>
          <w:lang w:val="el" w:eastAsia="el"/>
        </w:rPr>
      </w:pPr>
      <w:r>
        <w:rPr>
          <w:lang w:val="el" w:eastAsia="el"/>
        </w:rPr>
        <w:t>στ)</w:t>
      </w:r>
      <w:r>
        <w:rPr>
          <w:lang w:val="en" w:eastAsia="en"/>
        </w:rPr>
        <w:tab/>
      </w:r>
      <w:r>
        <w:rPr>
          <w:lang w:val="el" w:eastAsia="el"/>
        </w:rPr>
        <w:t>το πρόσωπο που πραγματοποιεί ενδοκοινοτική απόκτηση αγαθών.</w:t>
      </w:r>
    </w:p>
    <w:p>
      <w:pPr>
        <w:spacing w:before="240" w:after="240"/>
        <w:rPr>
          <w:lang w:val="el" w:eastAsia="el"/>
        </w:rPr>
      </w:pPr>
      <w:r>
        <w:rPr>
          <w:lang w:val="el" w:eastAsia="el"/>
        </w:rPr>
        <w:t>Η αληθής έννοια των διατάξεων της παραγράφου αυτής είναι ότι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p>
    <w:p>
      <w:pPr>
        <w:pStyle w:val="MainText"/>
        <w:spacing w:before="120" w:after="0"/>
        <w:rPr>
          <w:lang w:val="el" w:eastAsia="el"/>
        </w:rPr>
      </w:pPr>
      <w:r>
        <w:rPr>
          <w:b/>
          <w:bCs/>
          <w:lang w:val="el" w:eastAsia="el"/>
        </w:rPr>
        <w:t>2.</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 </w:t>
      </w:r>
    </w:p>
    <w:p>
      <w:pPr>
        <w:pStyle w:val="MainText"/>
        <w:spacing w:before="120" w:after="0"/>
        <w:rPr>
          <w:lang w:val="el" w:eastAsia="el"/>
        </w:rPr>
      </w:pPr>
      <w:r>
        <w:rPr>
          <w:b/>
          <w:bCs/>
          <w:lang w:val="el" w:eastAsia="el"/>
        </w:rPr>
        <w:t>3.</w:t>
      </w:r>
      <w:r>
        <w:rPr>
          <w:lang w:val="el" w:eastAsia="el"/>
        </w:rPr>
        <w:t xml:space="preserve"> Με αποφάσεις του Υπ. Οικονομικών ορίζεται ο τρόπος καταβολής του φόρου στις περιπτώσεις που υπόχρεος είναι ο λήπτης υποκείμενος ή μη στο φόρο.</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w:t>
      </w:r>
    </w:p>
    <w:p>
      <w:pPr>
        <w:spacing w:before="240" w:after="240"/>
        <w:rPr>
          <w:lang w:val="el" w:eastAsia="el"/>
        </w:rPr>
      </w:pPr>
      <w:r>
        <w:rPr>
          <w:lang w:val="el" w:eastAsia="el"/>
        </w:rPr>
        <w:t>Η δήλωση αυτή υποβάλλεται εντός δέκα (10) ημερών από το χρόνο που έγιναν οι μεταβολές αυτές,</w:t>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Οικονομικών καθορίζεται το χρονικό διάστημα εργασιών ίδρυσης επιχείρησης.</w:t>
      </w:r>
    </w:p>
    <w:p>
      <w:pPr>
        <w:pStyle w:val="MainText"/>
        <w:spacing w:before="120" w:after="0"/>
        <w:rPr>
          <w:lang w:val="el" w:eastAsia="el"/>
        </w:rPr>
      </w:pPr>
      <w:r>
        <w:rPr>
          <w:b/>
          <w:bCs/>
          <w:lang w:val="el" w:eastAsia="el"/>
        </w:rPr>
        <w:t>3.</w:t>
      </w:r>
      <w:r>
        <w:rPr>
          <w:lang w:val="el" w:eastAsia="el"/>
        </w:rPr>
        <w:t xml:space="preserve"> Τις υποχρεώσεις της παραγράφου 1 έχουν ανεξάρτητα αν είναι υποκείμενα στο φόρο και τα αλλοδαπά νομικά πρόσωπα, τα οποία:</w:t>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 δήλωση, όταν ενεργεί πράξεις που προβλέπουν οι διατάξεις του άρθρου 6, για τις οποίες απαιτείται η σύνταξη συμβολαιογραφικού εγγράφου και να καταβάλλει το φόρο που αναλογεί. Η δήλωση αυτή υποβάλλεται πριν από τη σύνταξη του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να ορίζει αντιπρόσωπο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Ο ορισμός του αντιπροσώπου γίνεται με την κατάθεση αντιγράφου του σχετικού πληρεξούσιου εγγράφου στον Προϊστάμενο ΔΟΥ, που είναι αρμόδιος για τη φορολογία εισοδήματος του αντιπροσώπου.</w:t>
      </w:r>
    </w:p>
    <w:p>
      <w:pPr>
        <w:spacing w:before="240" w:after="240"/>
        <w:rPr>
          <w:lang w:val="el" w:eastAsia="el"/>
        </w:rPr>
      </w:pPr>
      <w:r>
        <w:rPr>
          <w:lang w:val="el" w:eastAsia="el"/>
        </w:rPr>
        <w:t>Το αντίγραφο αυτό πρέπει να είναι θεωρημένο από την ελληνική προξενική αρχή του τόπου, όπου είναι εγκατεστημένος ο υποκείμενος στο φόρο,</w:t>
      </w:r>
    </w:p>
    <w:p>
      <w:pPr>
        <w:pStyle w:val="StructureList1"/>
        <w:spacing w:before="120" w:after="0"/>
        <w:rPr>
          <w:lang w:val="el" w:eastAsia="el"/>
        </w:rPr>
      </w:pPr>
      <w:r>
        <w:rPr>
          <w:lang w:val="el" w:eastAsia="el"/>
        </w:rPr>
        <w:t>ε)</w:t>
      </w:r>
      <w:r>
        <w:rPr>
          <w:lang w:val="en" w:eastAsia="en"/>
        </w:rPr>
        <w:tab/>
      </w:r>
      <w:r>
        <w:rPr>
          <w:lang w:val="el" w:eastAsia="el"/>
        </w:rPr>
        <w:t>Δεν υπάρχει υποχρέωση ορισμού αντιπροσώπου, εφόσον συντρέχουν σωρευτικά οι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πραγματοποιείται παράδοση αγαθών στο εσωτερικό της χώρας, κατά την έννοια των διατάξεων της παρ. 3 του άρθρου 15,</w:t>
      </w:r>
    </w:p>
    <w:p>
      <w:pPr>
        <w:pStyle w:val="StructureList1"/>
        <w:spacing w:before="120" w:after="0"/>
        <w:rPr>
          <w:lang w:val="el" w:eastAsia="el"/>
        </w:rPr>
      </w:pPr>
      <w:r>
        <w:rPr>
          <w:lang w:val="el" w:eastAsia="el"/>
        </w:rPr>
        <w:t>ββ)</w:t>
      </w:r>
      <w:r>
        <w:rPr>
          <w:lang w:val="en" w:eastAsia="en"/>
        </w:rPr>
        <w:tab/>
      </w:r>
      <w:r>
        <w:rPr>
          <w:lang w:val="el" w:eastAsia="el"/>
        </w:rPr>
        <w:t>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p>
    <w:p>
      <w:pPr>
        <w:spacing w:before="240" w:after="240"/>
        <w:rPr>
          <w:lang w:val="el" w:eastAsia="el"/>
        </w:rPr>
      </w:pPr>
      <w:r>
        <w:rPr>
          <w:lang w:val="el" w:eastAsia="el"/>
        </w:rPr>
        <w:t>Επίσης, δεν υπάρχει υποχρέωση ορισμού αντιπροσώπου στην περίπτωση παροχής υπηρεσιών της παραγράφου 3 του άρθρου 14. εκτός αν ο παρέχων τις υπηρεσίες αυτές δεν είναι εγκατεστημένος σε κράτος-μέλος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14, καθώς και στην ενδοκοινοτική μεταφορά αγαθών και στις υπηρεσίες διαμεσολάβησης κατά τις διατάξεις της περίπτωσης γ΄ της παραγράφου 2 του άρθρου 14. όταν ο παρέχων τις υπηρεσίες αυτές δεν είναι εγκατεστημένος σε κράτος -μέλος της Κοινότητας και ο λήπτης είναι υποκείμενος στο φόρο εγκατεστημένος σε κράτος - μέλος της Κοινότητας,</w:t>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φορολογική περίοδο,</w:t>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Τα νομικά πρόσωπα που δεν υπόκεινται στο φόρο και οι αγρότες του ειδικού καθεστώτος του άρθρου 41, εφόσον διενεργούν ενδοκοινοτικές αποκτήσεις αγαθών, οι ο</w:t>
      </w:r>
      <w:r>
        <w:rPr>
          <w:lang w:val="el" w:eastAsia="el"/>
        </w:rPr>
        <w:softHyphen/>
        <w:t>ποίες δεν καλύπτονται από την παρέκκλιση της παραγράφου 2 του άρθρου 11 υποχρεούνται:</w:t>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αντιπρόσωπος του εγκαταστημένου εκτός του εσωτερικού της χώρας υποκείμενου στο φόρο,</w:t>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ως εξής:</w:t>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ή πραγματοποιούν πράξεις των άρθρων 11, 12 και 28.</w:t>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pStyle w:val="StructureList1"/>
        <w:spacing w:before="120" w:after="0"/>
        <w:rPr>
          <w:lang w:val="el" w:eastAsia="el"/>
        </w:rPr>
      </w:pPr>
      <w:r>
        <w:rPr>
          <w:lang w:val="el" w:eastAsia="el"/>
        </w:rPr>
        <w:t>ββ)</w:t>
      </w:r>
      <w:r>
        <w:rPr>
          <w:lang w:val="en" w:eastAsia="en"/>
        </w:rPr>
        <w:tab/>
      </w:r>
      <w:r>
        <w:rPr>
          <w:lang w:val="el" w:eastAsia="el"/>
        </w:rPr>
        <w:t>κάθε ημερολογιακό δίμηνο και μέχρι την 20ή ημέρα του μήνα που ακολουθεί το δίμηνο, εφόσον τηρούν βιβλία δεύτερης κατηγορίας του Κ.Β.Σ.,</w:t>
      </w:r>
    </w:p>
    <w:p>
      <w:pPr>
        <w:pStyle w:val="StructureList1"/>
        <w:spacing w:before="120" w:after="0"/>
        <w:rPr>
          <w:lang w:val="el" w:eastAsia="el"/>
        </w:rPr>
      </w:pPr>
      <w:r>
        <w:rPr>
          <w:lang w:val="el" w:eastAsia="el"/>
        </w:rPr>
        <w:t>γγ)</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κατηγορίας του Κώδικα Βιβλίων και Στοιχείων ή δεν τηρούν βιβλία.</w:t>
      </w:r>
    </w:p>
    <w:p>
      <w:pPr>
        <w:spacing w:before="240" w:after="240"/>
        <w:rPr>
          <w:lang w:val="el" w:eastAsia="el"/>
        </w:rPr>
      </w:pPr>
      <w:r>
        <w:rPr>
          <w:lang w:val="el" w:eastAsia="el"/>
        </w:rPr>
        <w:t>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Περιοδική δήλωση δεν υποβάλλουν οι επιχειρήσεις που δηλώνουν ότι βρίσκονται σε αδράνεια ή αναστολή εργασιών, εφόσον υποβάλλουν την αναφερόμενη στην περίπτωση β΄ της παραγράφου 1 του άρθρου 36, δήλωση μεταβολών και ακυρώσουν όλα τα φορολογικά στοιχεία.</w:t>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w:t>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κάθε μήνα και μέχρι την 25η του επόμενου μήνα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το πρώτο δεκαήμερο του πρώτου μήνα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μέχρι τις 10 Ιανουαρίου κάθε έτους και δεν μπορεί να ανακληθεί πριν από την παρέλευση πενταετίας. </w:t>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οικονομικό έφορο το πρώτο δεκαήμερο του πρώτου μήνα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4, καθώς και στις ειδικές περιπτώσεις απαιτητού του φόρου, σύμφωνα μετά οριζόμενα στο άρθρο 5 του Ν. 2127/1993 , όπως ισχύει. Ο φόρος καταβάλλεται μαζί με τον ειδικό φόρο κατανάλωσης των βιομηχανοποιημένων καπνών, από τα υπόχρεα πρόσωπα του άρθρου 46 του Ν. 2127/1993 και σύμφωνα με τις διατάξεις των άρθρων 49 και 60 του ίδιου νόμου. </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37 και 38. </w:t>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50 του Νόμου 2127/1993 παρέχεται σας ενδιαφερόμενες επιχειρήσεις δικαίωμα συμψηφισμού του φόρου του παρόντος νόμου. Ο φόρος επιστρέφεται μόνον εφόσον είναι αδύνατος ο συμψηφισμός του. </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μέχρι 10 Ιανουαρίου κάθε έτους.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 για τις πωλήσεις επενδυτικού χρυσού ή βιομηχανικού χρυσού, αναγράφονται, εκτός των άλλων, το ονοματεπώνυμο και η διεύθυνση του αγοραστή, η ποσότητα και το είδος του βιομηχανικού ή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p>
    <w:p>
      <w:pPr>
        <w:spacing w:before="240" w:after="240"/>
        <w:rPr>
          <w:lang w:val="el" w:eastAsia="el"/>
        </w:rPr>
      </w:pPr>
      <w:r>
        <w:rPr>
          <w:lang w:val="el" w:eastAsia="el"/>
        </w:rPr>
        <w:t>Οι διατάξεις της παραγράφου αυτής ισχύουν από 1.8.2000.</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w:t>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 xml:space="preserve">λογικές περιόδους ή και για ολόκληρη διαχειριστική περίοδο. </w:t>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30% (τριάντα στα εκατό) του αμφισβητούμενου κύριου φόρου και του πρόσθετου φόρου. </w:t>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 Οικονομικών μπορεί να ορίζεται ότι η καταβολή του οφειλόμενου φόρου γίνεται και χωρίς την υποβολή περιοδικών δηλώσεων.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Μετά την πάροδο της πενταετίας παραγράφεται το δικαίωμα του Δημοσίου για την επιβολή του φόρου. </w:t>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αριθ.717/91, για την εξαγωγή των αγαθών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Ιανουαρίου 2003.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 φόρος αυτός καταβάλλεται πριν από την έκδοση της οικοδομικής άδειας.</w:t>
      </w:r>
    </w:p>
    <w:p>
      <w:pPr>
        <w:spacing w:before="240" w:after="240"/>
        <w:rPr>
          <w:lang w:val="el" w:eastAsia="el"/>
        </w:rPr>
      </w:pPr>
      <w:r>
        <w:rPr>
          <w:lang w:val="el" w:eastAsia="el"/>
        </w:rPr>
        <w:t>Στην πιο πάνω περίπτωση παρέχεται στον υποκείμενο στο φόρο το δικαίωμα να εκπέσει το τέλος χαρτοσήμου που καταβλήθηκε κατά τη σύνταξη του εργολαβικού προσυμφώνου, από το φόρο που αναλογεί στην αξία των κτισμάτων της αντιπαροχής, όπως αυτή προσδιορίζεται από τις διατάξεις της περίπτωσης δ΄ της παραγράφου 2 του άρθρου 19 του παρόντος.</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2954/2001,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6" w:history="1">
        <w:r>
          <w:rPr>
            <w:rStyle w:val="Hyperlink"/>
            <w:color w:val="0000EE"/>
            <w:u w:color="0000EE"/>
            <w:lang w:val="el" w:eastAsia="el"/>
          </w:rPr>
          <w:t>Τροποποίηση 2948/2001, Άρθρο 16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6" w:history="1">
        <w:r>
          <w:rPr>
            <w:rStyle w:val="Hyperlink"/>
            <w:color w:val="0000EE"/>
            <w:u w:color="0000EE"/>
            <w:lang w:val="el" w:eastAsia="el"/>
          </w:rPr>
          <w:t>Τροποποίηση 2948/2001, Άρθρο 16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2948/2001, Άρθρο 16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6" w:history="1">
        <w:r>
          <w:rPr>
            <w:rStyle w:val="Hyperlink"/>
            <w:color w:val="0000EE"/>
            <w:u w:color="0000EE"/>
            <w:lang w:val="el" w:eastAsia="el"/>
          </w:rPr>
          <w:t>Τροποποίηση 2948/2001, Άρθρο 16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6" w:history="1">
        <w:r>
          <w:rPr>
            <w:rStyle w:val="Hyperlink"/>
            <w:color w:val="0000EE"/>
            <w:u w:color="0000EE"/>
            <w:lang w:val="el" w:eastAsia="el"/>
          </w:rPr>
          <w:t>Τροποποίηση 2948/2001, Άρθρο 16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6" w:history="1">
        <w:r>
          <w:rPr>
            <w:rStyle w:val="Hyperlink"/>
            <w:color w:val="0000EE"/>
            <w:u w:color="0000EE"/>
            <w:lang w:val="el" w:eastAsia="el"/>
          </w:rPr>
          <w:t>Τροποποίηση 2948/2001, Άρθρο 16</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6" w:history="1">
        <w:r>
          <w:rPr>
            <w:rStyle w:val="Hyperlink"/>
            <w:color w:val="0000EE"/>
            <w:u w:color="0000EE"/>
            <w:lang w:val="el" w:eastAsia="el"/>
          </w:rPr>
          <w:t>Τροποποίηση 2948/2001, Άρθρο 16</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4" w:history="1">
        <w:r>
          <w:rPr>
            <w:rStyle w:val="Hyperlink"/>
            <w:color w:val="0000EE"/>
            <w:u w:color="0000EE"/>
            <w:lang w:val="el" w:eastAsia="el"/>
          </w:rPr>
          <w:t>Τροποποίηση 2873/2000, Άρθρο 24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9" w:history="1">
        <w:r>
          <w:rPr>
            <w:rStyle w:val="Hyperlink"/>
            <w:color w:val="0000EE"/>
            <w:u w:color="0000EE"/>
            <w:lang w:val="el" w:eastAsia="el"/>
          </w:rPr>
          <w:t>Τροποποίηση 2954/2001, Άρθρο 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6" w:history="1">
        <w:r>
          <w:rPr>
            <w:rStyle w:val="Hyperlink"/>
            <w:color w:val="0000EE"/>
            <w:u w:color="0000EE"/>
            <w:lang w:val="el" w:eastAsia="el"/>
          </w:rPr>
          <w:t>Αφαίρεση 2948/2001, Άρθρο 16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4" w:history="1">
        <w:r>
          <w:rPr>
            <w:rStyle w:val="Hyperlink"/>
            <w:color w:val="0000EE"/>
            <w:u w:color="0000EE"/>
            <w:lang w:val="el" w:eastAsia="el"/>
          </w:rPr>
          <w:t>Τροποποίηση 2873/2000, Άρθρο 24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6" w:history="1">
        <w:r>
          <w:rPr>
            <w:rStyle w:val="Hyperlink"/>
            <w:color w:val="0000EE"/>
            <w:u w:color="0000EE"/>
            <w:lang w:val="el" w:eastAsia="el"/>
          </w:rPr>
          <w:t>Τροποποίηση 2948/2001, Άρθρο 16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9" w:history="1">
        <w:r>
          <w:rPr>
            <w:rStyle w:val="Hyperlink"/>
            <w:color w:val="0000EE"/>
            <w:u w:color="0000EE"/>
            <w:lang w:val="el" w:eastAsia="el"/>
          </w:rPr>
          <w:t>Τροποποίηση 2954/2001, Άρθρο 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9" w:history="1">
        <w:r>
          <w:rPr>
            <w:rStyle w:val="Hyperlink"/>
            <w:color w:val="0000EE"/>
            <w:u w:color="0000EE"/>
            <w:lang w:val="el" w:eastAsia="el"/>
          </w:rPr>
          <w:t>Τροποποίηση 2954/2001, Άρθρο 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6" w:history="1">
        <w:r>
          <w:rPr>
            <w:rStyle w:val="Hyperlink"/>
            <w:color w:val="0000EE"/>
            <w:u w:color="0000EE"/>
            <w:lang w:val="el" w:eastAsia="el"/>
          </w:rPr>
          <w:t>Τροποποίηση 2948/2001, Άρθρο 16</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6" w:history="1">
        <w:r>
          <w:rPr>
            <w:rStyle w:val="Hyperlink"/>
            <w:color w:val="0000EE"/>
            <w:u w:color="0000EE"/>
            <w:lang w:val="el" w:eastAsia="el"/>
          </w:rPr>
          <w:t>Τροποποίηση 2948/2001, Άρθρο 16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6" w:history="1">
        <w:r>
          <w:rPr>
            <w:rStyle w:val="Hyperlink"/>
            <w:color w:val="0000EE"/>
            <w:u w:color="0000EE"/>
            <w:lang w:val="el" w:eastAsia="el"/>
          </w:rPr>
          <w:t>Τροποποίηση 2948/2001,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 w:history="1">
        <w:r>
          <w:rPr>
            <w:rStyle w:val="Hyperlink"/>
            <w:color w:val="0000EE"/>
            <w:u w:color="0000EE"/>
            <w:lang w:val="el" w:eastAsia="el"/>
          </w:rPr>
          <w:t>Τροποποίηση 2954/2001, Άρθρο 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9" w:history="1">
        <w:r>
          <w:rPr>
            <w:rStyle w:val="Hyperlink"/>
            <w:color w:val="0000EE"/>
            <w:u w:color="0000EE"/>
            <w:lang w:val="el" w:eastAsia="el"/>
          </w:rPr>
          <w:t>Τροποποίηση 2954/2001, Άρθρο 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6" w:history="1">
        <w:r>
          <w:rPr>
            <w:rStyle w:val="Hyperlink"/>
            <w:color w:val="0000EE"/>
            <w:u w:color="0000EE"/>
            <w:lang w:val="el" w:eastAsia="el"/>
          </w:rPr>
          <w:t>Τροποποίηση 2948/2001, Άρθρο 16</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6" w:history="1">
        <w:r>
          <w:rPr>
            <w:rStyle w:val="Hyperlink"/>
            <w:color w:val="0000EE"/>
            <w:u w:color="0000EE"/>
            <w:lang w:val="el" w:eastAsia="el"/>
          </w:rPr>
          <w:t>Τροποποίηση 2948/2001, Άρθρο 16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 w:history="1">
        <w:r>
          <w:rPr>
            <w:rStyle w:val="Hyperlink"/>
            <w:color w:val="0000EE"/>
            <w:u w:color="0000EE"/>
            <w:lang w:val="el" w:eastAsia="el"/>
          </w:rPr>
          <w:t>Τροποποίηση 2954/2001, Άρθρο 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4" w:history="1">
        <w:r>
          <w:rPr>
            <w:rStyle w:val="Hyperlink"/>
            <w:color w:val="0000EE"/>
            <w:u w:color="0000EE"/>
            <w:lang w:val="el" w:eastAsia="el"/>
          </w:rPr>
          <w:t>Προσθήκη 2873/2000, Άρθρο 24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1/11/02/2954" TargetMode="External" /><Relationship Id="rId10" Type="http://schemas.openxmlformats.org/officeDocument/2006/relationships/hyperlink" Target="http://data.aade.gr/eli/pri/law/2001/11/02/2954" TargetMode="External" /><Relationship Id="rId11" Type="http://schemas.openxmlformats.org/officeDocument/2006/relationships/hyperlink" Target="http://data.aade.gr/eli/pri/law/2001/10/19/2948" TargetMode="External" /><Relationship Id="rId12" Type="http://schemas.openxmlformats.org/officeDocument/2006/relationships/hyperlink" Target="http://data.aade.gr/eli/pri/law/2000/12/28/2873" TargetMode="External" /><Relationship Id="rId13" Type="http://schemas.openxmlformats.org/officeDocument/2006/relationships/hyperlink" Target="http://data.aade.gr/eli/pri/law/2001/10/19/2948" TargetMode="External" /><Relationship Id="rId14" Type="http://schemas.openxmlformats.org/officeDocument/2006/relationships/hyperlink" Target="http://data.aade.gr/eli/pri/law/2001/10/19/2948" TargetMode="External" /><Relationship Id="rId15" Type="http://schemas.openxmlformats.org/officeDocument/2006/relationships/hyperlink" Target="http://data.aade.gr/eli/pri/law/2001/11/02/2954" TargetMode="External" /><Relationship Id="rId16" Type="http://schemas.openxmlformats.org/officeDocument/2006/relationships/hyperlink" Target="http://data.aade.gr/eli/pri/law/2001/11/02/2954" TargetMode="External" /><Relationship Id="rId17" Type="http://schemas.openxmlformats.org/officeDocument/2006/relationships/hyperlink" Target="http://data.aade.gr/eli/pri/law/2001/10/19/2948" TargetMode="External" /><Relationship Id="rId18" Type="http://schemas.openxmlformats.org/officeDocument/2006/relationships/hyperlink" Target="http://data.aade.gr/eli/pri/law/2001/10/19/2948" TargetMode="External" /><Relationship Id="rId19" Type="http://schemas.openxmlformats.org/officeDocument/2006/relationships/hyperlink" Target="http://data.aade.gr/eli/pri/law/2001/10/19/2948" TargetMode="External" /><Relationship Id="rId2" Type="http://schemas.openxmlformats.org/officeDocument/2006/relationships/hyperlink" Target="http://data.aade.gr/eli/pri/law/2001/10/19/2948" TargetMode="External" /><Relationship Id="rId20" Type="http://schemas.openxmlformats.org/officeDocument/2006/relationships/hyperlink" Target="http://data.aade.gr/eli/pri/law/2001/10/19/2948" TargetMode="External" /><Relationship Id="rId21" Type="http://schemas.openxmlformats.org/officeDocument/2006/relationships/hyperlink" Target="http://data.aade.gr/eli/pri/law/2001/10/19/2948" TargetMode="External" /><Relationship Id="rId22" Type="http://schemas.openxmlformats.org/officeDocument/2006/relationships/hyperlink" Target="http://data.aade.gr/eli/pri/law/2001/11/02/2954" TargetMode="External" /><Relationship Id="rId23" Type="http://schemas.openxmlformats.org/officeDocument/2006/relationships/hyperlink" Target="http://data.aade.gr/eli/pri/law/2001/11/02/2954" TargetMode="External" /><Relationship Id="rId24" Type="http://schemas.openxmlformats.org/officeDocument/2006/relationships/hyperlink" Target="http://data.aade.gr/eli/pri/law/2001/10/19/2948" TargetMode="External" /><Relationship Id="rId25" Type="http://schemas.openxmlformats.org/officeDocument/2006/relationships/hyperlink" Target="http://data.aade.gr/eli/pri/law/2001/10/19/2948" TargetMode="External" /><Relationship Id="rId26" Type="http://schemas.openxmlformats.org/officeDocument/2006/relationships/hyperlink" Target="http://data.aade.gr/eli/pri/law/2001/11/02/2954"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2000/12/28/2873" TargetMode="External" /><Relationship Id="rId3" Type="http://schemas.openxmlformats.org/officeDocument/2006/relationships/hyperlink" Target="http://data.aade.gr/eli/pri/law/2001/10/19/2948" TargetMode="External" /><Relationship Id="rId4" Type="http://schemas.openxmlformats.org/officeDocument/2006/relationships/hyperlink" Target="http://data.aade.gr/eli/pri/law/2001/10/19/2948" TargetMode="External" /><Relationship Id="rId5" Type="http://schemas.openxmlformats.org/officeDocument/2006/relationships/hyperlink" Target="http://data.aade.gr/eli/pri/law/2001/10/19/2948" TargetMode="External" /><Relationship Id="rId6" Type="http://schemas.openxmlformats.org/officeDocument/2006/relationships/hyperlink" Target="http://data.aade.gr/eli/pri/law/2001/10/19/2948" TargetMode="External" /><Relationship Id="rId7" Type="http://schemas.openxmlformats.org/officeDocument/2006/relationships/hyperlink" Target="http://data.aade.gr/eli/pri/law/2001/10/19/2948" TargetMode="External" /><Relationship Id="rId8" Type="http://schemas.openxmlformats.org/officeDocument/2006/relationships/hyperlink" Target="http://data.aade.gr/eli/pri/law/2001/10/19/2948" TargetMode="External" /><Relationship Id="rId9" Type="http://schemas.openxmlformats.org/officeDocument/2006/relationships/hyperlink" Target="http://data.aade.gr/eli/pri/law/2000/12/28/28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