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Κώδικας Φόρου Προστιθέμενης Αξίας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(Φ.Π.Α.) σύμφωνα με τις διατάξεις του παρόντος νόμου.</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 φόρο, ο οποίος ενεργεί με αυτή την ιδιότητα ή από μη υποκείμενο στο φόρο νομικό πρόσωπο, όταν ο πωλητής είναι υποκείμενος στο φόρο εγκαταστημένος σε άλλο κράτος μέλος, ενεργεί με αυτή την ιδιότητα και δεν απαλλάσσεται από το φόρο λόγω ύψους πραγματοποιηθέντος ετήσιου κύκλου εργασιών, σύμφωνα με τη νομοθεσία της χώρας του, ούτε υπάγεται στις διατάξεις των παραγράφων 2, 3 και 5 του άρθρου 13. Ειδικά, η ενδοκοινοτική απόκτηση καινούργιων μεταφορικών μέσων υπάγεται στο φόρο, ανεξάρτητα από την ιδιότητα του εγκαταστημένου στο εσωτερικό της χώρας προσώπου.</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ειδικό φόρο κατανάλωσης, που πραγματοποιείται από υποκείμενο στο φόρο ή από μη υποκείμενο στο φόρο νομικό πρόσωπο, εφόσον τα πρόσωπα αυτά εμπίπτουν στις διατάξεις της παραγράφου 2 του άρθρου 11.</w:t>
      </w:r>
    </w:p>
    <w:p>
      <w:pPr>
        <w:pStyle w:val="MainText"/>
        <w:spacing w:before="120" w:after="0"/>
        <w:rPr>
          <w:lang w:val="el" w:eastAsia="el"/>
        </w:rPr>
      </w:pPr>
      <w:r>
        <w:rPr>
          <w:b/>
          <w:bCs/>
          <w:lang w:val="el" w:eastAsia="el"/>
        </w:rPr>
        <w:t>2.</w:t>
      </w:r>
      <w:r>
        <w:rPr>
          <w:lang w:val="el" w:eastAsia="el"/>
        </w:rPr>
        <w:t xml:space="preserve"> 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Κοινότητας" και ως "τρίτο έδαφος", όπως αυτά καθορίζονται στο Παράρτημα II του παρόντος.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νομικό ή φυσικό πρόσωπο, ημεδαπό ή αλλοδαπό ή ένωση προσώπων,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 μέλος.</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τους όρους εργασίας ή την αμοιβή και συνεπάγεται την ευθύνη του εργοδότη.</w:t>
      </w:r>
    </w:p>
    <w:p>
      <w:pPr>
        <w:pStyle w:val="StructureList1"/>
        <w:spacing w:before="120" w:after="0"/>
        <w:rPr>
          <w:lang w:val="el" w:eastAsia="el"/>
        </w:rPr>
      </w:pPr>
      <w:r>
        <w:rPr>
          <w:lang w:val="el" w:eastAsia="el"/>
        </w:rPr>
        <w:t>γ)</w:t>
      </w:r>
      <w:r>
        <w:rPr>
          <w:lang w:val="en" w:eastAsia="en"/>
        </w:rPr>
        <w:tab/>
      </w:r>
      <w:r>
        <w:rPr>
          <w:lang w:val="el" w:eastAsia="el"/>
        </w:rPr>
        <w:t>κάθε πρόσωπο, το οποίο πραγματοποιεί ευκαιριακά πράξεις του άρθρου 6, εφόσον με δήλωσή του ενταχθεί στο κανονικό καθεστώς Φ.Π.Α.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η κοινοπραξία που κατασκευάζει ακίνητο με το σύστημα της αντιπαροχής, καθώς και η κοινωνία που κατασκευάζει ακίνητο σε οικόπεδο ή αγροτεμάχιο που ανήκει στα μέλη της, για τις παραδόσεις και αυτοπαραδόσεις που διενεργούνται από τα μέλη τους, σύμφωνα με τα άρθρα 6 και 7.</w:t>
      </w:r>
    </w:p>
    <w:p>
      <w:pPr>
        <w:spacing w:before="240" w:after="240"/>
        <w:rPr>
          <w:lang w:val="el" w:eastAsia="el"/>
        </w:rPr>
      </w:pPr>
      <w:r>
        <w:rPr>
          <w:lang w:val="el" w:eastAsia="el"/>
        </w:rPr>
        <w:t xml:space="preserve">Οι εσωτερικές πράξεις που διενεργούνται μεταξύ της εταιρείας ειδικού σκοπού διαχείρισης οικογενειακής περιουσίας του </w:t>
      </w:r>
      <w:hyperlink r:id="rId5" w:history="1">
        <w:r>
          <w:rPr>
            <w:rStyle w:val="Hyperlink"/>
            <w:color w:val="0000EE"/>
            <w:u w:color="0000EE"/>
            <w:lang w:val="el" w:eastAsia="el"/>
          </w:rPr>
          <w:t>άρθρου 71Η</w:t>
        </w:r>
      </w:hyperlink>
      <w:r>
        <w:rPr>
          <w:lang w:val="el" w:eastAsia="el"/>
        </w:rPr>
        <w:t xml:space="preserve"> του ν. </w:t>
      </w:r>
      <w:hyperlink r:id="rId6" w:history="1">
        <w:r>
          <w:rPr>
            <w:rStyle w:val="Hyperlink"/>
            <w:color w:val="0000EE"/>
            <w:u w:color="0000EE"/>
            <w:lang w:val="el" w:eastAsia="el"/>
          </w:rPr>
          <w:t>4172/2013</w:t>
        </w:r>
      </w:hyperlink>
      <w:r>
        <w:rPr>
          <w:lang w:val="el" w:eastAsia="el"/>
        </w:rPr>
        <w:t xml:space="preserve"> (</w:t>
      </w:r>
      <w:hyperlink r:id="rId7" w:history="1">
        <w:r>
          <w:rPr>
            <w:rStyle w:val="Hyperlink"/>
            <w:color w:val="0000EE"/>
            <w:u w:color="0000EE"/>
            <w:lang w:val="el" w:eastAsia="el"/>
          </w:rPr>
          <w:t>Α` 167</w:t>
        </w:r>
      </w:hyperlink>
      <w:r>
        <w:rPr>
          <w:lang w:val="el" w:eastAsia="el"/>
        </w:rPr>
        <w:t>) και των προσώπων που συμμετέχουν σε αυτή, αποτελούν πράξεις που διενεργούνται εντός ενιαίας οντότητας και εκτός του πεδίου εφαρμογής του Φ.Π.Α.</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Το ελληνικό Δημόσιο, οι δήμοι, οι κοινότητες και τα άλλα νομικά πρόσωπα δημοσίου δικαίου δε θεωρούνται υποκείμενοι στο φόρο για τις πράξεις παράδοσης αγαθών και παροχής υπηρεσιών που ενεργούν κατά την εκπλήρωση της αποστολής τους, ακόμη και αν εισπράττουν δικαιώματα, τέλη ή εισφορές. Εν τούτοις τα πρόσωπα αυτά θεωρούνται ως υποκείμενοι στο φόρο κατά το μέτρο που η μη υπαγωγή στο φόρο των δραστηριοτήτων τους οδηγεί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 φόρο, εφόσον ασκούν τις δραστηριότητες που απαριθμούνται στο παράρτημα Ι του παρόντος νόμου, εκτός αν αυτές είναι ασήμαντες.</w:t>
      </w:r>
    </w:p>
    <w:p>
      <w:pPr>
        <w:pStyle w:val="MainText"/>
        <w:spacing w:before="120" w:after="0"/>
        <w:rPr>
          <w:lang w:val="el" w:eastAsia="el"/>
        </w:rPr>
      </w:pPr>
      <w:r>
        <w:rPr>
          <w:b/>
          <w:bCs/>
          <w:lang w:val="el" w:eastAsia="el"/>
        </w:rPr>
        <w:t>3.</w:t>
      </w:r>
      <w:r>
        <w:rPr>
          <w:lang w:val="el" w:eastAsia="el"/>
        </w:rPr>
        <w:t xml:space="preserve"> Η αληθής έννοια της παραγράφου 2 είναι ότι, τα πρόσωπα που αναφέρονται στις διατάξεις της παραγράφου αυτής, εξαιρούνται μόνο για τις πράξεις που ενεργούν ως δημόσια εξουσία.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pStyle w:val="MainText"/>
        <w:spacing w:before="120" w:after="0"/>
        <w:rPr>
          <w:lang w:val="el" w:eastAsia="el"/>
        </w:rPr>
      </w:pPr>
      <w:r>
        <w:rPr>
          <w:b/>
          <w:bCs/>
          <w:lang w:val="el" w:eastAsia="el"/>
        </w:rPr>
        <w:t>1.</w:t>
      </w:r>
      <w:r>
        <w:rPr>
          <w:lang w:val="el" w:eastAsia="el"/>
        </w:rPr>
        <w:t xml:space="preserve"> Οικονομική δραστηριότητα, κατά την έννοια της διάταξης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αυλού αγαθού με σκοπό την απόκτηση από αυτό εσόδων.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Οικονομική δραστηριότητα ασκεί η κοινωνία επί ακινήτου που κατασκευάζει οικοδομή προς πώληση στο κοινόκτητο οικόπεδο ή αγροτεμάχιο εφόσον: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οι κοινωνοί διενεργούν κατ` επάγγελμα κατασκευή οικοδομών προς πώληση,</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κάποιος ή κάποιοι εκ των κοινωνών διενεργούν κατ` επάγγελμα κατασκευή οικοδομών προς πώληση ενώ κάποιος ή κάποιοι δεν διενεργούν τέτοιες πράξεις κατά συνήθη δραστηριότητα,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όλοι ή κάποιοι εκ των κοινωνών διενεργούν κατά συνήθη δραστηριότητα κατασκευή οικοδομών προς πώληση έστω και εάν δεν έχουν υποβάλει δήλωση έναρξης ή μεταβολών σύμφωνα με το άρθρο 36 για τη δραστηριότητα τους αυτή.</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Τα αναφερόμενα στις παραπάνω περιπτώσεις β` και γ` δεν έχουν εφαρμογή εφόσον οι κοινωνοί, οι οποίοι δεν διενεργούν κατ` επάγγελμα ή κατά συνήθη δραστηριότητα κατασκευή οικοδομών προς πώληση, απέκτησαν με οποιονδήποτε τρόπο το εμπράγματο δικαίωμα τους πριν την 1.1.2006, ή στις περιπτώσεις που αυτό αποκτάται 1.1.2006 και μετά εφόσον προέρχεται από κληρονομιά ή γονική παροχή.</w:t>
      </w:r>
      <w:r>
        <w:rPr>
          <w:rStyle w:val="Hyperlink"/>
          <w:color w:val="000000"/>
          <w:sz w:val="20"/>
          <w:szCs w:val="20"/>
          <w:u w:val="none" w:color="0000EE"/>
          <w:vertAlign w:val="superscript"/>
          <w:lang w:val="el" w:eastAsia="el"/>
        </w:rPr>
        <w:footnoteReference w:id="1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των διατάξεων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6 εξομοιώνονται με ενσώματα αγαθά η ηλεκτρική ενέργεια, το αέριο, η θερμότητα ή το ψύχος και παρόμοια αγαθά.</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πωλητής ή αγοραστής ως προς τον παραγγελέα. </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 Η διάταξη αυτή δεν έχει εφαρμογή,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5α </w:t>
      </w:r>
    </w:p>
    <w:p>
      <w:pPr>
        <w:pStyle w:val="Heading6"/>
        <w:spacing w:before="240" w:after="240"/>
        <w:rPr>
          <w:lang w:val="el" w:eastAsia="el"/>
        </w:rPr>
      </w:pPr>
      <w:r>
        <w:rPr>
          <w:b/>
          <w:bCs/>
          <w:lang w:val="el" w:eastAsia="el"/>
        </w:rPr>
        <w:t>Ενδοκοινοτικές εξ αποστάσεως πωλήσεις αγαθών και εξ αποστάσεως πωλήσεις αγαθών που εισάγονται από τρίτα εδάφη ή τρίτες χώρες</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1.</w:t>
      </w:r>
      <w:r>
        <w:rPr>
          <w:lang w:val="el" w:eastAsia="el"/>
        </w:rPr>
        <w:t xml:space="preserve"> Για τους σκοπούς εφαρμογής του Κώδικα, ισχύουν οι εξής ορισμοί:</w:t>
      </w:r>
    </w:p>
    <w:p>
      <w:pPr>
        <w:pStyle w:val="StructureList1"/>
        <w:spacing w:before="120" w:after="0"/>
        <w:rPr>
          <w:lang w:val="el" w:eastAsia="el"/>
        </w:rPr>
      </w:pPr>
      <w:r>
        <w:rPr>
          <w:lang w:val="el" w:eastAsia="el"/>
        </w:rPr>
        <w:t>α)</w:t>
      </w:r>
      <w:r>
        <w:rPr>
          <w:lang w:val="en" w:eastAsia="en"/>
        </w:rPr>
        <w:tab/>
      </w:r>
      <w:r>
        <w:rPr>
          <w:lang w:val="el" w:eastAsia="el"/>
        </w:rPr>
        <w:t>Ως «ενδοκοινοτικές εξ αποστάσεως πωλήσεις αγαθών» νοούνται οι παραδόσεις αγαθών που αποστέλλονται ή μεταφέρονται από τον προμηθευτή ή από πρόσωπο που ενεργεί για λογαριασμό του, συμπεριλαμβανομένης της περίπτωσης που ο προμηθευτής παρεμβαίνει έμμεσα στην αποστολή ή τη μεταφορά των αγαθών, από κράτος μέλος άλλο από εκείνο της άφιξης της αποστολής ή της μεταφοράς στον αποκτώντα πελάτη, όταν πληρούνται οι ακόλουθοι όροι:</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αα)</w:t>
      </w:r>
      <w:r>
        <w:rPr>
          <w:lang w:val="en" w:eastAsia="en"/>
        </w:rPr>
        <w:tab/>
      </w:r>
      <w:r>
        <w:rPr>
          <w:lang w:val="el" w:eastAsia="el"/>
        </w:rPr>
        <w:t>η παράδοση αγαθών πραγματοποιείται για πρόσωπο υποκείμενο στον φόρο ή νομικό πρόσωπο μη υποκείμενο στον φόρο, τα οποία δεν θεωρείται ότι πραγματοποιούν ενδοκοινοτικές αποκτήσεις αγαθών, σύμφωνα είτε με την παρ. 2 και το πρώτο εδάφιο της παρ. 3 του άρθρου 11 είτε με αντίστοιχες διατάξεις που ισχύουν σε άλλο κράτος μέλος, ή για οποιοδήποτε άλλο μη υποκείμενο στον φόρο πρόσωπο και,</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ββ)</w:t>
      </w:r>
      <w:r>
        <w:rPr>
          <w:lang w:val="en" w:eastAsia="en"/>
        </w:rPr>
        <w:tab/>
      </w:r>
      <w:r>
        <w:rPr>
          <w:lang w:val="el" w:eastAsia="el"/>
        </w:rPr>
        <w:t>τα παραδιδόμενα αγαθά δεν είναι καινούργια μεταφορικά μέσα ούτε αγαθά που παραδίδονται έπειτα από συναρμολόγηση ή εγκατάσταση, με ή χωρίς δοκιμή λειτουργίας, από τον προμηθευτή ή για λογαριασμό του.</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β)</w:t>
      </w:r>
      <w:r>
        <w:rPr>
          <w:lang w:val="en" w:eastAsia="en"/>
        </w:rPr>
        <w:tab/>
      </w:r>
      <w:r>
        <w:rPr>
          <w:lang w:val="el" w:eastAsia="el"/>
        </w:rPr>
        <w:t>Ως «εξ αποστάσεως πωλήσεις αγαθών, που εισάγονται από τρίτα εδάφη ή τρίτες χώρες», νοούνται οι παραδόσεις αγαθών που αποστέλλονται ή μεταφέρονται από τον προμηθευτή ή από πρόσωπο που ενεργεί για λογαριασμό του, συμπεριλαμβανομένης της περίπτωσης που ο προμηθευτής παρεμβαίνει έμμεσα στην αποστολή ή τη μεταφορά των αγαθών, από τρίτο έδαφος ή τρίτη χώρα, προς πελάτη σε κράτος μέλος, όταν πληρούνται οι ακόλουθοι όροι:</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αα)</w:t>
      </w:r>
      <w:r>
        <w:rPr>
          <w:lang w:val="en" w:eastAsia="en"/>
        </w:rPr>
        <w:tab/>
      </w:r>
      <w:r>
        <w:rPr>
          <w:lang w:val="el" w:eastAsia="el"/>
        </w:rPr>
        <w:t>η παράδοση αγαθών πραγματοποιείται για πρόσωπο υποκείμενο στον φόρο ή νομικό πρόσωπο μη υποκείμενο στον φόρο, τα οποία δεν θεωρείται ότι πραγματοποιούν ενδοκοινοτικές αποκτήσεις αγαθών, σύμφωνα είτε με την παρ. 2 και το πρώτο εδάφιο της παρ. 3 του άρθρου 11 είτε με αντίστοιχες διατάξεις που ισχύουν σε άλλο κράτος μέλος, ή για οποιοδήποτε άλλο μη υποκείμενο στον φόρο πρόσωπο και,</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ββ)</w:t>
      </w:r>
      <w:r>
        <w:rPr>
          <w:lang w:val="en" w:eastAsia="en"/>
        </w:rPr>
        <w:tab/>
      </w:r>
      <w:r>
        <w:rPr>
          <w:lang w:val="el" w:eastAsia="el"/>
        </w:rPr>
        <w:t>τα παραδιδόμενα αγαθά δεν είναι καινούργια μεταφορικά μέσα ούτε αγαθά που παραδίδονται έπειτα από συναρμολόγηση ή εγκατάσταση, με ή χωρίς δοκιμή λειτουργίας, από τον προμηθευτή ή για λογαριασμό του.</w:t>
      </w:r>
      <w:r>
        <w:rPr>
          <w:rStyle w:val="Hyperlink"/>
          <w:color w:val="000000"/>
          <w:sz w:val="20"/>
          <w:szCs w:val="20"/>
          <w:u w:val="none" w:color="0000EE"/>
          <w:vertAlign w:val="superscript"/>
          <w:lang w:val="el" w:eastAsia="el"/>
        </w:rPr>
        <w:footnoteReference w:id="18"/>
      </w:r>
    </w:p>
    <w:p>
      <w:pPr>
        <w:pStyle w:val="Heading6"/>
        <w:spacing w:before="240" w:after="240"/>
        <w:rPr>
          <w:lang w:val="el" w:eastAsia="el"/>
        </w:rPr>
      </w:pPr>
      <w:r>
        <w:rPr>
          <w:b/>
          <w:bCs/>
          <w:lang w:val="el" w:eastAsia="el"/>
        </w:rPr>
        <w:t xml:space="preserve">Άρθρο 5β </w:t>
      </w:r>
    </w:p>
    <w:p>
      <w:pPr>
        <w:pStyle w:val="Heading6"/>
        <w:spacing w:before="240" w:after="240"/>
        <w:rPr>
          <w:lang w:val="el" w:eastAsia="el"/>
        </w:rPr>
      </w:pPr>
      <w:r>
        <w:rPr>
          <w:b/>
          <w:bCs/>
          <w:lang w:val="el" w:eastAsia="el"/>
        </w:rPr>
        <w:t>Υποκείμενοι στον φόρο που διευκολύνουν ορισμένες παραδόσεις αγαθών μέσω ηλεκτρονικής διεπαφής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1.</w:t>
      </w:r>
      <w:r>
        <w:rPr>
          <w:lang w:val="el" w:eastAsia="el"/>
        </w:rPr>
        <w:t xml:space="preserve"> Όταν υποκείμενος στον φόρο διευκολύνει, μέσω της χρήσης ηλεκτρονικής διεπαφής, όπως αγοράς, πλατφόρμας, διαδικτυακής πύλης ή παρόμοιων μέσων, τις εξ αποστάσεως πωλήσεις αγαθών εισαγόμενων από τρίτα εδάφη ή τρίτες χώρες σε δέματα με εσωτερική αξία που δεν υπερβαίνει τα εκατόν πενήντα (150) ευρώ, τότε θεωρείται ότι ο εν λόγω υποκείμενος στον φόρο έχει παραλάβει και παραδώσει αυτά τα αγαθά.</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2.</w:t>
      </w:r>
      <w:r>
        <w:rPr>
          <w:lang w:val="el" w:eastAsia="el"/>
        </w:rPr>
        <w:t xml:space="preserve"> Όταν υποκείμενος στον φόρο διευκολύνει, μέσω της χρήσης ηλεκτρονικής διεπαφής, όπως αγοράς, πλατφόρμας, διαδικτυακής πύλης ή παρόμοιων μέσων, την παράδοση αγαθών, προς άλλο κράτος μέλος, ή εντός της χώρας, από υποκείμενο στον φόρο μη εγκατεστημένο εντός της Ευρωπαϊκής Ένωσης προς μη υποκείμενο στον φόρο, τότε θεωρείται ότι ο εν λόγω υποκείμενος στον φόρο έχει παραλάβει και παραδώσει αυτά τα αγαθά.</w:t>
      </w:r>
      <w:r>
        <w:rPr>
          <w:rStyle w:val="Hyperlink"/>
          <w:color w:val="000000"/>
          <w:sz w:val="20"/>
          <w:szCs w:val="20"/>
          <w:u w:val="none" w:color="0000EE"/>
          <w:vertAlign w:val="superscript"/>
          <w:lang w:val="el" w:eastAsia="el"/>
        </w:rPr>
        <w:footnoteReference w:id="21"/>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ως ενιαία ιδιοκτησία ή ιδανικών μεριδίων οικοπέδου επί των οποίων εφαρμόζεται το αμάχητο τεκμήριο της παραγράφου 1 του άρθρου 2 του α.ν. 1521/1950 (ΦΕΚ 245 Α΄) που κυρώθηκε με το ν. 1587/1950 (ΦΕΚ 294 Α΄), εφόσον πραγματοποιείται από επαχθή αιτία πριν από την πρώτη εγκατάσταση σε αυτά. Για την εφαρμογή του παρόντος νόμου θεωρούνται: </w:t>
      </w:r>
    </w:p>
    <w:p>
      <w:pPr>
        <w:pStyle w:val="StructureList1"/>
        <w:spacing w:before="120" w:after="0"/>
        <w:rPr>
          <w:lang w:val="el" w:eastAsia="el"/>
        </w:rPr>
      </w:pPr>
      <w:r>
        <w:rPr>
          <w:lang w:val="el" w:eastAsia="el"/>
        </w:rPr>
        <w:t>α)</w:t>
      </w:r>
      <w:r>
        <w:rPr>
          <w:lang w:val="en" w:eastAsia="en"/>
        </w:rPr>
        <w:tab/>
      </w:r>
      <w:r>
        <w:rPr>
          <w:lang w:val="el" w:eastAsia="el"/>
        </w:rPr>
        <w:t xml:space="preserve">ως κτίρια, τα κτίσματα γενικά και οι κάθε είδους κατασκευές που συνδέονται με τα κτίσματα ή με το έδαφος κατά τρόπο σταθερό και μόνιμο, </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χρησιμοποίηση με οποιονδήποτε τρόπο των κτιρίων ύστερα, από την ανέγερσή τους, όπως είναι η ιδιοκατοίκηση, η ιδιόχρηση, η μίσθωση ή άλλη χρήση.</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 η μεταβίβαση ή η παραίτηση από το δικαίωμα προσωπικής ή πραγματικής δουλείας, η παραχώρηση του δικαιώματος αποκλειστικής χρήσης επί κοινόκτητων κυρίων, βοηθητικών ή ειδικών χώρων κτισμάτων ή επί κοινόκτητου τμήματος οικοπέδου, καθώς και η μεταβίβαση του δικαιώματος άσκησης της επικαρπίας των ακινήτων της παραγράφου 1.</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 Ειδικά για τις περιπτώσεις αντιπαροχής, η εργολαβία του υποκειμένου στο φόρο κατασκευαστή οικοδομών προς πώληση προς τον οικοπεδούχο, δεν υπάγεται στο φόρο όταν ο υποκείμενος κατασκευαστής έχει υπαχθεί σε καθεστώς αναστολής του φόρου, σύμφωνα με την παράγραφο 4α του παρόντος άρθρου.</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3.</w:t>
      </w:r>
      <w:r>
        <w:rPr>
          <w:lang w:val="el" w:eastAsia="el"/>
        </w:rPr>
        <w:t xml:space="preserve"> Στις περιπτώσεις της παραγράφου 1 και στην περίπτωση α΄ της παραγράφου 2, στις οποίες επιβάλλεται ο φόρος του παρόντος νόμου, δεν επιβάλλεται φόρος μεταβίβασης ακινήτων. </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ή αναθεωρείται από 1ης Ιανουαρίου 2006 εφόσον μέχρι την ημερομηνία αναθεώρησης δεν έχουν αρχίσει οι εργασίες κατασκευής. Εφόσον έχει κατατεθεί πλήρης φάκελος στην πολεοδομία και έχει υπογραφεί προσύμφωνο και εργολαβικό συμβόλαιο κατασκευής μέχρι την 25.11.2005, μπορεί να χορηγηθεί εξαίρεση από την εφαρμογή των διατάξεων της παραγράφου αυτής, με αίτηση των ενδιαφερομένων.</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4α.</w:t>
      </w:r>
      <w:r>
        <w:rPr>
          <w:lang w:val="el" w:eastAsia="el"/>
        </w:rPr>
        <w:t xml:space="preserve"> Με αίτηση του υποκειμένου στον φόρο, κατασκευαστή οικοδομών προς πώληση, αναστέλλεται, υποχρεωτικά μέχρι τις 31.12.2022, η εφαρμογή του Φ.Π.Α. στα ακίνητα των παραγράφων 1 και 2α του παρόντος άρθρου και επιβάλλεται φόρος μεταβίβασης ακινήτων. Η αναστολή αφορά το σύνολο των αδιάθετων παραπάνω ακινήτων του υποκειμένου. Μαζί με την αίτηση ο υποκείμενος υποβάλλει κατάσταση με τα αδιάθετα ακίνητα και το ποσό του φόρου που αντιστοιχεί στο κάθε ακίνητο προς διακανονισμό. Η αίτηση υποβάλλεται μέχρι τις 31η.12.2021 για τις άδειες με χρόνο έκδοσης έως και τις 30η.6.2021, ενώ για άδειες που εκδίδονται από 1η.7.2021 και εφεξής τίθεται εξάμηνη προθεσμία από την έκδοση της άδειας.</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5.</w:t>
      </w:r>
      <w:r>
        <w:rPr>
          <w:lang w:val="el" w:eastAsia="el"/>
        </w:rPr>
        <w:t xml:space="preserve"> Με απόφαση του Υπουργού Οικονομικών μετά από εισήγηση του Διοικητή της ΑΑΔΕ μπορεί: α) να ορίζεται κάθε διαδικαστικό θέμα και λεπτομέρεια για την εφαρμογή του άρθρου αυτού, και β) να τροποποιούνται οι προϋποθέσεις υπαγωγής στο καθεστώς του πρώτου εδαφίου της παραγράφου 4α, εφόσον η άδεια οικοδομής έχει εκδοθεί από 1.1.2020 και η κατασκευή της οικοδομής έχει ολοκληρωθεί έως τις 31.12.2022, καθώς και να ορίζεται κάθε σχετικό διαδικαστικό θέμα και λεπτομέρεια για την παρακολούθηση της εφαρμογής του καθεστώτος.</w:t>
      </w:r>
      <w:r>
        <w:rPr>
          <w:rStyle w:val="Hyperlink"/>
          <w:color w:val="000000"/>
          <w:sz w:val="20"/>
          <w:szCs w:val="20"/>
          <w:u w:val="none" w:color="0000EE"/>
          <w:vertAlign w:val="superscript"/>
          <w:lang w:val="el" w:eastAsia="el"/>
        </w:rPr>
        <w:footnoteReference w:id="27"/>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Πράξεις θεωρούμενες ως παράδοση</w:t>
      </w:r>
    </w:p>
    <w:p>
      <w:pPr>
        <w:pStyle w:val="MainText"/>
        <w:spacing w:before="120" w:after="0"/>
        <w:rPr>
          <w:lang w:val="el" w:eastAsia="el"/>
        </w:rPr>
      </w:pPr>
      <w:r>
        <w:rPr>
          <w:b/>
          <w:bCs/>
          <w:lang w:val="el" w:eastAsia="el"/>
        </w:rPr>
        <w:t>1.</w:t>
      </w:r>
      <w:r>
        <w:rPr>
          <w:lang w:val="el" w:eastAsia="el"/>
        </w:rPr>
        <w:t xml:space="preserve"> θεωρείται ως παράδοση αγαθών, κατά την έννοια των διατάξεων του άρθρου 2, η διάθεση από υποκείμενο στο φόρο αγαθών της επιχείρησης του για τις ανάγκες της, εφόσον πρόκειται για αγαθά που προβλέπουν οι διατάξεις της παραγράφου 4 του άρθρου 30, για τα οποία δεν παρέχεται δικαίωμα έκπτωσης του φόρου σε περίπτωση απόκτησης τους από άλλον υποκείμενο στο φόρο. </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παρέχει στον υποκείμενο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στον φόρο αγαθών της επιχείρησής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μέχρι αξίας δέκα (10) ευρώ και τα δείγματα που διαθέτει ο υποκείμενος στον φόρο για την εκπλήρωση των σκοπών της επιχείρησής του. Στο πλαίσιο της πρόληψης της δημιουργίας αποβλήτων, της περιβαλλοντικής προστασίας, υπό την έννοια της αποτροπής της διάθεσης των προϊόντων προς υγειονομική ταφή πριν αυτά καταστούν απόβλητα, καθώς και της ανακούφισης των κοινωνικά ευπαθών και ευάλωτων ομάδων, ως δώρα, που επίσης εξαιρούνται, θεωρούνται:</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αα)</w:t>
      </w:r>
      <w:r>
        <w:rPr>
          <w:lang w:val="en" w:eastAsia="en"/>
        </w:rPr>
        <w:tab/>
      </w:r>
      <w:r>
        <w:rPr>
          <w:lang w:val="el" w:eastAsia="el"/>
        </w:rPr>
        <w:t>Τα τρόφιμα, φάρμακα, ρούχα ή άλλα αγαθά, πλην εκείνων που υπόκεινται σε ειδικούς φόρους κατανάλωσης που διατίθενται δωρεάν σε υπηρεσίες του δημόσιου τομέα, νομικά πρόσωπα δημόσιου δικαίου, καθώς και νομικά πρόσωπα ιδιωτικού δικαίου μη κερδοσκοπικού χαρακτήρα που έχουν συσταθεί νόμιμα στην Ελλάδα και έχουν φιλανθρωπικό ή κοινωφελή σκοπό ή σε οργανισμούς τοπικούς αυτοδιοίκησης (Ο.Τ.Α.) ή στα εκκλησιαστικά νομικά πρόσωπα των κλιμάτων της Ανατολικής Ορθοδόξου Εκκλησίας στην Ελλάδα ή στα θρησκευτικά και εκκλησιαστικά νομικά πρόσωπα του άρθρου 13 του ν. 4301/2014 (Α' 223) ή στο νομικό πρόσωπο του άρθρου 1 του ν. 3512/2006 (Α' 264) ή στα Βακούφια Ρόδου και Κω, καθώς και στα ν.π.ι.δ. ή στις οντότητες που εποπτεύονται από τους παραπάνω φορείς,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Ως τέτοια αγαθά θεωρούνται αυτά τα οποία δεν είναι κατάλληλα προς πώληση ή αξιοποίηση, ιδίως λόγω λαθών ή ελαττωμάτων ή ελλείψεων στη συσκευασία, την επισήμανση ή το βάρος, ή λόγω απόσυρσης από την αγορά ή λόγω εγγύτητας προς την ημερομηνία λήξης ή λόγω αστοχιών σε σχέση με τις προδιαγραφές του παρασκευαστή ή του πελάτη, ιδίως διαφοροποίηση ως προς το χρώμα, το μέγεθος, το σχήμα και τη σύσταση. Ο περιορισμός της παρούσας δεν ισχύει για την αντιμετώπιση καταστάσεων που κηρύσσονται ως έκτακτης ανάγκης πολιτικής προστασίας λόγω φυσικών καταστροφών.</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ββ)</w:t>
      </w:r>
      <w:r>
        <w:rPr>
          <w:lang w:val="en" w:eastAsia="en"/>
        </w:rPr>
        <w:tab/>
      </w:r>
      <w:r>
        <w:rPr>
          <w:lang w:val="el" w:eastAsia="el"/>
        </w:rPr>
        <w:t>Τα αγαθά που παραδίδονται στις υπηρεσίες του δημόσιου τομέα, στους Ο.Τ.Α., στα ν.π.δ.δ., όπως προσδιορίζονται στο άρθρο 14 του ν. 4270/2014 (Α' 143), στα εκκλησιαστικά νομικά πρόσωπα των κλιμάτων της Ανατολικής Ορθοδόξου Εκκλησίας στην Ελλάδα ή στα θρησκευτικά και εκκλησιαστικά νομικά πρόσωπα του άρθρου 13 του ν. 4301/2014 ή στο νομικό πρόσωπο του άρθρου 1 του ν. 3512/2006 ή στα Βακούφια Ρόδου και Κω, καθώς και στα ν.π.ι.δ. ή τις οντότητες, που εποπτεύονται από τους παραπάνω φορείς, προκειμένου να διατεθούν για την κάλυψη των αναγκών των προσφύγων, ανεξαρτήτως της αξίας και των προδιαγραφών κατασκευής αυτών.</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γγ)</w:t>
      </w:r>
      <w:r>
        <w:rPr>
          <w:lang w:val="en" w:eastAsia="en"/>
        </w:rPr>
        <w:tab/>
      </w:r>
      <w:r>
        <w:rPr>
          <w:lang w:val="el" w:eastAsia="el"/>
        </w:rPr>
        <w:t>Τα είδη σίτισης που παραδίδονται στο Υπουργείο Παιδείας και Θρησκευμάτων και το Υπουργείο Εργασίας και Κοινωνικών Υποθέσεων, προκειμένου να διανεμηθούν άνευ ανταλλάγματος για την κάλυψη των αναγκών σίτισης των μαθητών πρωτοβάθμιας και δευτεροβάθμιας δημόσιας εκπαίδευσης.</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δδ)</w:t>
      </w:r>
      <w:r>
        <w:rPr>
          <w:lang w:val="en" w:eastAsia="en"/>
        </w:rPr>
        <w:tab/>
      </w:r>
      <w:r>
        <w:rPr>
          <w:lang w:val="el" w:eastAsia="el"/>
        </w:rPr>
        <w:t>Τα αγαθά που παραδίδονται στις υπηρεσίες του δημόσιου τομέα, στους Ο.Τ.Α. και στα ν.π.δ.δ., όπως προσδιορίζονται στο άρθρο 14 του ν. 4270/2014, προκειμένου να διατεθούν για την κάλυψη των αναγκών των πληγέντων από ακραία φυσικά φαινόμενα, ανεξαρτήτως της αξίας και των προδιαγραφών κατασκευής αυτών,</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γ)</w:t>
      </w:r>
      <w:r>
        <w:rPr>
          <w:lang w:val="en" w:eastAsia="en"/>
        </w:rPr>
        <w:tab/>
      </w:r>
      <w:r>
        <w:rPr>
          <w:lang w:val="el" w:eastAsia="el"/>
        </w:rPr>
        <w:t>η ιδιοκατοίκηση, η παράδοση σε μη φορολογητέα δραστηριότητα του ιδίου υποκειμένου, η μίσθωση, η δωρεάν παραχώρηση της χρήσης ή η χρησιμοποίηση για οποιονδήποτε σκοπό ξένο προς την επιχείρηση, των ακινήτων που προβλέπουν οι διατάξεις του άρθρου 6,</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w:t>
      </w:r>
    </w:p>
    <w:p>
      <w:pPr>
        <w:spacing w:before="240" w:after="240"/>
        <w:rPr>
          <w:lang w:val="el" w:eastAsia="el"/>
        </w:rPr>
      </w:pPr>
      <w:r>
        <w:rPr>
          <w:lang w:val="el" w:eastAsia="el"/>
        </w:rPr>
        <w:t>Η διάταξη αυτή εφαρμόζεται επίσης στις περιπτώσεις κοινωνίας και συνεταιρισμού, καθώς και στην περίπτωση κοινοπραξίας επιτηδευματιών, για την οποία προβλέπουν οι διατάξεις της παραγράφου 2 του άρθρου 2 του Κώδικα Βιβλίων και Στοιχείων (Π.Δ. 186/1992 (ΦΕΚ 84 Α΄),</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 φόρο ή στους κληρονόμους του αγαθών της επιχείρησης του, κατά την παύση των εργασιών της ή κατά το θάνατο του υποκειμένου. Προκειμένου για πάγια περιουσιακά στοιχεία του υποκειμένου, όπως ορίζονται από τις διατάξεις του άρθρου 33, οι διατάξεις της παρούσας παραγράφου δεν εφαρμόζονται,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3.</w:t>
      </w:r>
      <w:r>
        <w:rPr>
          <w:lang w:val="el" w:eastAsia="el"/>
        </w:rPr>
        <w:t xml:space="preserve"> θεωρείται επίσης ως παράδοση αγαθών η μεταφορά από έναν υποκείμενο στο φόρο αγαθών της επιχείρησης του προς ένα άλλο κράτος -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Κοινότητας, από τον υποκείμενο στο φόρο στο εσωτερικό της χώρας ή από άλλον που ενεργεί για λογαριασμό του, για τις ανάγκες της επιχείρησης του, εκτός αν τα αγαθά αυτά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 φόρο εντός του κράτους μέλους άφιξης της αποστολής ή της μεταφοράς, σύμφωνα με τις διατάξεις της περίπτωσης β΄ της παραγράφου 1 και των παραγράφων 2 και 6 του άρθρου 13,</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 φόρο, σύμφωνα με τις διατάξεις των άρθρων 24, 27 και 28,</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 φόρο, που έχουν ως αντικείμενο πραγματογνωμοσύνες ή εργασίες, οι οποίες αφορούν αυτό το αγαθό και πραγματοποιούνται υλικώς στο κράτος – μέλος άφιξης της αποστολής ή της μεταφοράς του αγαθού, εφόσον μετά την εκτέλεση των εργασιών τα αγαθά επαναποστέλλονται στον ίδιο υποκείμενο στο φόρο στο εσωτερικό της χώρας,</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κράτους-μέλους άφιξης της αποστολής ή της μεταφοράς για τις ανάγκες παροχής υπηρεσιών, οι οποίες πραγματοποιούνται από τον υποκείμενο στο φόρο που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εικοσιτέσσερις (24) μήνες στο έδαφος άλλου κράτους - μέλους, εντός του οποίου η εισαγωγή του ίδιου αυτού αγαθού από τρίτη χώρα, με σκοπό την προσωρινή χρησιμοποίηση του, θα υπαγόταν στο καθεστώς προσωρινής εισαγωγής με πλήρη απαλλαγή από εισαγωγικούς δασμούς.</w:t>
      </w:r>
    </w:p>
    <w:p>
      <w:pPr>
        <w:pStyle w:val="StructureList1"/>
        <w:spacing w:before="120" w:after="0"/>
        <w:rPr>
          <w:lang w:val="el" w:eastAsia="el"/>
        </w:rPr>
      </w:pPr>
      <w:r>
        <w:rPr>
          <w:lang w:val="el" w:eastAsia="el"/>
        </w:rPr>
        <w:t>στ)</w:t>
      </w:r>
      <w:r>
        <w:rPr>
          <w:lang w:val="en" w:eastAsia="en"/>
        </w:rPr>
        <w:tab/>
      </w:r>
      <w:r>
        <w:rPr>
          <w:lang w:val="el" w:eastAsia="el"/>
        </w:rPr>
        <w:t>παράδοση αερίου μέσω συστήματος φυσικού αερίου ευρισκόμενου στο έδαφος της Κοινότητας ή μέσω οποιουδήποτε δικτύου συνδεδεμένου με τέτοιο σύστημα, την παράδοση ηλεκτρικής ενέργειας ή θερμότητας ή ψύχους μέσω των δικτύων θέρμανσης ή ψύξης, σύμφωνα με τις διατάξεις των περιπτώσεων α' ή β' της παραγράφου 3 του άρθρου 13.</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Στην περίπτωση που μια από τις προϋποθέσεις που αναφέρονται στις ανωτέρω περιπτώσεις α΄ έως ε΄ παύει να υφίσταται, θεωρείται ότι πραγματοποιείται παράδοση αγαθού κατά το χρόνο που παύει να υφίσταται η εν λόγω προϋπόθεση.</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ρυθμίζεται κατά περίπτωση η διαδικασία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37"/>
      </w:r>
    </w:p>
    <w:p>
      <w:pPr>
        <w:pStyle w:val="Heading6"/>
        <w:spacing w:before="240" w:after="240"/>
        <w:rPr>
          <w:lang w:val="el" w:eastAsia="el"/>
        </w:rPr>
      </w:pPr>
      <w:r>
        <w:rPr>
          <w:b/>
          <w:bCs/>
          <w:lang w:val="el" w:eastAsia="el"/>
        </w:rPr>
        <w:t>Άρθρο 7α</w:t>
      </w:r>
    </w:p>
    <w:p>
      <w:pPr>
        <w:pStyle w:val="Heading6"/>
        <w:spacing w:before="240" w:after="240"/>
        <w:rPr>
          <w:lang w:val="el" w:eastAsia="el"/>
        </w:rPr>
      </w:pPr>
      <w:r>
        <w:rPr>
          <w:b/>
          <w:bCs/>
          <w:lang w:val="el" w:eastAsia="el"/>
        </w:rPr>
        <w:t>Παράδοση αποθεμάτων στη διάθεση συγκεκριμένου αποκτώντα σε άλλο κράτος-μέλος</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1.</w:t>
      </w:r>
      <w:r>
        <w:rPr>
          <w:lang w:val="el" w:eastAsia="el"/>
        </w:rPr>
        <w:t xml:space="preserve"> Η μεταφορά από υποκείμενο στον φόρο αγαθών της επιχείρησής του σε άλλο κράτος-μέλος, δεν θεωρείται παράδοση αγαθών από επαχθή αιτία στο πλαίσιο των ρυθμίσεων για τα αποθέματα στη διάθεση συγκεκριμένου αποκτώντος.</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οι ρυθμίσεις για τα αποθέματα στη διάθεση συγκεκριμένου αποκτώντος υφίστανται, όταν πληρούνται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τα αγαθά αποστέλλονται ή μεταφέρονται σε άλλο κράτος - μέλος από υποκείμενο στον φόρο ή από τρίτο που ενεργεί για λογαριασμό του, ώστε τα εν λόγω αγαθά να παραδοθούν στο κράτος αυτό σε μεταγενέστερο στάδιο και μετά την άφιξή τους σε άλλον υποκείμενο στον φόρο, ο οποίος δικαιούται να αποκτήσει την κυριότητα των εν λόγω αγαθών βάσει ισχύουσας συμφωνίας μεταξύ των δύο υποκειμένων στον φόρο,</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που αποστέλλει ή μεταφέρει τα αγαθά δεν έχει την έδρα της οικονομικής του δραστηριότητας ούτε μόνιμη εγκατάσταση στο κράτος-μέλος στο οποίο αποστέλλονται ή μεταφέρονται τα αγαθά,</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γ)</w:t>
      </w:r>
      <w:r>
        <w:rPr>
          <w:lang w:val="en" w:eastAsia="en"/>
        </w:rPr>
        <w:tab/>
      </w:r>
      <w:r>
        <w:rPr>
          <w:lang w:val="el" w:eastAsia="el"/>
        </w:rPr>
        <w:t>ο υποκείμενος στον φόρο στον οποίο πρόκειται να παραδοθούν τα αγαθά διαθέτει αριθμό φορολογικού μητρώου Φ.Π.Α. στο κράτος-μέλος στο οποίο αποστέλλονται ή μεταφέρονται τα αγαθά και τα στοιχεία του, συμπεριλαμβανομένου του αριθμού φορολογικού μητρώου ΦΠΑ που του έχει αποδοθεί στο εν λόγω κράτος-μέλος, είναι γνωστά στον υποκείμενο στον φόρο που αποστέλλει ή μεταφέρει τα αγαθά, κατά τον χρόνο της αναχώρησης της αποστολής ή της μεταφοράς,</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δ)</w:t>
      </w:r>
      <w:r>
        <w:rPr>
          <w:lang w:val="en" w:eastAsia="en"/>
        </w:rPr>
        <w:tab/>
      </w:r>
      <w:r>
        <w:rPr>
          <w:lang w:val="el" w:eastAsia="el"/>
        </w:rPr>
        <w:t>ο υποκείμενος στον φόρο που αποστέλλει ή μεταφέρει τα αγαθά καταγράφει τη μεταφορά τους, σε ειδικό βιβλίο καταχώρισης που προβλέπεται στην περ. ζ) της παρ. 4 του άρθρου 36 και περιλαμβάνει στον ανακεφαλαιωτικό πίνακα που προβλέπεται στην περ. α) της παρ. 5 του ιδίου άρθρου, τον αριθμό φορολογικού μητρώου Φ.Π.Α. του υποκειμένου στον φόρο που αποκτά τα αγαθά και ο οποίος του έχει αποδοθεί από το κράτος-μέλος στο οποίο αυτά αποστέλλονται ή μεταφέρονται.</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3.</w:t>
      </w:r>
      <w:r>
        <w:rPr>
          <w:lang w:val="el" w:eastAsia="el"/>
        </w:rPr>
        <w:t xml:space="preserve"> Όταν πληρούνται οι προϋποθέσεις της παρ. 2, εφαρμόζονται οι ακόλουθοι κανόνες, κατά τον χρόνο της μεταβίβασης του δικαιώματος διάθεσης των αγαθών με την ιδιότητα του κυρίου στον υποκείμενο στον φόρο της περ. γ` της παρ. 2, υπό την προϋπόθεση ότι η μεταβίβαση εκτελείται εντός της προθεσμίας δώδεκα (12) μηνών από την άφιξη των αγαθών στο κράτος-μέλος στο οποίο έχουν αποσταλεί ή μεταφερθεί:</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α)</w:t>
      </w:r>
      <w:r>
        <w:rPr>
          <w:lang w:val="en" w:eastAsia="en"/>
        </w:rPr>
        <w:tab/>
      </w:r>
      <w:r>
        <w:rPr>
          <w:lang w:val="el" w:eastAsia="el"/>
        </w:rPr>
        <w:t>θεωρείται ότι πραγματοποιείται παράδοση αγαθών, σύμφωνα με την περ. α) της παρ. 1 του άρθρου 28, από τον υποκείμενο στον φόρο, ο οποίος απέστειλε ή μετέφερε τα αγαθά είτε ο ίδιος είτε μέσω τρίτου, ο οποίος ενήργησε για λογαριασμό του στο κράτος - μέλος από το οποίο αυτά απεστάλησαν ή μεταφέρθηκαν,</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β)</w:t>
      </w:r>
      <w:r>
        <w:rPr>
          <w:lang w:val="en" w:eastAsia="en"/>
        </w:rPr>
        <w:tab/>
      </w:r>
      <w:r>
        <w:rPr>
          <w:lang w:val="el" w:eastAsia="el"/>
        </w:rPr>
        <w:t>θεωρείται ότι πραγματοποιείται ενδοκοινοτική απόκτηση αγαθών από τον υποκείμενο στον φόρο, στον οποίο παραδίδονται τα εν λόγω αγαθά στο κράτος - μέλος, στο οποίο αποστέλλονται ή μεταφέρονται.</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4.</w:t>
      </w:r>
      <w:r>
        <w:rPr>
          <w:lang w:val="el" w:eastAsia="el"/>
        </w:rPr>
        <w:t xml:space="preserve"> Η μεταφορά από τον υποκείμενο στον φόρο της περ. β) της παρ. 2 αγαθών της επιχείρησής του προς το άλλο κράτος-μέλος, δεν θεωρείται ως παράδοση αγαθών κατά την έννοια της παρ. 3 του άρθρου 7, αν μέσα στο διάστημα των δώδεκα (12) μηνών από την άφιξη των αγαθών στο κράτος-μέλος στο οποίο έχουν αποσταλεί ή μεταφερθεί, ο υποκείμενος στον φόρο της περ. γ) της παρ. 2 αντικατασταθεί από άλλον υποκείμενο στον φόρο, εφόσον:</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α)</w:t>
      </w:r>
      <w:r>
        <w:rPr>
          <w:lang w:val="en" w:eastAsia="en"/>
        </w:rPr>
        <w:tab/>
      </w:r>
      <w:r>
        <w:rPr>
          <w:lang w:val="el" w:eastAsia="el"/>
        </w:rPr>
        <w:t>πληρούνται και οι άλλες προϋποθέσεις της παρ. 2, και</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της περ. β) της παρ. 2, καταγράφει την αντικατάσταση στο ειδικό βιβλίο καταχώρισης που προβλέπεται στην περ. ζ) της παρ. 4 του άρθρου 36.</w:t>
      </w:r>
      <w:r>
        <w:rPr>
          <w:rStyle w:val="Hyperlink"/>
          <w:color w:val="000000"/>
          <w:sz w:val="20"/>
          <w:szCs w:val="20"/>
          <w:u w:val="none" w:color="0000EE"/>
          <w:vertAlign w:val="superscript"/>
          <w:lang w:val="el" w:eastAsia="el"/>
        </w:rPr>
        <w:footnoteReference w:id="49"/>
      </w:r>
    </w:p>
    <w:p>
      <w:pPr>
        <w:spacing w:before="240" w:after="240"/>
        <w:rPr>
          <w:lang w:val="el" w:eastAsia="el"/>
        </w:rPr>
      </w:pPr>
      <w:r>
        <w:rPr>
          <w:lang w:val="el" w:eastAsia="el"/>
        </w:rPr>
        <w:t>Κατ` αναλογία δεν θεωρείται ότι πραγματοποιείται ενδοκοινοτική απόκτηση αγαθών, σύμφωνα με την περ. γ` του άρθρου 12.</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5.</w:t>
      </w:r>
      <w:r>
        <w:rPr>
          <w:lang w:val="el" w:eastAsia="el"/>
        </w:rPr>
        <w:t xml:space="preserve"> Η μεταφορά από τον υποκείμενο στον φόρο της περ. β` της παρ. 2 αγαθών της επιχείρησής του προς το άλλο κράτος-μέλος, θεωρείται ως παράδοση αγαθών κατά την έννοια της παρ. 3 του άρθρου 7, από την επομένη ημέρα της λήξεως της περιόδου των δώδεκα (12) μηνών, εάν:</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α)</w:t>
      </w:r>
      <w:r>
        <w:rPr>
          <w:lang w:val="en" w:eastAsia="en"/>
        </w:rPr>
        <w:tab/>
      </w:r>
      <w:r>
        <w:rPr>
          <w:lang w:val="el" w:eastAsia="el"/>
        </w:rPr>
        <w:t>τα αγαθά δεν έχουν παραδοθεί ούτε στον υποκείμενο στον φόρο της περ. γ) της παρ. 2, για τον οποίο προορίζονται, ούτε σε άλλον υποκείμενο στον φόρο, από τον οποίο αυτός έχει αντικατασταθεί σύμφωνα με την παρ. 4, μέσα στο διάστημα των δώδεκα (12) μηνών από την άφιξή τους στο κράτος-μέλος, στο οποίο έχουν αποσταλεί ή μεταφερθεί, και</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β)</w:t>
      </w:r>
      <w:r>
        <w:rPr>
          <w:lang w:val="en" w:eastAsia="en"/>
        </w:rPr>
        <w:tab/>
      </w:r>
      <w:r>
        <w:rPr>
          <w:lang w:val="el" w:eastAsia="el"/>
        </w:rPr>
        <w:t>δεν συντρέχει καμία από τις περ. α) έως και γ) της παρ. 7 του παρόντος.</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Εάν εντός του χρονικού διαστήματος των δώδεκα (12) μηνών παύσει να πληρούται οποιαδήποτε από τις προϋποθέσεις που ορίζονται στις παρ. 2 και 4, η μεταφορά από τον υποκείμενο στον φόρο της περ. β) της παρ. 2 αγαθών της επιχείρησής του προς το άλλο κράτος-μέλος, θεωρείται ως παράδοση αγαθών, κατά την έννοια της παρ. 3 του άρθρου 7, κατά τον χρόνο παύσης της σχετικής προϋπόθεσης.</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6.</w:t>
      </w:r>
      <w:r>
        <w:rPr>
          <w:lang w:val="el" w:eastAsia="el"/>
        </w:rPr>
        <w:t xml:space="preserve"> Η μεταφορά από τον υποκείμενο στον φόρο της περ. β) της παρ. 2 αγαθών της επιχείρησής του προς το άλλο κράτος-μέλος, δεν θεωρείται ως παράδοση αγαθών κατά την έννοια της παρ. 3 του άρθρου 7, εάν:</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α)</w:t>
      </w:r>
      <w:r>
        <w:rPr>
          <w:lang w:val="en" w:eastAsia="en"/>
        </w:rPr>
        <w:tab/>
      </w:r>
      <w:r>
        <w:rPr>
          <w:lang w:val="el" w:eastAsia="el"/>
        </w:rPr>
        <w:t>το δικαίωμα διάθεσης των αγαθών δεν έχει μεταβι-βασθεί και τα εν λόγω αγαθά επιστρέφονται στο κράτος μέλος από το οποίο έχουν αποσταλεί ή μεταφερθεί εντός του διαστήματος των δώδεκα (12) μηνών, και</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ο οποίος απέστειλε ή μετέφερε τα αγαθά, καταγράφει την επιστροφή τους στο ειδικό βιβλίο καταχώρισης που αναφέρεται στην περ. ζ) της παρ. 4 του άρθρου 36.</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7.</w:t>
      </w:r>
      <w:r>
        <w:rPr>
          <w:lang w:val="el" w:eastAsia="el"/>
        </w:rPr>
        <w:t xml:space="preserve"> Οι προϋποθέσεις που ορίζονται στις παρ. 2 και 4 παύουν να πληρούνται όταν:</w:t>
      </w:r>
      <w:r>
        <w:rPr>
          <w:rStyle w:val="Hyperlink"/>
          <w:color w:val="000000"/>
          <w:sz w:val="20"/>
          <w:szCs w:val="20"/>
          <w:u w:val="none" w:color="0000EE"/>
          <w:vertAlign w:val="superscript"/>
          <w:lang w:val="el" w:eastAsia="el"/>
        </w:rPr>
        <w:footnoteReference w:id="58"/>
      </w:r>
    </w:p>
    <w:p>
      <w:pPr>
        <w:pStyle w:val="StructureList1"/>
        <w:spacing w:before="120" w:after="0"/>
        <w:rPr>
          <w:lang w:val="el" w:eastAsia="el"/>
        </w:rPr>
      </w:pPr>
      <w:r>
        <w:rPr>
          <w:lang w:val="el" w:eastAsia="el"/>
        </w:rPr>
        <w:t>α)</w:t>
      </w:r>
      <w:r>
        <w:rPr>
          <w:lang w:val="en" w:eastAsia="en"/>
        </w:rPr>
        <w:tab/>
      </w:r>
      <w:r>
        <w:rPr>
          <w:lang w:val="el" w:eastAsia="el"/>
        </w:rPr>
        <w:t>τα αγαθά παραδοθούν σε άλλο πρόσωπο, εκτός από τον υποκείμενο στον φόρο της περ. γ) της παρ. 2 ή τον υποκείμενο στον φόρο της παρ. 4, αμέσως πριν από την εν λόγω παράδοση,</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σε χώρα διαφορετική από το κράτος-μέλος από το οποίο μετακινήθηκαν αρχικά, αμέσως πριν από την έναρξη της εν λόγω αποστολής ή μεταφοράς,</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γ)</w:t>
      </w:r>
      <w:r>
        <w:rPr>
          <w:lang w:val="en" w:eastAsia="en"/>
        </w:rPr>
        <w:tab/>
      </w:r>
      <w:r>
        <w:rPr>
          <w:lang w:val="el" w:eastAsia="el"/>
        </w:rPr>
        <w:t>υφίσταται καταστροφή, απώλεια ή κλοπή των αγαθών.</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Ειδικά για την περ. γ), θεωρείται ότι οι εν λόγω προϋποθέσεις παύουν να πληρούνται κατά την ημερομηνία στην οποία τα αγαθά πράγματι αφαιρέθηκαν ή καταστράφηκαν ή, εάν είναι αδύνατο να καθοριστεί η ημερομηνία αυτή, την ημερομηνία στην οποία διαπιστώθηκε η καταστροφή ή η απώλειά τους.</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8.</w:t>
      </w:r>
      <w:r>
        <w:rPr>
          <w:lang w:val="el" w:eastAsia="el"/>
        </w:rPr>
        <w:t xml:space="preserve"> Οι διατάξεις των παρ. 1 έως 7 έχουν ανάλογη εφαρμογή στη μεταφορά αγαθών στο εσωτερικό της χώρας από άλλο κράτος-μέλος, στο πλαίσιο ρύθμισης αποθεμάτων στη διάθεση συγκεκριμένου αποκτώντος.</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9.</w:t>
      </w:r>
      <w:r>
        <w:rPr>
          <w:lang w:val="el" w:eastAsia="el"/>
        </w:rPr>
        <w:t xml:space="preserve"> Με απόφαση του Υπουργού Οικονομικών, κατόπιν εισήγησης του Διοικητή της Ανεξάρτητης Αρχής Δημοσίων Εσόδων (Α.Α.Δ.Ε.), ρυθμίζεται κάθε ειδικότερο θέμα για την εφαρμογή του παρόντος.</w:t>
      </w:r>
      <w:r>
        <w:rPr>
          <w:rStyle w:val="Hyperlink"/>
          <w:color w:val="000000"/>
          <w:sz w:val="20"/>
          <w:szCs w:val="20"/>
          <w:u w:val="none" w:color="0000EE"/>
          <w:vertAlign w:val="superscript"/>
          <w:lang w:val="el" w:eastAsia="el"/>
        </w:rPr>
        <w:footnoteReference w:id="64"/>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των διατάξεων του άρθρου 2, θεωρείται κάθε πράξη που δε συνιστά παράδοση αγαθών, σύμφωνα με τις διατάξεις των άρθρων 5 έως 7.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αυλού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χώρων στάθμευσης κάθε είδους μεταφορικών μέσων και τροχόσπιτων,</w:t>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ζαχαροπλαστεία, εστιατόρια,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i. Η εκμίσθωση βιομηχανοστασίων και χρηματοθυρίδων.</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ii Η εκμίσθωση χώρων για άσκηση επαγγελματικής δραστηριότητας σε μισθωτή υποκείμενο στο φόρο, αυτοτελώς ή στα πλαίσια μικτών συμβάσεων, εφόσον ο εκ μισθωτής το επιθυμεί και υποβάλλει για αυτό αίτηση επιλογής φορολόγησης. Η επιλογή φορολόγησης πραγματοποιείται με υποβολή στην αρμόδια Δ.Ο.Υ., σχετικής αίτησης από τον εκμισθωτή. Η αίτηση επιλογής φορολόγησης μπορεί να υποβληθεί είτε πριν την έναρξη χρησιμοποίησης του ακινήτου ή εντός τριάντα (30) ημερών από την έναρξη της διαχειριστικής περιόδου, σε περίπτωση που η επιλογή πραγματοποιείται σε χρόνο μεταγενέστερο, και ισχύει από την έναρξη της διαχειριστικής περιόδου. Ειδικά για την πρώτη εφαρμογή, η αίτηση επιλογής φορολόγησης μπορεί να υποβληθεί μέχρι την 31η Δεκεμβρίου 2013, με έναρξη εφαρμογής από 1.1.2013, με την προϋπόθεση ότι με την περιοδική δήλωση του Δεκεμβρίου ή του τέταρτου τριμήνου θα καταβληθεί ο φόρος που αναλογεί για το διάστημα από 1.1.2013 μέχρι 31.12.2013. Η επιλογή φορολόγησης μπορεί να αφορά το σύνολο ή μέρος του οικοδομικού συγκροτήματος. Με την αίτηση προσδιορίζονται οι χώροι για τους οποίους γίνεται επιλογή φορολόγησης. Η επιλογή φορολόγησης μπορεί να ανακληθεί με υποβολή σχετικής αίτησης που υποβάλλεται εντός τριάντα (30) ημερών από την έναρξη της διαχειριστικής περιόδου και ισχύει από την έναρξη της διαχειριστικής περιόδου. Οι ανωτέρω διατάξεις ισχύουν και για επιχειρήσεις εκ μετάλλευσης εμπορικών κέντρων, οι οποίες είχαν υποβάλλει αίτηση επιλογής φορολόγησης και είχαν λάβει σχετική βεβαίωση υπαγωγής στο φόρο από την αρμόδια Δ.Ο.Υ., μέχρι την 31η Δεκεμβρίου 2012, χωρίς να εξετάζεται η εκπλήρωση των προϋποθέσεων που είχαν τεθεί με τις υπουργικές αποφάσεις που είχαν εκδοθεί κατ΄ εξουσιοδότηση της προϊσχύουσας διάταξης. Για τις επιχειρήσεις αυτές δεν απαιτείται η υποβολή νέας αίτησης επιλογής φορολόγησης. Επίσης οι ανωτέρω διατάξεις ισχύουν και για επιχειρήσεις που έχουν επιβάλλει Φ.Π.Α. στις πράξεις που καλύπτονται από το πρώτο εδάφιο πριν την 1η Ιανουαρίου 2013 και, κατά συνέπεια οι εν λόγω επιχειρήσεις έχουν δικαίωμα έκπτωσης για τις προηγούμενες χρήσεις για τις οποίες έχει επιβληθεί Φ.Π.Α., εκτός από την περίπτωση που έχουν εκδοθεί πράξεις προσδιορισμού του φόρου οι οποίες έχουν καταστεί καθ΄ οιονδήποτε τρόπο οριστικές. Στις περιπτώσεις αυτές απαιτείται η υποβολή αίτησης επιλογής φορολόγησης μέχρι 31.12.2013.</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 σκοπό αυτόν, ανεξάρτητα αν ο εργολάβος χρησιμοποιεί και δικά του υλικά.</w:t>
      </w:r>
    </w:p>
    <w:p>
      <w:pPr>
        <w:spacing w:before="240" w:after="240"/>
        <w:rPr>
          <w:lang w:val="el" w:eastAsia="el"/>
        </w:rPr>
      </w:pPr>
      <w:r>
        <w:rPr>
          <w:lang w:val="el" w:eastAsia="el"/>
        </w:rPr>
        <w:t>Η διάταξη της περίπτωσης αυτής ισχύει και όταν ο εργοδότης είναι υποκείμενος στο φόρο εγκατεστημένος σε άλλο κράτος-μέλος,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 φόρο μεσολαβεί σε παροχή υπηρεσιών, ενεργώντας στο όνομα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Οι διατάξεις της παρ. 4 του άρθρου 5 εφαρμόζονται αναλόγως και στις περιπτώσεις παροχής υπηρεσιών.</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καθορίζεται η έννοια του εμπορικού κέντρου, καθώς και οι προϋποθέσεις, η διαδικασία και οι λεπτομέρειες άσκησης της επιλογής της περίπτωσης δ`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καθορίζονται οι προϋποθέσεις, η διαδικασία και οι λεπτομέρειες άσκησης της επιλογής της περίπτωσης δ΄ (ii)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68"/>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παροχή υπηρεσιών</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1.</w:t>
      </w:r>
      <w:r>
        <w:rPr>
          <w:lang w:val="el" w:eastAsia="el"/>
        </w:rPr>
        <w:t xml:space="preserve"> Θεωρείται ως παροχή υπηρεσιών, κατά την έννοια των διατάξεων του άρθρου 2, η από υποκείμενο στο φόρο:</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 φόρο, καθώς επίσης και η χρησιμοποίηση δικών του υπηρεσιών για τις ανάγκες της επιχείρησής του, εφόσον πρόκειται για υπηρεσίες που προβλέπουν οι διατάξεις της παραγράφου 4 του άρθρου 30, για τις οποίες δεν παρέχεται δικαίωμα έκπτωσης του φόρου σε περίπτωση λήψης όμοιων υπηρεσιών από άλλον υποκείμενο στο φόρο.</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2.</w:t>
      </w:r>
      <w:r>
        <w:rPr>
          <w:lang w:val="el" w:eastAsia="el"/>
        </w:rPr>
        <w:t xml:space="preserve"> Δεν εξομοιώνεται με παροχή υπηρεσιών εξ επαχθούς αιτίας η χωρίς αντάλλαγμα παροχή υπηρεσιών από υποκείμενο στο φόρο για λόγους ανθρωπιστικούς.</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Με αποφάσεις του Υπουργού Οικονομικών εξειδικεύονται κατά περίπτωση οι όροι και οι λεπτομέρειες εφαρμογής της ανωτέρω διάταξης.</w:t>
      </w:r>
      <w:r>
        <w:rPr>
          <w:rStyle w:val="Hyperlink"/>
          <w:color w:val="000000"/>
          <w:sz w:val="20"/>
          <w:szCs w:val="20"/>
          <w:u w:val="none" w:color="0000EE"/>
          <w:vertAlign w:val="superscript"/>
          <w:lang w:val="el" w:eastAsia="el"/>
        </w:rPr>
        <w:footnoteReference w:id="75"/>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Εισαγωγή αγαθών </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των άρθρων 9 και 10 της Συνθήκης περί ιδρύσεως της Ευρωπαϊκής Οικονομικής Κοινότητας ή προκειμένου για αγαθά υπαγόμενα στη συνθήκη περί ιδρύσεως της Ευρωπαϊκής Κοινότητας `Ανθρακα και Χάλυβα, που δεν βρίσκονται σε ελεύθερη κυκλοφορία,</w:t>
      </w:r>
    </w:p>
    <w:p>
      <w:pPr>
        <w:pStyle w:val="StructureList1"/>
        <w:spacing w:before="120" w:after="0"/>
        <w:rPr>
          <w:lang w:val="el" w:eastAsia="el"/>
        </w:rPr>
      </w:pPr>
      <w:r>
        <w:rPr>
          <w:lang w:val="el" w:eastAsia="el"/>
        </w:rPr>
        <w:t>β)</w:t>
      </w:r>
      <w:r>
        <w:rPr>
          <w:lang w:val="en" w:eastAsia="en"/>
        </w:rPr>
        <w:tab/>
      </w:r>
      <w:r>
        <w:rPr>
          <w:lang w:val="el" w:eastAsia="el"/>
        </w:rPr>
        <w:t>Η είσοδος στο εσωτερικό της χώρας αγαθών προερχόμενων από τρίτες χώρες, εκτός από αυτά που αναφέρονται στην περίπτωση α΄.</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 χρόνο της εισόδου των στο εσωτερικό της Κοινότητας.</w:t>
      </w:r>
    </w:p>
    <w:p>
      <w:pPr>
        <w:pStyle w:val="MainText"/>
        <w:spacing w:before="120" w:after="0"/>
        <w:rPr>
          <w:lang w:val="el" w:eastAsia="el"/>
        </w:rPr>
      </w:pPr>
      <w:r>
        <w:rPr>
          <w:b/>
          <w:bCs/>
          <w:lang w:val="el" w:eastAsia="el"/>
        </w:rPr>
        <w:t>3.</w:t>
      </w:r>
      <w:r>
        <w:rPr>
          <w:lang w:val="el" w:eastAsia="el"/>
        </w:rPr>
        <w:t xml:space="preserve"> Κατά παρέκκλιση από την παράγραφο 2, αν τα αγαθά που εμπίπτουν στην περίπτωση α΄ της παραγράφου 1 έχουν υπαχθεί από τη στιγμή της εισόδου των στο εσωτερικό της Κοινότητας σε ένα από τα καθεστώτα, που αναφέρονται στα εδάφια αα΄ και ββ΄ της περίπτωσης β΄ της παρ. 1 του άρθρου 25,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περίπτωση β΄ της παραγράφου 1 έχουν τεθεί από το χρόνο της εισόδου τους στο εσωτερικό της Κοινότητας στα καθεστώτα προσωρινής εισαγωγής ή εσωτερικής κοινοτικής διαμετακόμισης, σύμφωνα με τις διατάξεις της παραγράφου 1 του άρθρου 61,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των διατάξεων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 μέλος, από το οποίο αναχώρησε η αποστολή ή η μεταφορά του αγαθού. </w:t>
      </w:r>
    </w:p>
    <w:p>
      <w:pPr>
        <w:pStyle w:val="MainText"/>
        <w:spacing w:before="120" w:after="0"/>
        <w:rPr>
          <w:lang w:val="el" w:eastAsia="el"/>
        </w:rPr>
      </w:pPr>
      <w:r>
        <w:rPr>
          <w:b/>
          <w:bCs/>
          <w:lang w:val="el" w:eastAsia="el"/>
        </w:rPr>
        <w:t>2.</w:t>
      </w:r>
      <w:r>
        <w:rPr>
          <w:lang w:val="el" w:eastAsia="el"/>
        </w:rPr>
        <w:t xml:space="preserve"> Κατά παρέκκλιση από την παράγραφο 1, δεν θεωρείται ενδοκοινοτική απόκτηση αγαθών η κατά τις διατάξεις του άρθρου 2 απόκτηση αγαθών που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από υποκείμενο στο φόρο που υπάγεται στο ειδικό καθεστώς των αγροτών του άρθρου 41,</w:t>
      </w:r>
    </w:p>
    <w:p>
      <w:pPr>
        <w:pStyle w:val="StructureList1"/>
        <w:spacing w:before="120" w:after="0"/>
        <w:rPr>
          <w:lang w:val="el" w:eastAsia="el"/>
        </w:rPr>
      </w:pPr>
      <w:r>
        <w:rPr>
          <w:lang w:val="el" w:eastAsia="el"/>
        </w:rPr>
        <w:t>β)</w:t>
      </w:r>
      <w:r>
        <w:rPr>
          <w:lang w:val="en" w:eastAsia="en"/>
        </w:rPr>
        <w:tab/>
      </w:r>
      <w:r>
        <w:rPr>
          <w:lang w:val="el" w:eastAsia="el"/>
        </w:rPr>
        <w:t>από υποκείμενο στο φόρο που πραγματοποιεί μόνο παραδόσεις αγαθών ή παροχές υπηρεσιών, που δεν του παρέχουν κανένα δικαίωμα έκπτωσης και</w:t>
      </w:r>
    </w:p>
    <w:p>
      <w:pPr>
        <w:pStyle w:val="StructureList1"/>
        <w:spacing w:before="120" w:after="0"/>
        <w:rPr>
          <w:lang w:val="el" w:eastAsia="el"/>
        </w:rPr>
      </w:pPr>
      <w:r>
        <w:rPr>
          <w:lang w:val="el" w:eastAsia="el"/>
        </w:rPr>
        <w:t>γ)</w:t>
      </w:r>
      <w:r>
        <w:rPr>
          <w:lang w:val="en" w:eastAsia="en"/>
        </w:rPr>
        <w:tab/>
      </w:r>
      <w:r>
        <w:rPr>
          <w:lang w:val="el" w:eastAsia="el"/>
        </w:rPr>
        <w:t>από μη υποκείμενο στο φόρο νομικό πρόσωπο, εφόσον το ύφος των συναλλαγών αυτών, χωρίς το φόρο προστιθέμενης αξίας, που οφείλεται στο κράτος - μέλος της αναχώρησης της αποστολής ή της μεταφοράς, δεν υπερβαίνει κατά την προηγούμενη διαχειριστική περίοδο το ποσό των δύο εκατομμυρίων πεντακοσίων χιλιάδων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Οι διατάξεις της παρούσας παραγράφου δεν ισχύουν προκειμένου για καινούργια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στις διατάξεις της παραγράφου αυτής μπορούν να επιλέγουν τη φορολόγηση τους, σύμφωνα με τις διατάξεις της παραγράφου 1.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pStyle w:val="MainText"/>
        <w:spacing w:before="120" w:after="0"/>
        <w:rPr>
          <w:lang w:val="el" w:eastAsia="el"/>
        </w:rPr>
      </w:pPr>
      <w:r>
        <w:rPr>
          <w:b/>
          <w:bCs/>
          <w:lang w:val="el" w:eastAsia="el"/>
        </w:rPr>
        <w:t>3.</w:t>
      </w:r>
      <w:r>
        <w:rPr>
          <w:lang w:val="el" w:eastAsia="el"/>
        </w:rPr>
        <w:t xml:space="preserve"> Επίσης, κατά παρέκκλιση της παρ. 1, δεν θεωρείται ενδοκοινοτική απόκτηση αγαθών η κατά το άρθρο 2 απόκτηση αγαθών των οποίων η παράδοση απαλλάσσεται στο εσωτερικό της χώρας από τον φόρο, σύμφωνα με τις περ. α`, β`, γ`, δ`, στ` και ζ` της παρ. 1 του άρθρου 27. 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νοούνται ως «προϊόντα υποκείμενα σε ειδικό φόρο κατανάλωσης» τα ενεργειακά προϊόντα, η αλκοόλη και τα αλκοολούχα ποτά και τα βιομηχανοποιημένα καπνά, όπως ορίζονται από τις ισχύουσες κοινοτικές διατάξεις, εκτός από το αέριο που παραδίδεται μέσω συστήματος φυσικού αερίου ευρισκόμενου στο έδαφος της Κοινότητας ή μέσω οποιουδήποτε δικτύου συνδεδεμένου με τέτοιο σύστημα,</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εφτάμιση (7,5) μέτρων, τα αεροσκάφη των οποίων το συνολικό βάρος κατά την απογείωση υπερβαίνει τα 1.550 χιλιόγραμμα και τα χερσαία οχήματα με κινητήρα κυβισμού άνω των 48 κυβικών εκατοστών ή ισχύος άνω των 7,2 KW τα οποία προορίζονται για τη μεταφορά προσώπων ή εμπορευμάτων, με εξαίρεση τα σκάφη και τα αεροσκάφη που αναφέρονται στο άρθρο 27.</w:t>
      </w:r>
    </w:p>
    <w:p>
      <w:pPr>
        <w:pStyle w:val="StructureList1"/>
        <w:spacing w:before="120" w:after="0"/>
        <w:rPr>
          <w:lang w:val="el" w:eastAsia="el"/>
        </w:rPr>
      </w:pPr>
      <w:r>
        <w:rPr>
          <w:lang w:val="el" w:eastAsia="el"/>
        </w:rPr>
        <w:t>γ)</w:t>
      </w:r>
      <w:r>
        <w:rPr>
          <w:lang w:val="en" w:eastAsia="en"/>
        </w:rPr>
        <w:tab/>
      </w:r>
      <w:r>
        <w:rPr>
          <w:lang w:val="el" w:eastAsia="el"/>
        </w:rPr>
        <w:t>δεν θεωρούνται ως "καινούργια", τα μεταφορικά μέσα που αναφέρονται στην προηγούμενη περίπτωση β΄ όταν πληρούνται σωρευτικά οι ακόλουθες δύο προϋποθέσεις:</w:t>
      </w:r>
    </w:p>
    <w:p>
      <w:pPr>
        <w:pStyle w:val="StructureList1"/>
        <w:spacing w:before="120" w:after="0"/>
        <w:rPr>
          <w:lang w:val="el" w:eastAsia="el"/>
        </w:rPr>
      </w:pPr>
      <w:r>
        <w:rPr>
          <w:lang w:val="el" w:eastAsia="el"/>
        </w:rPr>
        <w:t>αα)</w:t>
      </w:r>
      <w:r>
        <w:rPr>
          <w:lang w:val="en" w:eastAsia="en"/>
        </w:rPr>
        <w:tab/>
      </w:r>
      <w:r>
        <w:rPr>
          <w:lang w:val="el" w:eastAsia="el"/>
        </w:rPr>
        <w:t>η παράδοση έχει πραγματοποιηθεί μετά την πάροδο τριών μηνών από την ημερομηνία της πρώτης θέσης σε κυκλοφορία. Ειδικά, για τα χερσαία οχήματα η ανωτέρω χρονική διάρκεια αυξάνεται σε έξι μήνες.</w:t>
      </w:r>
    </w:p>
    <w:p>
      <w:pPr>
        <w:pStyle w:val="StructureList1"/>
        <w:spacing w:before="120" w:after="0"/>
        <w:rPr>
          <w:lang w:val="el" w:eastAsia="el"/>
        </w:rPr>
      </w:pPr>
      <w:r>
        <w:rPr>
          <w:lang w:val="el" w:eastAsia="el"/>
        </w:rPr>
        <w:t>ββ)</w:t>
      </w:r>
      <w:r>
        <w:rPr>
          <w:lang w:val="en" w:eastAsia="en"/>
        </w:rPr>
        <w:tab/>
      </w:r>
      <w:r>
        <w:rPr>
          <w:lang w:val="el" w:eastAsia="el"/>
        </w:rPr>
        <w:t>το μεταφορικό μέσο έχει διανύσει περισσότερα από 6.000 χιλιόμετρα, αν πρόκειται για χερσαίο όχημα, έχει πραγματοποιήσει άνω των 100 ωρών πλεύσης, αν πρόκειται για σκάφος και άνω των 40 ωρών πτήσης, αν πρόκειται για αεροσκάφος.</w:t>
      </w:r>
    </w:p>
    <w:p>
      <w:pPr>
        <w:pStyle w:val="MainText"/>
        <w:spacing w:before="120" w:after="0"/>
        <w:rPr>
          <w:lang w:val="el" w:eastAsia="el"/>
        </w:rPr>
      </w:pPr>
      <w:r>
        <w:rPr>
          <w:b/>
          <w:bCs/>
          <w:lang w:val="el" w:eastAsia="el"/>
        </w:rPr>
        <w:t>5.</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των διατάξεων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 φόρο για τις ανάγκες της επιχείρησης του, το οποίο αποστέλλεται ή μεταφέρεται από τον ίδιο ή από άλλο πρόσωπο που ενεργεί για λογαριασμό του, από ένα άλλο κράτος - μέλος εντός του οποίου έχει παραχθεί, εξορυχθεί. μεταποιηθεί, αγορασθεί, αποκτηθεί ή έχει εισαχθεί σ΄ αυτό το κράτος - μέλος από τον ίδιο, στα πλαίσια της επιχείρησης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 φόρο, τα οποία αποστέλλονται ή μεταφέρονται από το ίδιο πρόσωπο από άλλο κράτος -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 μέλος στο εσωτερικό της χώρας, κατά ανάλογη εφαρμογή του δεύτερου και τρίτου εδαφίου της παραγράφου 3 του άρθρου 7 του παρόντος.</w:t>
      </w:r>
    </w:p>
    <w:p>
      <w:pPr>
        <w:pStyle w:val="Heading6"/>
        <w:spacing w:before="240" w:after="240"/>
        <w:rPr>
          <w:lang w:val="el" w:eastAsia="el"/>
        </w:rPr>
      </w:pPr>
      <w:r>
        <w:rPr>
          <w:b/>
          <w:bCs/>
          <w:lang w:val="el" w:eastAsia="el"/>
        </w:rPr>
        <w:t xml:space="preserve">Άρθρο 12α </w:t>
      </w:r>
    </w:p>
    <w:p>
      <w:pPr>
        <w:pStyle w:val="Heading6"/>
        <w:spacing w:before="240" w:after="240"/>
        <w:rPr>
          <w:lang w:val="el" w:eastAsia="el"/>
        </w:rPr>
      </w:pPr>
      <w:r>
        <w:rPr>
          <w:b/>
          <w:bCs/>
          <w:lang w:val="el" w:eastAsia="el"/>
        </w:rPr>
        <w:t>Κουπόνια</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1.</w:t>
      </w:r>
      <w:r>
        <w:rPr>
          <w:lang w:val="el" w:eastAsia="el"/>
        </w:rPr>
        <w:t xml:space="preserve"> Ορισμοί.</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Για τους σκοπούς εφαρμογής του παρόντος:</w:t>
      </w:r>
    </w:p>
    <w:p>
      <w:pPr>
        <w:pStyle w:val="StructureList1"/>
        <w:spacing w:before="120" w:after="0"/>
        <w:rPr>
          <w:lang w:val="el" w:eastAsia="el"/>
        </w:rPr>
      </w:pPr>
      <w:r>
        <w:rPr>
          <w:lang w:val="el" w:eastAsia="el"/>
        </w:rPr>
        <w:t>α)</w:t>
      </w:r>
      <w:r>
        <w:rPr>
          <w:lang w:val="en" w:eastAsia="en"/>
        </w:rPr>
        <w:tab/>
      </w:r>
      <w:r>
        <w:rPr>
          <w:lang w:val="el" w:eastAsia="el"/>
        </w:rPr>
        <w:t>ως «κουπόνι» νοείται ένα μέσο, για το οποίο υπάρχει υποχρέωση αποδοχής του ως ανταλλάγματος ή μέρους ανταλλάγματος για μια παράδοση αγαθών ή παροχή υπηρεσιών και όπου τα αγαθά που θα παραδοθούν ή οι υπηρεσίες που θα παρασχεθούν ή οι ταυτότητες των ενδεχόμενων προμηθευτών αναγράφονται είτε στο ίδιο το μέσο είτε στη σχετική τεκμηρίωση, συμπεριλαμβανομένων των όρων και των προϋποθέσεων χρήσης αυτού του μέσου,</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β)</w:t>
      </w:r>
      <w:r>
        <w:rPr>
          <w:lang w:val="en" w:eastAsia="en"/>
        </w:rPr>
        <w:tab/>
      </w:r>
      <w:r>
        <w:rPr>
          <w:lang w:val="el" w:eastAsia="el"/>
        </w:rPr>
        <w:t>ως «κουπόνι συγκεκριμένου σκοπού» νοείται ένα κουπόνι, όταν ο τόπος παράδοσης των αγαθών ή παροχής των υπηρεσιών που αφορά το κουπόνι και ο Φ.Π.Α. που οφείλεται για τα εν λόγω αγαθά ή υπηρεσίες, είναι γνωστά κατά το χρόνο έκδοσης του κουπονιού,</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γ)</w:t>
      </w:r>
      <w:r>
        <w:rPr>
          <w:lang w:val="en" w:eastAsia="en"/>
        </w:rPr>
        <w:tab/>
      </w:r>
      <w:r>
        <w:rPr>
          <w:lang w:val="el" w:eastAsia="el"/>
        </w:rPr>
        <w:t>ως «κουπόνι πολλαπλών σκοπών» νοείται ένα κουπόνι διαφορετικό από το κουπόνι συγκεκριμένου σκοπού.</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2.</w:t>
      </w:r>
      <w:r>
        <w:rPr>
          <w:lang w:val="el" w:eastAsia="el"/>
        </w:rPr>
        <w:t xml:space="preserve"> Κάθε μεταβίβαση κουπονιού συγκεκριμένου σκοπού που πραγματοποιείται από υποκείμενο στον φόρο, ο οποίος ενεργεί εξ ιδίου ονόματος, θεωρείται ως παράδοση των αγαθών ή παροχή των υπηρεσιών που αφορά το κουπόνι. Η πραγματική παράδοση των αγαθών ή η πραγματική παροχή των υπηρεσιών έναντι κουπονιού συγκεκριμένου σκοπού, το οποίο γίνεται αποδεκτό από τον προμηθευτή ως αντάλλαγμα ή μέρος ανταλλάγματος δεν θεωρείται ως ανεξάρτητη συναλλαγή.</w:t>
      </w:r>
    </w:p>
    <w:p>
      <w:pPr>
        <w:spacing w:before="240" w:after="240"/>
        <w:rPr>
          <w:lang w:val="el" w:eastAsia="el"/>
        </w:rPr>
      </w:pPr>
      <w:r>
        <w:rPr>
          <w:lang w:val="el" w:eastAsia="el"/>
        </w:rPr>
        <w:t>Όταν μια μεταβίβαση κουπονιού συγκεκριμένου σκοπού διενεργείται από υποκείμενο στον φόρο που ενεργεί εξ’ ονόματος άλλου υποκειμένου στον φόρο, η μεταβίβαση αυτή θεωρείται ως παράδοση των αγαθών ή παροχή των υπηρεσιών με τα οποία σχετίζεται το κουπόνι, πραγματοποιούμενη από τον άλλο υποκείμενο στον φόρο, εξ’ ονόματος του οποίου ο υποκείμενος στον φόρο ενεργεί.</w:t>
      </w:r>
    </w:p>
    <w:p>
      <w:pPr>
        <w:spacing w:before="240" w:after="240"/>
        <w:rPr>
          <w:lang w:val="el" w:eastAsia="el"/>
        </w:rPr>
      </w:pPr>
      <w:r>
        <w:rPr>
          <w:lang w:val="el" w:eastAsia="el"/>
        </w:rPr>
        <w:t>Αν ο προμηθευτής αγαθών ή υπηρεσιών δεν είναι ο υποκείμενος στον φόρο που, ενεργώντας εξ’ ιδίου ονόματος, εξέδωσε το κουπόνι συγκεκριμένου σκοπού, ο εν λόγω προμηθευτής θεωρείται, παρ’ όλα αυτά, ότι έχει προμηθεύσει τα αγαθά ή έχει παράσχει τις υπηρεσίες που αφορά το κουπόνι στον εν λόγω υποκείμενο στον φόρο.</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3.</w:t>
      </w:r>
      <w:r>
        <w:rPr>
          <w:lang w:val="el" w:eastAsia="el"/>
        </w:rPr>
        <w:t xml:space="preserve"> Η πραγματική παράδοση των αγαθών ή η πραγματική παροχή των υπηρεσιών, έναντι κουπονιού πολλαπλών σκοπών που γίνεται αποδεκτό ως αντάλλαγμα ή μέρος ανταλλάγματος από τον προμηθευτή υπόκειται σε Φ.Π.Α., σύμφωνα με το άρθρο 2 ενώ κάθε προηγούμενη μεταβίβαση του εν λόγω κουπονιού πολλαπλών σκοπών δεν υπόκειται σε Φ.Π.Α. Όταν ένα κουπόνι πολλαπλών σκοπών μεταβιβάζεται από έναν υποκείμενο στον φόρο διαφορετικό από τον υποκείμενο στον φόρο που διενεργεί τη συναλλαγή που υπόκειται στον Φ.Π.Α., σύμφωνα με το πρώτο εδάφιο οποιαδήποτε παροχή υπηρεσιών που μπορεί να προσδιορισθεί, όπως υπηρεσίες διανομής ή υπηρεσίες προώθησης, υπόκειται σε Φ.Π.Α..</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4.</w:t>
      </w:r>
      <w:r>
        <w:rPr>
          <w:lang w:val="el" w:eastAsia="el"/>
        </w:rPr>
        <w:t xml:space="preserve"> Το παρόν άρθρο και η παράγραφος 1α του άρθρου 19 εφαρμόζονται μόνο για τα κουπόνια που εκδίδονται μετά την 31η Δεκεμβρίου 2018.</w:t>
      </w:r>
      <w:r>
        <w:rPr>
          <w:rStyle w:val="Hyperlink"/>
          <w:color w:val="000000"/>
          <w:sz w:val="20"/>
          <w:szCs w:val="20"/>
          <w:u w:val="none" w:color="0000EE"/>
          <w:vertAlign w:val="superscript"/>
          <w:lang w:val="el" w:eastAsia="el"/>
        </w:rPr>
        <w:footnoteReference w:id="86"/>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Κοινότητας,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διάταξης αυτής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το οποίο λαμβάνει χώρα στο εσωτερικό της Κοινότητας", το τμήμα που πραγματοποιείται χωρίς σταθμό εκτός της Κοινότητας,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Κοινότητας, ενδεχομένους μετά από προσέγγιση εκτός της Κοινότητας,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Κοινότητας, το οποίο προβλέπεται στο εσωτερικό της Κοινότητας, ενδεχομένους πριν από προσέγγιση εκτός της Κοινότητας.</w:t>
      </w:r>
    </w:p>
    <w:p>
      <w:pPr>
        <w:spacing w:before="240" w:after="240"/>
        <w:rPr>
          <w:lang w:val="el" w:eastAsia="el"/>
        </w:rPr>
      </w:pPr>
      <w:r>
        <w:rPr>
          <w:lang w:val="el" w:eastAsia="el"/>
        </w:rPr>
        <w:t>Εάν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 </w:t>
      </w:r>
    </w:p>
    <w:p>
      <w:pPr>
        <w:pStyle w:val="MainText"/>
        <w:spacing w:before="120" w:after="0"/>
        <w:rPr>
          <w:lang w:val="el" w:eastAsia="el"/>
        </w:rPr>
      </w:pPr>
      <w:r>
        <w:rPr>
          <w:b/>
          <w:bCs/>
          <w:lang w:val="el" w:eastAsia="el"/>
        </w:rPr>
        <w:t>3.</w:t>
      </w:r>
      <w:r>
        <w:rPr>
          <w:lang w:val="el" w:eastAsia="el"/>
        </w:rPr>
        <w:t xml:space="preserve"> Στην περίπτωση παράδοσης αερίου μέσω συστήματος φυσικού αερίου, ευρισκόμενου στο έδαφος της Κοινότητας ή οποιουδήποτε άλλου δικτύου συνδεδεμένου με τέτοιο σύστημα, ηλεκτρικής ενέργειας ή θερμότητας ή ψύχους μέσω δικτύων θέρμανσης ή ψύξης:</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α)</w:t>
      </w:r>
      <w:r>
        <w:rPr>
          <w:lang w:val="en" w:eastAsia="en"/>
        </w:rPr>
        <w:tab/>
      </w:r>
      <w:r>
        <w:rPr>
          <w:lang w:val="el" w:eastAsia="el"/>
        </w:rPr>
        <w:t>σε μεταπωλητή υποκείμενο στο φόρο, ως τόπος παράδοσης θεωρείται ο τόπος όπου ο υποκείμενος στο φόρο μεταπωλητής έχει την έδρα της οικονομικής δραστηριότητάς του ή τη μόνιμη εγκατάστασή του για την οποία παραδίδονται τα αγαθά ή, σε περίπτωση έλλειψης έδρας ή μόνιμης εγκατάστασης, ο τόπος όπου έχει τη μόνιμη κατοικία ή τη συνήθη διαμονή του. Για τους σκοπούς της παρούσας διάταξης, ως «μεταπωλητής υποκείμενος στο φόρο» νοείται ο υποκείμενος στο φόρο του οποίου η κύρια δραστηριότητα όσον αφορά τις αγορές αερίου, ηλεκτρικής ενέργειας, θερμότητας ή ψύχους, είναι η μεταπώληση των ανωτέρω προϊόντων και του οποίου η ίδια κατανάλωση των προϊόντων αυτών είναι αμελητέα.</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β)</w:t>
      </w:r>
      <w:r>
        <w:rPr>
          <w:lang w:val="en" w:eastAsia="en"/>
        </w:rPr>
        <w:tab/>
      </w:r>
      <w:r>
        <w:rPr>
          <w:lang w:val="el" w:eastAsia="el"/>
        </w:rPr>
        <w:t>Εφόσον δεν καλύπτεται από την παραπάνω περίπτωση α΄, ως τόπος παράδοσης θεωρείται ο τόπος πραγματικής χρησιμοποίησης και κατανάλωσης των αγαθών από τον πελάτη.</w:t>
      </w:r>
    </w:p>
    <w:p>
      <w:pPr>
        <w:spacing w:before="240" w:after="240"/>
        <w:rPr>
          <w:lang w:val="el" w:eastAsia="el"/>
        </w:rPr>
      </w:pPr>
      <w:r>
        <w:rPr>
          <w:lang w:val="el" w:eastAsia="el"/>
        </w:rPr>
        <w:t>Όταν το σύνολο ή μέρος των αγαθών δεν καταναλώνεται πραγματικά από τον εν λόγω πελάτη, τεκμαίρεται ότι αυτά τα μη καταναλωθέντα αγαθά έχουν χρησιμοποιηθεί και καταναλωθεί στον τόπο όπου έχει την έδρα της οικονομικής δραστηριότητάς του ή τη μόνιμη εγκατάστασή του για την οποία παραδίδονται τα αγαθά. Στην περίπτωση απουσίας της εν λόγω έδρας οικονομικής δραστηριότητας ή μόνιμης εγκατάστασης, τεκμαίρεται ότι χρησιμοποίησε και κατανάλωσε τα αγαθά στον τόπο όπου έχει τη μόνιμη κατοικία ή τη συνήθη διαμονή του.</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5.</w:t>
      </w:r>
      <w:r>
        <w:rPr>
          <w:lang w:val="el" w:eastAsia="el"/>
        </w:rPr>
        <w:t xml:space="preserve"> Ο τόπος παράδοσης στις ενδοκοινοτικές εξ αποστάσεως πωλήσεις αγαθών:</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κατά τον χρόνο άφιξης της αποστολής ή της μεταφοράς στον αποκτώντα πελάτη, τα αγαθά βρίσκονται στο εσωτερικό της χώρας,</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κατά τον χρόνο άφιξης της αποστολής ή της μεταφοράς στον αποκτώντα πελάτη, τα αγαθά δεν βρίσκονται στο εσωτερικό της Xώρας.</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6.</w:t>
      </w:r>
      <w:r>
        <w:rPr>
          <w:lang w:val="el" w:eastAsia="el"/>
        </w:rPr>
        <w:t xml:space="preserve"> Ο τόπος παράδοσης στις εξ αποστάσεως πωλήσεις αγαθών που εισάγονται από τρίτα εδάφη ή τρίτες χώρες:</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στην περίπτωση κατά την οποία τα αγαθά εισάγονται σε κράτος μέλος διαφορετικό από το κράτος μέλος άφιξης της αποστολής ή της μεταφοράς στον αποκτώντα πελάτη, εφόσον κατά τον χρόνο άφιξης της αποστολής ή της μεταφοράς στον αποκτώντα πελάτη τα αγαθά βρίσκονται στο εσωτερικό της Χώρας,</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στην περίπτωση κατά την οποία τα αγαθά εισάγονται στη Χώρα μας και ο τόπος άφιξης της αποστολής ή της μεταφοράς στον αποκτώντα πελάτη είναι σε διαφορετικό κράτος μέλος,</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γ)</w:t>
      </w:r>
      <w:r>
        <w:rPr>
          <w:lang w:val="en" w:eastAsia="en"/>
        </w:rPr>
        <w:tab/>
      </w:r>
      <w:r>
        <w:rPr>
          <w:lang w:val="el" w:eastAsia="el"/>
        </w:rPr>
        <w:t>είναι το εσωτερικό της Χώρας, στην περίπτωση κατά την οποία ο τόπος εισαγωγής και ο τόπος άφιξης της αποστολής ή της μεταφοράς στον αποκτώντα πελάτη βρίσκονται στο εσωτερικό της Χώρας και ο ΦΠΑ επί των εν λόγω αγαθών δηλώνεται δυνάμει του ειδικού καθεστώτος του άρθρου 47δ ή αντίστοιχου καθεστώτος που εφαρμόζεται σε άλλο κράτος μέλος.</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6α.</w:t>
      </w:r>
      <w:r>
        <w:rPr>
          <w:lang w:val="el" w:eastAsia="el"/>
        </w:rPr>
        <w:t xml:space="preserve"> Στην περίπτωση διαδοχικής παράδοσης των ίδιων αγαθών, τα οποία αποστέλλονται ή μεταφέρονται από ένα κράτος - μέλος σε άλλο κράτος-μέλος, απευθείας από τον πρώτο προμηθευτή στον τελευταίο παραλήπτη της αλυσίδας, η αποστολή ή μεταφορά αποδίδεται μόνο στην παράδοση προς τον ενδιάμεσο φορέα εκμετάλλευσης.</w:t>
      </w:r>
    </w:p>
    <w:p>
      <w:pPr>
        <w:spacing w:before="240" w:after="240"/>
        <w:rPr>
          <w:lang w:val="el" w:eastAsia="el"/>
        </w:rPr>
      </w:pPr>
      <w:r>
        <w:rPr>
          <w:lang w:val="el" w:eastAsia="el"/>
        </w:rPr>
        <w:t>Κατά παρέκκλιση του προηγούμενου εδαφίου, εάν ο ενδιάμεσος φορέας εκμετάλλευσης κοινοποιήσει στον προμηθευτή του τον αριθμό φορολογικού μητρώου Φ.Π.Α. που έχει λάβει από το κράτος-μέλος από το οποίο αποστέλλονται ή μεταφέρονται τα αγαθά, η αποστολή ή μεταφορά αποδίδεται μόνο στην παράδοση αγαθών από τον ενδιάμεσο φορέα εκμετάλλευσης.</w:t>
      </w:r>
    </w:p>
    <w:p>
      <w:pPr>
        <w:spacing w:before="240" w:after="240"/>
        <w:rPr>
          <w:lang w:val="el" w:eastAsia="el"/>
        </w:rPr>
      </w:pPr>
      <w:r>
        <w:rPr>
          <w:lang w:val="el" w:eastAsia="el"/>
        </w:rPr>
        <w:t>Για τους σκοπούς της παρούσας διάταξης, ως «ενδιάμεσος φορέας εκμετάλλευσης» νοείται ένας προμηθευτής διαφορετικός από τον πρώτο προμηθευτή στην αλυσίδα, ο οποίος αποστέλλει ή μεταφέρει τα αγαθά είτε ο ίδιος είτε μέσω τρίτου που ενεργεί για λογαριασμό του.</w:t>
      </w:r>
    </w:p>
    <w:p>
      <w:pPr>
        <w:spacing w:before="240" w:after="240"/>
        <w:rPr>
          <w:lang w:val="el" w:eastAsia="el"/>
        </w:rPr>
      </w:pPr>
      <w:r>
        <w:rPr>
          <w:lang w:val="el" w:eastAsia="el"/>
        </w:rPr>
        <w:t>Η παρούσα δεν εφαρμόζεται στις περιπτώσεις που καλύπτονται από το άρθρο 5β.</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6β.</w:t>
      </w:r>
      <w:r>
        <w:rPr>
          <w:lang w:val="el" w:eastAsia="el"/>
        </w:rPr>
        <w:t xml:space="preserve"> Όταν υποκείμενος στον φόρο θεωρείται ότι έχει παραλάβει και παραδώσει αγαθά σύμφωνα με το άρθρο 5β, η αποστολή ή η μεταφορά των αγαθών αποδίδεται στην παράδοση που πραγματοποιείται από τον εν λόγω υποκείμενο στον φόρο.</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έχουν εφαρμογή σας παραδόσεις αγαθών που υπάγονται σε φόρο, σύμφωνα με τις διατάξεις των άρθρ. 45 και 46. Για τις παραδόσεις αγαθών των άρθρων 45 και 46 ως τόπος παράδοσης τους θεωρείται ο τόπος εγκατάστασης του υποκείμενου στο φόρο μεταπωλητή και του διοργανωτή της δημοπρασίας.</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101"/>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Η παροχή υπηρεσιών θεωρείται ότι πραγματοποιείται στην Ελλάδα, εφόσον κατά το χρόνο γένεσης της φορολογικής υποχρέωσης αυτός που παρέχει τις υπηρεσίες έχει στο εσωτερικό της χώρας την έδρα της οικονομικής του δραστηριότητας ή τη μόνιμη εγκατάσταση του από την οποία παρέχονται οι υπηρεσίες ή. αν δεν υπάρχει έδρα ή μόνιμη εγκατάσταση, την κατοικία ή τη συνήθη διαμονή του. </w:t>
      </w:r>
    </w:p>
    <w:p>
      <w:pPr>
        <w:pStyle w:val="MainText"/>
        <w:spacing w:before="120" w:after="0"/>
        <w:rPr>
          <w:lang w:val="el" w:eastAsia="el"/>
        </w:rPr>
      </w:pPr>
      <w:r>
        <w:rPr>
          <w:b/>
          <w:bCs/>
          <w:lang w:val="el" w:eastAsia="el"/>
        </w:rPr>
        <w:t>2.</w:t>
      </w:r>
      <w:r>
        <w:rPr>
          <w:lang w:val="el" w:eastAsia="el"/>
        </w:rPr>
        <w:t xml:space="preserve"> Κατ΄ εξαίρεση, ο τόπος παροχής θεωρείται ότι βρίσκεται στην Ελλάδα στις περιπτώσεις που αναφέρονται στις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υπηρεσίες συναφείς με ακίνητα κείμενα στο εσωτερικό της χώρας, στις οποίες περιλαμβάνονται και οι υπηρεσίες που παρέχονται από κτηματομεσίτες, μηχανικούς, εμπειρογνώμονες. αρχιτέκτονες και γραφεία επιβλέψεων,</w:t>
      </w:r>
    </w:p>
    <w:p>
      <w:pPr>
        <w:pStyle w:val="StructureList1"/>
        <w:spacing w:before="120" w:after="0"/>
        <w:rPr>
          <w:lang w:val="el" w:eastAsia="el"/>
        </w:rPr>
      </w:pPr>
      <w:r>
        <w:rPr>
          <w:lang w:val="el" w:eastAsia="el"/>
        </w:rPr>
        <w:t>β)</w:t>
      </w:r>
      <w:r>
        <w:rPr>
          <w:lang w:val="en" w:eastAsia="en"/>
        </w:rPr>
        <w:tab/>
      </w:r>
      <w:r>
        <w:rPr>
          <w:lang w:val="el" w:eastAsia="el"/>
        </w:rPr>
        <w:t>υπηρεσίες μεταφοράς, εφόσον εκτελούνται στο εσωτερικό της χώρας και προκειμένου για μεταφορές, με τόπο αναχώρησης της μεταφοράς το εσωτερικό της χώρας και τόπο άφιξης έδαφος εκτός της Κοινότητας ή αντίστροφα, για το διανυόμενο στο εσωτερικό της χώρας τμήμα της ολικής διαδρομής.</w:t>
      </w:r>
    </w:p>
    <w:p>
      <w:pPr>
        <w:spacing w:before="240" w:after="240"/>
        <w:rPr>
          <w:lang w:val="el" w:eastAsia="el"/>
        </w:rPr>
      </w:pPr>
      <w:r>
        <w:rPr>
          <w:lang w:val="el" w:eastAsia="el"/>
        </w:rPr>
        <w:t>Η διάταξη αυτή ισχύει και προκειμένου για ενδοκοινοτικές μεταφορές προσώπων.</w:t>
      </w:r>
    </w:p>
    <w:p>
      <w:pPr>
        <w:pStyle w:val="StructureList1"/>
        <w:spacing w:before="120" w:after="0"/>
        <w:rPr>
          <w:lang w:val="el" w:eastAsia="el"/>
        </w:rPr>
      </w:pPr>
      <w:r>
        <w:rPr>
          <w:lang w:val="el" w:eastAsia="el"/>
        </w:rPr>
        <w:t>γ)</w:t>
      </w:r>
      <w:r>
        <w:rPr>
          <w:lang w:val="en" w:eastAsia="en"/>
        </w:rPr>
        <w:tab/>
      </w:r>
      <w:r>
        <w:rPr>
          <w:lang w:val="el" w:eastAsia="el"/>
        </w:rPr>
        <w:t>υπηρεσίες ενδοκοινοτικής μεταφοράς αγαθών, καθώς και υπηρεσίες μεσολάβησης για την πραγματοποίηση αυτών των υπηρεσιών, που πραγματοποιούνται από πρόσωπα που ενεργούν στο όνομα και για λογαριασμό άλλων προσώπων, εφόσον ο τόπος αναχώρησης της μεταφοράς βρίσκεται στο εσωτερικό της χώρας και ο τόπος άφιξης της μεταφοράς βρίσκεται σε άλλο κράτος - μέλος.</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αα)</w:t>
      </w:r>
      <w:r>
        <w:rPr>
          <w:lang w:val="en" w:eastAsia="en"/>
        </w:rPr>
        <w:tab/>
      </w:r>
      <w:r>
        <w:rPr>
          <w:lang w:val="el" w:eastAsia="el"/>
        </w:rPr>
        <w:t>"ενδοκοινοτική μεταφορά αγαθών", κάθε μεταφορά αγαθών της οποίας ο τόπος αναχώρησης και ο τόπος άφιξης βρίσκονται στο εσωτερικό δύο διαφορετικών κρατών - μελών.</w:t>
      </w:r>
    </w:p>
    <w:p>
      <w:pPr>
        <w:spacing w:before="240" w:after="240"/>
        <w:rPr>
          <w:lang w:val="el" w:eastAsia="el"/>
        </w:rPr>
      </w:pPr>
      <w:r>
        <w:rPr>
          <w:lang w:val="el" w:eastAsia="el"/>
        </w:rPr>
        <w:t>Εξομοιώνεται προς ενδοκοινοτική μεταφορά αγαθών, η μεταφορά αγαθών της οποίας ο τόπος αναχώρησης και ο τόπος άφιξης βρίσκονται στο εσωτερικό της χώρας, εφόσον η μεταφορά αυτή συνδέεται άμεσα με μεταφορά αγαθών της οποίας ο τόπος αναχώρησης και ο τόπος άφιξης βρίσκονται στο έδαφος δύο διαφορετικών κρατών - μελών,</w:t>
      </w:r>
    </w:p>
    <w:p>
      <w:pPr>
        <w:pStyle w:val="StructureList1"/>
        <w:spacing w:before="120" w:after="0"/>
        <w:rPr>
          <w:lang w:val="el" w:eastAsia="el"/>
        </w:rPr>
      </w:pPr>
      <w:r>
        <w:rPr>
          <w:lang w:val="el" w:eastAsia="el"/>
        </w:rPr>
        <w:t>ββ)</w:t>
      </w:r>
      <w:r>
        <w:rPr>
          <w:lang w:val="en" w:eastAsia="en"/>
        </w:rPr>
        <w:tab/>
      </w:r>
      <w:r>
        <w:rPr>
          <w:lang w:val="el" w:eastAsia="el"/>
        </w:rPr>
        <w:t>"τόπος αναχώρησης", ο τόπος όπου αρχίζει πραγματικά η μεταφορά των αγαθών, χωρίς να λαμβάνονται υπόψη οι πραγματοποιούμενες διαδρομές προς τον τόπο όπου βρίσκονται τα αγαθά,</w:t>
      </w:r>
    </w:p>
    <w:p>
      <w:pPr>
        <w:pStyle w:val="StructureList1"/>
        <w:spacing w:before="120" w:after="0"/>
        <w:rPr>
          <w:lang w:val="el" w:eastAsia="el"/>
        </w:rPr>
      </w:pPr>
      <w:r>
        <w:rPr>
          <w:lang w:val="el" w:eastAsia="el"/>
        </w:rPr>
        <w:t>γγ)</w:t>
      </w:r>
      <w:r>
        <w:rPr>
          <w:lang w:val="en" w:eastAsia="en"/>
        </w:rPr>
        <w:tab/>
      </w:r>
      <w:r>
        <w:rPr>
          <w:lang w:val="el" w:eastAsia="el"/>
        </w:rPr>
        <w:t>"τόπος άφιξης",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υπηρεσίες εγκατάστασης ή συναρμολόγησης αγαθών προερχομένων από άλλο κράτος, εφόσον οι εργασίες αυτές ενεργούνται στο εσωτερικό της χώρας από τον προμηθευτή των αγαθών, ο οποίος δεν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υπηρεσίες μίσθωσης μεταφορικών μέσων, εφόσον ο εκμισθωτής είναι εγκαταστημένος στο εσωτερικό της χώρας και ο μισθωτής χρησιμοποιεί το αγαθό σ΄ αυτό ή σε άλλο κράτος - μέλος της Κοινότητας ή εφόσον ο εκμισθωτής είναι εγκαταστημένος σε κράτος εκτός της Κοινότητας και ο μισθωτής χρησιμοποιείτο αγαθό στο εσωτερικό της χώρας.</w:t>
      </w:r>
    </w:p>
    <w:p>
      <w:pPr>
        <w:spacing w:before="240" w:after="240"/>
        <w:rPr>
          <w:lang w:val="el" w:eastAsia="el"/>
        </w:rPr>
      </w:pPr>
      <w:r>
        <w:rPr>
          <w:lang w:val="el" w:eastAsia="el"/>
        </w:rPr>
        <w:t>Με αποφάσεις του Υπ. Οικονομικών καθορίζονται οι λεπτομέρειες εφαρμογής του προηγούμενου εδαφίου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υπηρεσίες που πραγματοποιούνται στο εσωτερικό της χώρας και έχουν ως αντικείμενο:</w:t>
      </w:r>
    </w:p>
    <w:p>
      <w:pPr>
        <w:spacing w:before="240" w:after="240"/>
        <w:rPr>
          <w:lang w:val="el" w:eastAsia="el"/>
        </w:rPr>
      </w:pPr>
      <w:r>
        <w:rPr>
          <w:lang w:val="el" w:eastAsia="el"/>
        </w:rPr>
        <w:t>(αα) πολιτιστικές, καλλιτεχνικές, αθλητικές, επιστημονικές, εκπαιδευτικές, ψυχαγωγικές ή παρόμοιες δραστηριότητες. στις οποίες περιλαμβάνονται και οι εργασίες των οργανωτών τέτοιων δραστηριοτήτων, καθώς και οι τυχόν παρεπόμενες προς αυτές παροχές υπηρεσιών,</w:t>
      </w:r>
    </w:p>
    <w:p>
      <w:pPr>
        <w:spacing w:before="240" w:after="240"/>
        <w:rPr>
          <w:lang w:val="el" w:eastAsia="el"/>
        </w:rPr>
      </w:pPr>
      <w:r>
        <w:rPr>
          <w:lang w:val="el" w:eastAsia="el"/>
        </w:rPr>
        <w:t>(ββ) εργασίες παρεπόμενες των μεταφορικών δραστηριοτήτων, όπως η φόρτωση, η εκφόρτωση και άλλες παρόμοιες,</w:t>
      </w:r>
    </w:p>
    <w:p>
      <w:pPr>
        <w:spacing w:before="240" w:after="240"/>
        <w:rPr>
          <w:lang w:val="el" w:eastAsia="el"/>
        </w:rPr>
      </w:pPr>
      <w:r>
        <w:rPr>
          <w:lang w:val="el" w:eastAsia="el"/>
        </w:rPr>
        <w:t>(γγ) πραγματογνωμοσύνες γενικά, καθώς και οι εργασίες σε ενσώματα κινητά αγαθά, εφόσον δεν παρέχονται σε λήπτη που διαθέτει αριθμό φορολογικού μητρώου Φ.Π.Α, σε άλλο κράτος - μέλος και τα αγαθά αυτά μετά την παροχή των υπηρεσιών δεν αποστέλλονται ούτε μεταφέρονται εκτός του εσωτερικού της χώρας.</w:t>
      </w:r>
    </w:p>
    <w:p>
      <w:pPr>
        <w:spacing w:before="240" w:after="240"/>
        <w:rPr>
          <w:lang w:val="el" w:eastAsia="el"/>
        </w:rPr>
      </w:pPr>
      <w:r>
        <w:rPr>
          <w:lang w:val="el" w:eastAsia="el"/>
        </w:rPr>
        <w:t>Για πραγματογνωμοσύνες καθώς και οι λοιπές εργασίες σε ταξινομημένα στην Ελλάδα μεταφορικά μέσα λογίζεται ότι αυτά σε κάθε περίπτωση δεν αποστέλλονται</w:t>
      </w:r>
    </w:p>
    <w:p>
      <w:pPr>
        <w:spacing w:before="240" w:after="240"/>
        <w:rPr>
          <w:lang w:val="el" w:eastAsia="el"/>
        </w:rPr>
      </w:pPr>
      <w:r>
        <w:rPr>
          <w:lang w:val="el" w:eastAsia="el"/>
        </w:rPr>
        <w:t>ούτε μεταφέρονται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με την επιφύλαξη της παραπάνω περίπτωσης γ΄. παροχή υπηρεσιών από μεσάζοντες, οι οποίοι ενεργούν στο όνομα και για λογαριασμό άλλων προσώπων για την πραγματοποίηση πράξεων, οι οποίες εκτελούνται υλικώς στο εσωτερικό της χώρας.</w:t>
      </w:r>
    </w:p>
    <w:p>
      <w:pPr>
        <w:pStyle w:val="MainText"/>
        <w:spacing w:before="120" w:after="0"/>
        <w:rPr>
          <w:lang w:val="el" w:eastAsia="el"/>
        </w:rPr>
      </w:pPr>
      <w:r>
        <w:rPr>
          <w:b/>
          <w:bCs/>
          <w:lang w:val="el" w:eastAsia="el"/>
        </w:rPr>
        <w:t>3.</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από πρόσωπα εγκαταστημένα σε άλλο κράτος - μέλος σε υποκειμένους στο φόρο, οι οποίοι έχουν στο εσωτερικό της χώρας την έδρα της οικονομικής τους δραστηριότητας ή τη μόνιμη εγκατάσταση τους ή την κατοικία, ή τη συνήθη διαμονή τους ή, εφόσον παρέχονται από πρόσωπα εγκαταστημένα εκτός της Κοινότητας, σε οποιονδήποτε λήπτη εγκαταστημένο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μεταβίβασης ή παραχώρησης της χρήσης δικαιωμάτων πνευματικής ιδιοκτησίας,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διαφημίσεων,</w:t>
      </w:r>
    </w:p>
    <w:p>
      <w:pPr>
        <w:pStyle w:val="StructureList1"/>
        <w:spacing w:before="120" w:after="0"/>
        <w:rPr>
          <w:lang w:val="el" w:eastAsia="el"/>
        </w:rPr>
      </w:pPr>
      <w:r>
        <w:rPr>
          <w:lang w:val="el" w:eastAsia="el"/>
        </w:rPr>
        <w:t>γ)</w:t>
      </w:r>
      <w:r>
        <w:rPr>
          <w:lang w:val="en" w:eastAsia="en"/>
        </w:rPr>
        <w:tab/>
      </w:r>
      <w:r>
        <w:rPr>
          <w:lang w:val="el" w:eastAsia="el"/>
        </w:rPr>
        <w:t>συμβούλων γενικά, μηχανικών, δικηγόρων, γραφείων μελετών, λογιστών ή και άλλων παρόμοιων υπηρεσιών, καθώς και επεξεργασίας στοιχείων ή παροχής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ανάληψης υποχρέωσης για μη άσκηση, εν όλω ή εν μέρει, επαγγελματικής δραστηριότητας ή δικαιώματος που προβλέπεται στην παράγραφο αυτή,</w:t>
      </w:r>
    </w:p>
    <w:p>
      <w:pPr>
        <w:pStyle w:val="StructureList1"/>
        <w:spacing w:before="120" w:after="0"/>
        <w:rPr>
          <w:lang w:val="el" w:eastAsia="el"/>
        </w:rPr>
      </w:pPr>
      <w:r>
        <w:rPr>
          <w:lang w:val="el" w:eastAsia="el"/>
        </w:rPr>
        <w:t>ε)</w:t>
      </w:r>
      <w:r>
        <w:rPr>
          <w:lang w:val="en" w:eastAsia="en"/>
        </w:rPr>
        <w:tab/>
      </w:r>
      <w:r>
        <w:rPr>
          <w:lang w:val="el" w:eastAsia="el"/>
        </w:rPr>
        <w:t>τραπεζικών, χρηματοδοτικών, ασφαλιστικών και αντασφαλιστικών,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διάθεσης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μίσθωσης ενσώματων κινητών αγαθών εκτός των μεταφορικών μέσων,</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r>
        <w:rPr>
          <w:rStyle w:val="Hyperlink"/>
          <w:color w:val="000000"/>
          <w:sz w:val="20"/>
          <w:szCs w:val="20"/>
          <w:u w:val="none" w:color="0000EE"/>
          <w:vertAlign w:val="superscript"/>
          <w:lang w:val="el" w:eastAsia="el"/>
        </w:rPr>
        <w:footnoteReference w:id="102"/>
      </w:r>
    </w:p>
    <w:p>
      <w:pPr>
        <w:pStyle w:val="StructureList1"/>
        <w:spacing w:before="120" w:after="0"/>
        <w:rPr>
          <w:lang w:val="el" w:eastAsia="el"/>
        </w:rPr>
      </w:pPr>
      <w:r>
        <w:rPr>
          <w:lang w:val="el" w:eastAsia="el"/>
        </w:rPr>
        <w:t>θ)</w:t>
      </w:r>
      <w:r>
        <w:rPr>
          <w:lang w:val="en" w:eastAsia="en"/>
        </w:rPr>
        <w:tab/>
      </w:r>
      <w:r>
        <w:rPr>
          <w:lang w:val="el" w:eastAsia="el"/>
        </w:rPr>
        <w:t>τηλεπικοινωνιών.</w:t>
      </w:r>
    </w:p>
    <w:p>
      <w:pPr>
        <w:pStyle w:val="StructureList1"/>
        <w:spacing w:before="120" w:after="0"/>
        <w:rPr>
          <w:lang w:val="el" w:eastAsia="el"/>
        </w:rPr>
      </w:pPr>
      <w:r>
        <w:rPr>
          <w:lang w:val="el" w:eastAsia="el"/>
        </w:rPr>
        <w:t>ι)</w:t>
      </w:r>
      <w:r>
        <w:rPr>
          <w:lang w:val="en" w:eastAsia="en"/>
        </w:rPr>
        <w:tab/>
      </w:r>
      <w:r>
        <w:rPr>
          <w:lang w:val="el" w:eastAsia="el"/>
        </w:rPr>
        <w:t>ραδιοφωνικών και τηλεοπτικών υπηρεσιών,</w:t>
      </w:r>
      <w:r>
        <w:rPr>
          <w:rStyle w:val="Hyperlink"/>
          <w:color w:val="000000"/>
          <w:sz w:val="20"/>
          <w:szCs w:val="20"/>
          <w:u w:val="none" w:color="0000EE"/>
          <w:vertAlign w:val="superscript"/>
          <w:lang w:val="el" w:eastAsia="el"/>
        </w:rPr>
        <w:footnoteReference w:id="103"/>
      </w:r>
    </w:p>
    <w:p>
      <w:pPr>
        <w:pStyle w:val="StructureList1"/>
        <w:spacing w:before="120" w:after="0"/>
        <w:rPr>
          <w:lang w:val="el" w:eastAsia="el"/>
        </w:rPr>
      </w:pPr>
      <w:r>
        <w:rPr>
          <w:lang w:val="el" w:eastAsia="el"/>
        </w:rPr>
        <w:t>ια)</w:t>
      </w:r>
      <w:r>
        <w:rPr>
          <w:lang w:val="en" w:eastAsia="en"/>
        </w:rPr>
        <w:tab/>
      </w:r>
      <w:r>
        <w:rPr>
          <w:lang w:val="el" w:eastAsia="el"/>
        </w:rPr>
        <w:t>υπηρεσιών που παρέχονται ηλεκτρονικά, όπως δημιουργία και φιλοξενία ιστοσελίδων, η εξ αποστάσεως συντήρηση προγραμμάτων και εξοπλισμού, παροχή λογισμικού και η ενημέρωσή του, παροχή εικόνων, κειμένων, πληροφοριών και η διάθεση βάσεων δεδομένων, παροχή μουσικής, ταινιών και παιχνιδιών συμπεριλαμβανομένων και κάθε είδους τυχερών παιγνιδιών, καθώς και πολιτικών, πολιτιστικών, καλλιτεχνικών, αθλητικών, επιστημονικών ή ψυχαγωγικών εκπομπών ή εκδηλώσεων, παροχή διδασκαλίας εξ αποστάσεως. Μόνη η επικοινωνία μέσω ηλεκτρονικού ταχυδρομείου μεταξύ παρέχοντος και λήπτη υπηρεσίας δεν αρκεί για να θεωρηθεί η υπηρεσία αυτή ως υπηρεσία που παρέχεται ηλεκτρονικά</w:t>
      </w:r>
      <w:r>
        <w:rPr>
          <w:rStyle w:val="Hyperlink"/>
          <w:color w:val="000000"/>
          <w:sz w:val="20"/>
          <w:szCs w:val="20"/>
          <w:u w:val="none" w:color="0000EE"/>
          <w:vertAlign w:val="superscript"/>
          <w:lang w:val="el" w:eastAsia="el"/>
        </w:rPr>
        <w:footnoteReference w:id="104"/>
      </w:r>
    </w:p>
    <w:p>
      <w:pPr>
        <w:spacing w:before="240" w:after="240"/>
        <w:rPr>
          <w:lang w:val="el" w:eastAsia="el"/>
        </w:rPr>
      </w:pPr>
      <w:r>
        <w:rPr>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StructureList1"/>
        <w:spacing w:before="120" w:after="0"/>
        <w:rPr>
          <w:lang w:val="el" w:eastAsia="el"/>
        </w:rPr>
      </w:pPr>
      <w:r>
        <w:rPr>
          <w:lang w:val="el" w:eastAsia="el"/>
        </w:rPr>
        <w:t>ιβ)</w:t>
      </w:r>
      <w:r>
        <w:rPr>
          <w:lang w:val="en" w:eastAsia="en"/>
        </w:rPr>
        <w:tab/>
      </w:r>
      <w:r>
        <w:rPr>
          <w:lang w:val="el" w:eastAsia="el"/>
        </w:rPr>
        <w:t>παροχή πρόσβασης στα συστήματα διανομής φυσικού αερίου και ηλεκτρικής ενέργειας, καθώς και μεταφοράς και διοχέτευσης μέσω των συστημάτων αυτών και παροχή άλλων άμεσα συνδεόμενων υπηρεσιών.</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4.</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σε λήπτη που διαθέτει αριθμό φορολογικού μητρώου Φ.Π.Α,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ενδοκοινοτικής μεταφοράς αγαθών της οποίας ο τόπος αναχώρησης δεν βρίσκεται στο εσωτερικό της χώρας,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εργασίες παρεπόμενες της ενδοκοινοτικής μεταφοράς αγαθών, που εκτελούνται υλικώς σε άλλο κράτος - μέλος,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πρόσωπα που ενεργούν στο όνομα και για λογαριασμό άλλων προσώπων, που μεσολαβούν για την πραγματοποίηση πράξεων που δεν περιλαμβάνονται στο προηγούμενο εδάφιο, ούτε στην παρ. 3, οι οποίες εκτελούνται υλικά σε άλλο κράτος - μέλος,</w:t>
      </w:r>
    </w:p>
    <w:p>
      <w:pPr>
        <w:pStyle w:val="StructureList1"/>
        <w:spacing w:before="120" w:after="0"/>
        <w:rPr>
          <w:lang w:val="el" w:eastAsia="el"/>
        </w:rPr>
      </w:pPr>
      <w:r>
        <w:rPr>
          <w:lang w:val="el" w:eastAsia="el"/>
        </w:rPr>
        <w:t>δ)</w:t>
      </w:r>
      <w:r>
        <w:rPr>
          <w:lang w:val="en" w:eastAsia="en"/>
        </w:rPr>
        <w:tab/>
      </w:r>
      <w:r>
        <w:rPr>
          <w:lang w:val="el" w:eastAsia="el"/>
        </w:rPr>
        <w:t>πραγματογνωμοσύνες γενικά και εργασίες σε ενσώματα κινητά αγαθά, οι οποίες εκτελούνται υλικά σε άλλο κράτος μέλος, εφόσον τα αγαθά μετά την παροχή των υπηρεσιών αποστέλλονται ή μεταφέρονται εκτός του κράτους μέλους.</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5.</w:t>
      </w:r>
      <w:r>
        <w:rPr>
          <w:lang w:val="el" w:eastAsia="el"/>
        </w:rPr>
        <w:t xml:space="preserve"> Κατά παρέκκλιση των διατάξεων της παραγράφου 1, ο τόπος παροχής υπηρεσιών θεωρείται ότι βρίσκεται εκτός του εσωτερικού της χώρας, όταν ο εγκαταστημένος στο εσωτερικό της χώρας παρέχει:</w:t>
      </w:r>
    </w:p>
    <w:p>
      <w:pPr>
        <w:pStyle w:val="StructureList1"/>
        <w:spacing w:before="120" w:after="0"/>
        <w:rPr>
          <w:lang w:val="el" w:eastAsia="el"/>
        </w:rPr>
      </w:pPr>
      <w:r>
        <w:rPr>
          <w:lang w:val="el" w:eastAsia="el"/>
        </w:rPr>
        <w:t>α)</w:t>
      </w:r>
      <w:r>
        <w:rPr>
          <w:lang w:val="en" w:eastAsia="en"/>
        </w:rPr>
        <w:tab/>
      </w:r>
      <w:r>
        <w:rPr>
          <w:lang w:val="el" w:eastAsia="el"/>
        </w:rPr>
        <w:t>υπηρεσίες της περίπτωσης α της παραγράφου 2, για ακίνητο που βρίσκεται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υπηρεσίες της περίπτωσης β΄ της παρ. 2, που εκτελούνται εκτός του εσωτερικού της χώρας,</w:t>
      </w:r>
    </w:p>
    <w:p>
      <w:pPr>
        <w:pStyle w:val="StructureList1"/>
        <w:spacing w:before="120" w:after="0"/>
        <w:rPr>
          <w:lang w:val="el" w:eastAsia="el"/>
        </w:rPr>
      </w:pPr>
      <w:r>
        <w:rPr>
          <w:lang w:val="el" w:eastAsia="el"/>
        </w:rPr>
        <w:t>γ)</w:t>
      </w:r>
      <w:r>
        <w:rPr>
          <w:lang w:val="en" w:eastAsia="en"/>
        </w:rPr>
        <w:tab/>
      </w:r>
      <w:r>
        <w:rPr>
          <w:lang w:val="el" w:eastAsia="el"/>
        </w:rPr>
        <w:t>υπηρεσίες της περίπτωσης γ΄ της παραγράφου 2, εφόσον πρόκειται για μεταφορά με τόπο αναχώρησης άλλο κράτος- μέλος,</w:t>
      </w:r>
    </w:p>
    <w:p>
      <w:pPr>
        <w:pStyle w:val="StructureList1"/>
        <w:spacing w:before="120" w:after="0"/>
        <w:rPr>
          <w:lang w:val="el" w:eastAsia="el"/>
        </w:rPr>
      </w:pPr>
      <w:r>
        <w:rPr>
          <w:lang w:val="el" w:eastAsia="el"/>
        </w:rPr>
        <w:t>δ)</w:t>
      </w:r>
      <w:r>
        <w:rPr>
          <w:lang w:val="en" w:eastAsia="en"/>
        </w:rPr>
        <w:tab/>
      </w:r>
      <w:r>
        <w:rPr>
          <w:lang w:val="el" w:eastAsia="el"/>
        </w:rPr>
        <w:t>υπηρεσίες της περίπτωσης δ της παραγράφου 2, που αφορούν σε αγαθά, τα οποία εξάγονται ή αποστέλλονται σε άλλο κράτος - μέλος,</w:t>
      </w:r>
    </w:p>
    <w:p>
      <w:pPr>
        <w:pStyle w:val="StructureList1"/>
        <w:spacing w:before="120" w:after="0"/>
        <w:rPr>
          <w:lang w:val="el" w:eastAsia="el"/>
        </w:rPr>
      </w:pPr>
      <w:r>
        <w:rPr>
          <w:lang w:val="el" w:eastAsia="el"/>
        </w:rPr>
        <w:t>ε)</w:t>
      </w:r>
      <w:r>
        <w:rPr>
          <w:lang w:val="en" w:eastAsia="en"/>
        </w:rPr>
        <w:tab/>
      </w:r>
      <w:r>
        <w:rPr>
          <w:lang w:val="el" w:eastAsia="el"/>
        </w:rPr>
        <w:t>υπηρεσίες της περίπτωσης ε της παρ. 2, εφόσον ο μισθωτής χρησιμοποιείτο αγαθό σε χώρα εκτός της Κοινότητας,</w:t>
      </w:r>
    </w:p>
    <w:p>
      <w:pPr>
        <w:pStyle w:val="StructureList1"/>
        <w:spacing w:before="120" w:after="0"/>
        <w:rPr>
          <w:lang w:val="el" w:eastAsia="el"/>
        </w:rPr>
      </w:pPr>
      <w:r>
        <w:rPr>
          <w:lang w:val="el" w:eastAsia="el"/>
        </w:rPr>
        <w:t>στ)</w:t>
      </w:r>
      <w:r>
        <w:rPr>
          <w:lang w:val="en" w:eastAsia="en"/>
        </w:rPr>
        <w:tab/>
      </w:r>
      <w:r>
        <w:rPr>
          <w:lang w:val="el" w:eastAsia="el"/>
        </w:rPr>
        <w:t>υπηρεσίες της περίπτωσης στ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υπηρεσίες της περίπτωσης ζ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η)</w:t>
      </w:r>
      <w:r>
        <w:rPr>
          <w:lang w:val="en" w:eastAsia="en"/>
        </w:rPr>
        <w:tab/>
      </w:r>
      <w:r>
        <w:rPr>
          <w:lang w:val="el" w:eastAsia="el"/>
        </w:rPr>
        <w:t>υπηρεσίες της παρ. 3, που παρέχονται σε υποκείμενο στο φόρο εγκαταστημένο σε άλλο κράτος- μέλος ή στα όργανα της Κοινότητας ή σε οποιοδήποτε λήπτη εγκαταστημένο εκτός της Κοινότητας,</w:t>
      </w:r>
      <w:r>
        <w:rPr>
          <w:rStyle w:val="Hyperlink"/>
          <w:color w:val="000000"/>
          <w:sz w:val="20"/>
          <w:szCs w:val="20"/>
          <w:u w:val="none" w:color="0000EE"/>
          <w:vertAlign w:val="superscript"/>
          <w:lang w:val="el" w:eastAsia="el"/>
        </w:rPr>
        <w:footnoteReference w:id="107"/>
      </w:r>
    </w:p>
    <w:p>
      <w:pPr>
        <w:pStyle w:val="StructureList1"/>
        <w:spacing w:before="120" w:after="0"/>
        <w:rPr>
          <w:lang w:val="el" w:eastAsia="el"/>
        </w:rPr>
      </w:pPr>
      <w:r>
        <w:rPr>
          <w:lang w:val="el" w:eastAsia="el"/>
        </w:rPr>
        <w:t>θ)</w:t>
      </w:r>
      <w:r>
        <w:rPr>
          <w:lang w:val="en" w:eastAsia="en"/>
        </w:rPr>
        <w:tab/>
      </w:r>
      <w:r>
        <w:rPr>
          <w:lang w:val="el" w:eastAsia="el"/>
        </w:rPr>
        <w:t>υπηρεσίες της περίπτωσης ατής παραγράφου 4, εφόσον ο τόπος αναχώρησης της μεταφοράς βρίσκεται στο εσωτερικό της χώρας και ο τόπος άφιξης βρίσκεται σε άλλο κράτος- μέλος, όταν ο λήπτης είναι υποκείμενος εγκαταστημένος σε άλλο κράτος - μέλος,</w:t>
      </w:r>
    </w:p>
    <w:p>
      <w:pPr>
        <w:pStyle w:val="StructureList1"/>
        <w:spacing w:before="120" w:after="0"/>
        <w:rPr>
          <w:lang w:val="el" w:eastAsia="el"/>
        </w:rPr>
      </w:pPr>
      <w:r>
        <w:rPr>
          <w:lang w:val="el" w:eastAsia="el"/>
        </w:rPr>
        <w:t>ι)</w:t>
      </w:r>
      <w:r>
        <w:rPr>
          <w:lang w:val="en" w:eastAsia="en"/>
        </w:rPr>
        <w:tab/>
      </w:r>
      <w:r>
        <w:rPr>
          <w:lang w:val="el" w:eastAsia="el"/>
        </w:rPr>
        <w:t>υπηρεσίες της περίπτωσης β της παραγράφου 4,εφόσον οι παρεπόμενες της ενδοκοινοτικής μεταφοράς αγαθών εργασίες εκτελούνται στο εσωτερικό της χώρας και παρέχονται σε λήπτη υποκείμενο εγκαταστημένο σε άλλο κράτος - μέλος,</w:t>
      </w:r>
    </w:p>
    <w:p>
      <w:pPr>
        <w:spacing w:before="240" w:after="240"/>
        <w:rPr>
          <w:lang w:val="el" w:eastAsia="el"/>
        </w:rPr>
      </w:pPr>
      <w:r>
        <w:rPr>
          <w:lang w:val="el" w:eastAsia="el"/>
        </w:rPr>
        <w:t>ία) εργασίες της περίπτωσης γ της παραγράφου 4, εφόσον παρέχονται σε λήπτη υποκείμενο εγκαταστημένο σε άλλο κράτος - μέλος,</w:t>
      </w:r>
    </w:p>
    <w:p>
      <w:pPr>
        <w:pStyle w:val="StructureList1"/>
        <w:spacing w:before="120" w:after="0"/>
        <w:rPr>
          <w:lang w:val="el" w:eastAsia="el"/>
        </w:rPr>
      </w:pPr>
      <w:r>
        <w:rPr>
          <w:lang w:val="el" w:eastAsia="el"/>
        </w:rPr>
        <w:t>ιβ)</w:t>
      </w:r>
      <w:r>
        <w:rPr>
          <w:lang w:val="en" w:eastAsia="en"/>
        </w:rPr>
        <w:tab/>
      </w:r>
      <w:r>
        <w:rPr>
          <w:lang w:val="el" w:eastAsia="el"/>
        </w:rPr>
        <w:t>εργασίες της περίπτωσης δ’ της παραγράφου 4 που εκτελούνται υλικά στο εσωτερικό της χώρας και παρέχονται σε λήπτη που διαθέτει αριθμό φορολογικού μητρώου Φ.Π.Α. σε άλλο κράτος μέλος, εφόσον τα αγαθά αυτά στη συνέχεια αποστέλλονται ή μεταφέρονται εκτός του εσωτερικού της χώρας.</w:t>
      </w:r>
      <w:r>
        <w:rPr>
          <w:rStyle w:val="Hyperlink"/>
          <w:color w:val="000000"/>
          <w:sz w:val="20"/>
          <w:szCs w:val="20"/>
          <w:u w:val="none" w:color="0000EE"/>
          <w:vertAlign w:val="superscript"/>
          <w:lang w:val="el" w:eastAsia="el"/>
        </w:rPr>
        <w:footnoteReference w:id="108"/>
      </w:r>
    </w:p>
    <w:p>
      <w:pPr>
        <w:spacing w:before="240" w:after="240"/>
        <w:rPr>
          <w:lang w:val="el" w:eastAsia="el"/>
        </w:rPr>
      </w:pPr>
      <w:r>
        <w:rPr>
          <w:lang w:val="el" w:eastAsia="el"/>
        </w:rPr>
        <w:t>Για μεταφορικά μέσα ταξινομημένα στην Ελλάδα, δεν μπορεί να θεωρηθεί ότι αυτά μεταφέρονται ή αποστέλλονται εκτός του εσωτερικού της χώρας.</w:t>
      </w:r>
    </w:p>
    <w:p>
      <w:pPr>
        <w:pStyle w:val="MainText"/>
        <w:spacing w:before="120" w:after="0"/>
        <w:rPr>
          <w:lang w:val="el" w:eastAsia="el"/>
        </w:rPr>
      </w:pPr>
      <w:r>
        <w:rPr>
          <w:b/>
          <w:bCs/>
          <w:lang w:val="el" w:eastAsia="el"/>
        </w:rPr>
        <w:t>6.</w:t>
      </w:r>
      <w:r>
        <w:rPr>
          <w:lang w:val="el" w:eastAsia="el"/>
        </w:rPr>
        <w:t xml:space="preserve"> Παροχή υπηρεσιών μεταφοράς αγαθών προς μη υποκείμενα στον φόρο πρόσωπα</w:t>
      </w:r>
      <w:r>
        <w:rPr>
          <w:rStyle w:val="Hyperlink"/>
          <w:color w:val="000000"/>
          <w:sz w:val="20"/>
          <w:szCs w:val="20"/>
          <w:u w:val="none" w:color="0000EE"/>
          <w:vertAlign w:val="superscript"/>
          <w:lang w:val="el" w:eastAsia="el"/>
        </w:rPr>
        <w:footnoteReference w:id="109"/>
      </w:r>
    </w:p>
    <w:p>
      <w:pPr>
        <w:pStyle w:val="StructureList1"/>
        <w:spacing w:before="120" w:after="0"/>
        <w:rPr>
          <w:lang w:val="el" w:eastAsia="el"/>
        </w:rPr>
      </w:pPr>
      <w:r>
        <w:rPr>
          <w:lang w:val="el" w:eastAsia="el"/>
        </w:rPr>
        <w:t>i)</w:t>
      </w:r>
      <w:r>
        <w:rPr>
          <w:lang w:val="en" w:eastAsia="en"/>
        </w:rPr>
        <w:tab/>
      </w:r>
      <w:r>
        <w:rPr>
          <w:lang w:val="el" w:eastAsia="el"/>
        </w:rPr>
        <w:t>Ο τόπος παροχής υπηρεσιών μεταφοράς αγαθών προς μη υποκείμενο στον φόρο πρόσωπο, εκτός της ενδοκοινοτικής μεταφοράς αγαθών:</w:t>
      </w:r>
      <w:r>
        <w:rPr>
          <w:rStyle w:val="Hyperlink"/>
          <w:color w:val="000000"/>
          <w:sz w:val="20"/>
          <w:szCs w:val="20"/>
          <w:u w:val="none" w:color="0000EE"/>
          <w:vertAlign w:val="superscript"/>
          <w:lang w:val="el" w:eastAsia="el"/>
        </w:rPr>
        <w:footnoteReference w:id="110"/>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κατά το μέρος της διαδρομής που πραγματοποιείται στο εσωτερικό της χώρας.</w:t>
      </w:r>
      <w:r>
        <w:rPr>
          <w:rStyle w:val="Hyperlink"/>
          <w:color w:val="000000"/>
          <w:sz w:val="20"/>
          <w:szCs w:val="20"/>
          <w:u w:val="none" w:color="0000EE"/>
          <w:vertAlign w:val="superscript"/>
          <w:lang w:val="el" w:eastAsia="el"/>
        </w:rPr>
        <w:footnoteReference w:id="111"/>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κατά το μέρος της διαδρομής που πραγματοποιείται εκτός του εσωτερικού της χώρας.</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ii)</w:t>
      </w:r>
      <w:r>
        <w:rPr>
          <w:lang w:val="en" w:eastAsia="en"/>
        </w:rPr>
        <w:tab/>
      </w:r>
      <w:r>
        <w:rPr>
          <w:lang w:val="el" w:eastAsia="el"/>
        </w:rPr>
        <w:t>Ο τόπος παροχής υπηρεσιών ενδοκοινοτικής μεταφοράς αγαθών προς μη υποκείμενο στον φόρο πρόσωπο:</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τόπος αναχώρησης βρίσκεται στο εσωτερικό της χώρας.</w:t>
      </w:r>
      <w:r>
        <w:rPr>
          <w:rStyle w:val="Hyperlink"/>
          <w:color w:val="000000"/>
          <w:sz w:val="20"/>
          <w:szCs w:val="20"/>
          <w:u w:val="none" w:color="0000EE"/>
          <w:vertAlign w:val="superscript"/>
          <w:lang w:val="el" w:eastAsia="el"/>
        </w:rPr>
        <w:footnoteReference w:id="114"/>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τόπος αναχώρησης βρίσκεται εκτός του εσωτερικού της χώρας.</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7.</w:t>
      </w:r>
      <w:r>
        <w:rPr>
          <w:lang w:val="el" w:eastAsia="el"/>
        </w:rPr>
        <w:t xml:space="preserve"> Υπηρεσίες παρεπόμενες της μεταφοράς προς μη υποκείμενα στον φόρο πρόσωπα</w:t>
      </w:r>
      <w:r>
        <w:rPr>
          <w:rStyle w:val="Hyperlink"/>
          <w:color w:val="000000"/>
          <w:sz w:val="20"/>
          <w:szCs w:val="20"/>
          <w:u w:val="none" w:color="0000EE"/>
          <w:vertAlign w:val="superscript"/>
          <w:lang w:val="el" w:eastAsia="el"/>
        </w:rPr>
        <w:footnoteReference w:id="116"/>
      </w:r>
    </w:p>
    <w:p>
      <w:pPr>
        <w:spacing w:before="240" w:after="240"/>
        <w:rPr>
          <w:lang w:val="el" w:eastAsia="el"/>
        </w:rPr>
      </w:pPr>
      <w:r>
        <w:rPr>
          <w:lang w:val="el" w:eastAsia="el"/>
        </w:rPr>
        <w:t>Ο τόπος παροχής παρεπόμενων της μεταφοράς υπηρεσιών προς μη υποκείμενα στον φόρο πρόσωπα, όπως η φόρτωση, εκφόρτωση και διευθέτηση των μεταφερόμενων ειδών και παρόμοιες δραστηριότητες:</w:t>
      </w:r>
      <w:r>
        <w:rPr>
          <w:rStyle w:val="Hyperlink"/>
          <w:color w:val="000000"/>
          <w:sz w:val="20"/>
          <w:szCs w:val="20"/>
          <w:u w:val="none" w:color="0000EE"/>
          <w:vertAlign w:val="superscript"/>
          <w:lang w:val="el" w:eastAsia="el"/>
        </w:rPr>
        <w:footnoteReference w:id="117"/>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8.</w:t>
      </w:r>
      <w:r>
        <w:rPr>
          <w:lang w:val="el" w:eastAsia="el"/>
        </w:rPr>
        <w:t xml:space="preserve"> Δικαίωμα πρόσβασης σε πολιτιστικές, καλλιτεχνικές, αθλητικές, επιστημονικές, εκπαιδευτικές, ψυχαγωγικές και παρόμοιες εκδηλώσεις προς υποκείμενα στο φόρο πρόσωπα. Ο τόπος παροχής υπηρεσιών που αφορούν το δικαίωμα πρόσβασης σε πολιτιστικές, καλλιτεχνικές, αθλητικές, επιστημονικές, εκπαιδευτικές, ψυχαγωγικές ή παρόμοιες εκδηλώσεις, όπως οι εμπορικές και άλλες εκθέσεις, καθώς και παρεπόμενων υπηρεσιών σχετικά με την πρόσβαση, που παρέχονται σε υποκείμενους στο φόρο:</w:t>
      </w:r>
      <w:r>
        <w:rPr>
          <w:rStyle w:val="Hyperlink"/>
          <w:color w:val="000000"/>
          <w:sz w:val="20"/>
          <w:szCs w:val="20"/>
          <w:u w:val="none" w:color="0000EE"/>
          <w:vertAlign w:val="superscript"/>
          <w:lang w:val="el" w:eastAsia="el"/>
        </w:rPr>
        <w:footnoteReference w:id="120"/>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8.</w:t>
      </w:r>
      <w:r>
        <w:rPr>
          <w:lang w:val="el" w:eastAsia="el"/>
        </w:rPr>
        <w:t xml:space="preserve"> α. Παροχή πολιτιστικών, καλλιτεχνικών, αθλητικών, επιστημονικών, εκπαιδευτικών, ψυχαγωγικών και παρόμοιων υπηρεσιών προς μη υποκείμενα στο φόρο πρόσωπα. Ο τόπος παροχής υπηρεσιών οι οποίες αφορούν πολιτιστικές, καλλιτεχνικές, αθλητικές, επιστημονικές, εκπαιδευτικές, ψυχαγωγικές ή παρόμοιες δραστηριότητες, όπως εμπορικές και άλλες εκθέσεις, περιλαμβανομένων των υπηρεσιών των διοργανωτών τέτοιων δραστηριοτήτων, καθώς και της παροχής παρεπόμενων προς τις υπηρεσίες αυτές υπηρεσιών που παρέχονται σε μη υποκείμενα στο φόρο πρόσωπα:</w:t>
      </w:r>
      <w:r>
        <w:rPr>
          <w:rStyle w:val="Hyperlink"/>
          <w:color w:val="000000"/>
          <w:sz w:val="20"/>
          <w:szCs w:val="20"/>
          <w:u w:val="none" w:color="0000EE"/>
          <w:vertAlign w:val="superscript"/>
          <w:lang w:val="el" w:eastAsia="el"/>
        </w:rPr>
        <w:footnoteReference w:id="123"/>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9.</w:t>
      </w:r>
      <w:r>
        <w:rPr>
          <w:lang w:val="el" w:eastAsia="el"/>
        </w:rPr>
        <w:t xml:space="preserve"> Πραγματογνωμοσύνες ή εργασίες που αφορούν κινητά ενσώματα αγαθά προς μη υποκείμενα στον φόρο πρόσωπα.</w:t>
      </w:r>
    </w:p>
    <w:p>
      <w:pPr>
        <w:spacing w:before="240" w:after="240"/>
        <w:rPr>
          <w:lang w:val="el" w:eastAsia="el"/>
        </w:rPr>
      </w:pPr>
      <w:r>
        <w:rPr>
          <w:lang w:val="el" w:eastAsia="el"/>
        </w:rPr>
        <w:t>Ο τόπος παροχής υπηρεσιών με αντικείμενο πραγματογνωμοσύνες ή εργασίες που αφορούν κινητά ενσώματα αγαθά και παρέχονται προς μη υποκείμενα στον φόρο πρόσωπα:</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10.</w:t>
      </w:r>
      <w:r>
        <w:rPr>
          <w:lang w:val="el" w:eastAsia="el"/>
        </w:rPr>
        <w:t xml:space="preserve"> Παροχή υπηρεσιών εστιατορίου και εστίασης.</w:t>
      </w:r>
    </w:p>
    <w:p>
      <w:pPr>
        <w:spacing w:before="240" w:after="240"/>
        <w:rPr>
          <w:lang w:val="el" w:eastAsia="el"/>
        </w:rPr>
      </w:pPr>
      <w:r>
        <w:rPr>
          <w:lang w:val="el" w:eastAsia="el"/>
        </w:rPr>
        <w:t>Ο τόπος παροχής υπηρεσιών εστιατορίου και εστίασης (catering), εκτός από αυτές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11.</w:t>
      </w:r>
      <w:r>
        <w:rPr>
          <w:lang w:val="el" w:eastAsia="el"/>
        </w:rPr>
        <w:t xml:space="preserve"> Παροχή υπηρεσιών εστιατορίου και εστίασης επί μεταφορικού μέσου κατά τη διάρκεια ενδοκοινοτικού ταξιδιού</w:t>
      </w:r>
    </w:p>
    <w:p>
      <w:pPr>
        <w:spacing w:before="240" w:after="240"/>
        <w:rPr>
          <w:lang w:val="el" w:eastAsia="el"/>
        </w:rPr>
      </w:pPr>
      <w:r>
        <w:rPr>
          <w:lang w:val="el" w:eastAsia="el"/>
        </w:rPr>
        <w:t>Ο τόπος παροχής υπηρεσιών εστιατορίου και εστίασης (catering),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το σημείο αναχώρησης της μεταφοράς βρίσκεται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σημείο αναχώρησης της μεταφοράς βρίσκεται εκτός του εσωτερικού της χώρας.</w:t>
      </w:r>
    </w:p>
    <w:p>
      <w:pPr>
        <w:pStyle w:val="MainText"/>
        <w:spacing w:before="120" w:after="0"/>
        <w:rPr>
          <w:lang w:val="el" w:eastAsia="el"/>
        </w:rPr>
      </w:pPr>
      <w:r>
        <w:rPr>
          <w:b/>
          <w:bCs/>
          <w:lang w:val="el" w:eastAsia="el"/>
        </w:rPr>
        <w:t>12.</w:t>
      </w:r>
      <w:r>
        <w:rPr>
          <w:lang w:val="el" w:eastAsia="el"/>
        </w:rPr>
        <w:t xml:space="preserve"> Μίσθωση μεταφορικών μέσων</w:t>
      </w:r>
      <w:r>
        <w:rPr>
          <w:rStyle w:val="Hyperlink"/>
          <w:color w:val="000000"/>
          <w:sz w:val="20"/>
          <w:szCs w:val="20"/>
          <w:u w:val="none" w:color="0000EE"/>
          <w:vertAlign w:val="superscript"/>
          <w:lang w:val="el" w:eastAsia="el"/>
        </w:rPr>
        <w:footnoteReference w:id="126"/>
      </w:r>
    </w:p>
    <w:p>
      <w:pPr>
        <w:spacing w:before="240" w:after="240"/>
        <w:rPr>
          <w:lang w:val="el" w:eastAsia="el"/>
        </w:rPr>
      </w:pPr>
      <w:r>
        <w:rPr>
          <w:lang w:val="el" w:eastAsia="el"/>
        </w:rPr>
        <w:t>i. Ο τόπος βραχυχρόνιας μίσθωσης μεταφορικού μέσου: α) Είναι το εσωτερικό της χώρας, εφόσον το μεταφορικό μέσο τίθεται πράγματι στη διάθεση του πελάτη στο εσωτερικό της χώρας.</w:t>
      </w:r>
      <w:r>
        <w:rPr>
          <w:rStyle w:val="Hyperlink"/>
          <w:color w:val="000000"/>
          <w:sz w:val="20"/>
          <w:szCs w:val="20"/>
          <w:u w:val="none" w:color="0000EE"/>
          <w:vertAlign w:val="superscript"/>
          <w:lang w:val="el" w:eastAsia="el"/>
        </w:rPr>
        <w:footnoteReference w:id="127"/>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μεταφορικό μέσο τίθεται πράγματι στη διάθεση του πελάτη εκτός του εσωτερικού της χώρας.</w:t>
      </w:r>
      <w:r>
        <w:rPr>
          <w:rStyle w:val="Hyperlink"/>
          <w:color w:val="000000"/>
          <w:sz w:val="20"/>
          <w:szCs w:val="20"/>
          <w:u w:val="none" w:color="0000EE"/>
          <w:vertAlign w:val="superscript"/>
          <w:lang w:val="el" w:eastAsia="el"/>
        </w:rPr>
        <w:footnoteReference w:id="128"/>
      </w:r>
    </w:p>
    <w:p>
      <w:pPr>
        <w:spacing w:before="240" w:after="240"/>
        <w:rPr>
          <w:lang w:val="el" w:eastAsia="el"/>
        </w:rPr>
      </w:pPr>
      <w:r>
        <w:rPr>
          <w:lang w:val="el" w:eastAsia="el"/>
        </w:rPr>
        <w:t>ii. Ο τόπος μίσθωσης, εκτός από τη βραχυχρόνια μίσθωση, μεταφορικού μέσου σε μη υποκείμενο στο φόρο:</w:t>
      </w:r>
      <w:r>
        <w:rPr>
          <w:rStyle w:val="Hyperlink"/>
          <w:color w:val="000000"/>
          <w:sz w:val="20"/>
          <w:szCs w:val="20"/>
          <w:u w:val="none" w:color="0000EE"/>
          <w:vertAlign w:val="superscript"/>
          <w:lang w:val="el" w:eastAsia="el"/>
        </w:rPr>
        <w:footnoteReference w:id="129"/>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μη υποκείμενος στο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130"/>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μη υποκείμενος στο φόρο λήπτης δεν είναι εγκατεστημένος ή δεν έχει τη μόνιμη κατοικία ή τη συνήθη διαμονή του στο εσωτερικό της χώρας.Κατά παρέκκλιση του προηγούμενου εδαφίου, στην περίπτωση σκάφους αναψυχής που μισθώνεται σε μη υποκείμενο στο φόρο, εκτός από τη βραχυχρόνια μίσθωση, ο τόπος μίσθωσης:</w:t>
      </w:r>
      <w:r>
        <w:rPr>
          <w:rStyle w:val="Hyperlink"/>
          <w:color w:val="000000"/>
          <w:sz w:val="20"/>
          <w:szCs w:val="20"/>
          <w:u w:val="none" w:color="0000EE"/>
          <w:vertAlign w:val="superscript"/>
          <w:lang w:val="el" w:eastAsia="el"/>
        </w:rPr>
        <w:footnoteReference w:id="131"/>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στην περίπτωση που το σκάφος τίθεται πράγματι στη διάθεση του λήπτη στο εσωτερικό της χώρας και η υπηρεσία παρέχεται πράγματι από την έδρα ή μια μόνιμη εγκατάσταση του παρέχοντος στο εσωτερικό της χώρας.</w:t>
      </w:r>
      <w:r>
        <w:rPr>
          <w:rStyle w:val="Hyperlink"/>
          <w:color w:val="000000"/>
          <w:sz w:val="20"/>
          <w:szCs w:val="20"/>
          <w:u w:val="none" w:color="0000EE"/>
          <w:vertAlign w:val="superscript"/>
          <w:lang w:val="el" w:eastAsia="el"/>
        </w:rPr>
        <w:footnoteReference w:id="132"/>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στην περίπτωση που το σκάφος τίθεται πράγματι στη διάθεση του λήπτη εκτός του εσωτερικού της χώρας και η υπηρεσία παρέχεται πράγματι από την έδρα ή μια μόνιμη εγκατάσταση του παρέχοντος στον ίδιο τόπο της διάθεσης του σκάφους.</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13.</w:t>
      </w:r>
      <w:r>
        <w:rPr>
          <w:lang w:val="el" w:eastAsia="el"/>
        </w:rPr>
        <w:t xml:space="preserve"> Παροχή τηλεπικοινωνιακών, ραδιοφωνικών και τηλεοπτικών και ηλεκτρονικά παρεχόμενων υπηρεσιών προς μη υποκείμενους στο φόρο.</w:t>
      </w:r>
      <w:r>
        <w:rPr>
          <w:rStyle w:val="Hyperlink"/>
          <w:color w:val="000000"/>
          <w:sz w:val="20"/>
          <w:szCs w:val="20"/>
          <w:u w:val="none" w:color="0000EE"/>
          <w:vertAlign w:val="superscript"/>
          <w:lang w:val="el" w:eastAsia="el"/>
        </w:rPr>
        <w:footnoteReference w:id="134"/>
      </w:r>
    </w:p>
    <w:p>
      <w:pPr>
        <w:pStyle w:val="StructureList1"/>
        <w:spacing w:before="120" w:after="0"/>
        <w:rPr>
          <w:lang w:val="el" w:eastAsia="el"/>
        </w:rPr>
      </w:pPr>
      <w:r>
        <w:rPr>
          <w:lang w:val="el" w:eastAsia="el"/>
        </w:rPr>
        <w:t>α)</w:t>
      </w:r>
      <w:r>
        <w:rPr>
          <w:lang w:val="en" w:eastAsia="en"/>
        </w:rPr>
        <w:tab/>
      </w:r>
      <w:r>
        <w:rPr>
          <w:lang w:val="el" w:eastAsia="el"/>
        </w:rPr>
        <w:t>Ο τόπος παροχής τηλεπικοινωνιακών, ραδιοφωνικών και τηλεοπτικών και ηλεκτρονικά παρεχόμενων υπηρεσιών, ιδίως εκείνων που προβλέπονται στο Παράρτημα VII, προς μη υποκείμενο στο φόρο:</w:t>
      </w:r>
      <w:r>
        <w:rPr>
          <w:rStyle w:val="Hyperlink"/>
          <w:color w:val="000000"/>
          <w:sz w:val="20"/>
          <w:szCs w:val="20"/>
          <w:u w:val="none" w:color="0000EE"/>
          <w:vertAlign w:val="superscript"/>
          <w:lang w:val="el" w:eastAsia="el"/>
        </w:rPr>
        <w:footnoteReference w:id="135"/>
      </w:r>
    </w:p>
    <w:p>
      <w:pPr>
        <w:pStyle w:val="StructureList1"/>
        <w:spacing w:before="120" w:after="0"/>
        <w:rPr>
          <w:lang w:val="el" w:eastAsia="el"/>
        </w:rPr>
      </w:pPr>
      <w:r>
        <w:rPr>
          <w:lang w:val="el" w:eastAsia="el"/>
        </w:rPr>
        <w:t>αα)</w:t>
      </w:r>
      <w:r>
        <w:rPr>
          <w:lang w:val="en" w:eastAsia="en"/>
        </w:rPr>
        <w:tab/>
      </w:r>
      <w:r>
        <w:rPr>
          <w:lang w:val="el" w:eastAsia="el"/>
        </w:rPr>
        <w:t>είναι το εσωτερικό της χώρας, εφόσον ο μη υποκείμενος στον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136"/>
      </w:r>
    </w:p>
    <w:p>
      <w:pPr>
        <w:pStyle w:val="StructureList1"/>
        <w:spacing w:before="120" w:after="0"/>
        <w:rPr>
          <w:lang w:val="el" w:eastAsia="el"/>
        </w:rPr>
      </w:pPr>
      <w:r>
        <w:rPr>
          <w:lang w:val="el" w:eastAsia="el"/>
        </w:rPr>
        <w:t>ββ)</w:t>
      </w:r>
      <w:r>
        <w:rPr>
          <w:lang w:val="en" w:eastAsia="en"/>
        </w:rPr>
        <w:tab/>
      </w:r>
      <w:r>
        <w:rPr>
          <w:lang w:val="el" w:eastAsia="el"/>
        </w:rPr>
        <w:t>δεν είναι το εσωτερικό της χώρας, εφόσον ο μη υποκείμενος στον φόρο λήπτης είναι εγκατεστημένος ή έχει τη μόνιμη κατοικία ή τη συνήθη διαμονή του εκτός του εσωτερικού της χώρας.</w:t>
      </w:r>
    </w:p>
    <w:p>
      <w:pPr>
        <w:spacing w:before="240" w:after="240"/>
        <w:rPr>
          <w:lang w:val="el" w:eastAsia="el"/>
        </w:rPr>
      </w:pPr>
      <w:r>
        <w:rPr>
          <w:lang w:val="el" w:eastAsia="el"/>
        </w:rPr>
        <w:t>Το γεγονός ότι ο παρέχων την υπηρεσία και ο λήπτης επικοινωνούν μέσω του ηλεκτρονικού ταχυδρομείου δεν σημαίνει υποχρεωτικά ότι πρόκειται για υπηρεσία παρεχόμενη ηλεκτρονικά.</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β)</w:t>
      </w:r>
      <w:r>
        <w:rPr>
          <w:lang w:val="en" w:eastAsia="en"/>
        </w:rPr>
        <w:tab/>
      </w:r>
      <w:r>
        <w:rPr>
          <w:lang w:val="el" w:eastAsia="el"/>
        </w:rPr>
        <w:t>Κατά παρέκκλιση της υποπερίπτωσης ββ' της περίπτωσης α', ο τόπος παροχής των υπηρεσιών αυτών είναι το εσωτερικό της χώρας, εφόσον πληρούνται σωρευτικά οι ακόλουθες προϋποθέσεις:</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αα)</w:t>
      </w:r>
      <w:r>
        <w:rPr>
          <w:lang w:val="en" w:eastAsia="en"/>
        </w:rPr>
        <w:tab/>
      </w:r>
      <w:r>
        <w:rPr>
          <w:lang w:val="el" w:eastAsia="el"/>
        </w:rPr>
        <w:t>ο παρέχων την υπηρεσία έχει την εγκατάσταση του ή, ελλείψει εγκατάστασης, την κατοικία του ή τη συνήθη διαμονή του στο εσωτερικό της χώρας και όχι και εντός άλλου κράτους μέλους,</w:t>
      </w:r>
      <w:r>
        <w:rPr>
          <w:rStyle w:val="Hyperlink"/>
          <w:color w:val="000000"/>
          <w:sz w:val="20"/>
          <w:szCs w:val="20"/>
          <w:u w:val="none" w:color="0000EE"/>
          <w:vertAlign w:val="superscript"/>
          <w:lang w:val="el" w:eastAsia="el"/>
        </w:rPr>
        <w:footnoteReference w:id="139"/>
      </w:r>
    </w:p>
    <w:p>
      <w:pPr>
        <w:pStyle w:val="StructureList1"/>
        <w:spacing w:before="120" w:after="0"/>
        <w:rPr>
          <w:lang w:val="el" w:eastAsia="el"/>
        </w:rPr>
      </w:pPr>
      <w:r>
        <w:rPr>
          <w:lang w:val="el" w:eastAsia="el"/>
        </w:rPr>
        <w:t>ββ)</w:t>
      </w:r>
      <w:r>
        <w:rPr>
          <w:lang w:val="en" w:eastAsia="en"/>
        </w:rPr>
        <w:tab/>
      </w:r>
      <w:r>
        <w:rPr>
          <w:lang w:val="el" w:eastAsia="el"/>
        </w:rPr>
        <w:t>οι υπηρεσίες παρέχονται σε μη υποκείμενους στον φόρο που είναι εγκατεστημένοι ή έχουν τη μόνιμη κατοικία ή τη συνήθη διαμονή τους σε οποιοδήποτε άλλο κράτος μέλος,</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γγ)</w:t>
      </w:r>
      <w:r>
        <w:rPr>
          <w:lang w:val="en" w:eastAsia="en"/>
        </w:rPr>
        <w:tab/>
      </w:r>
      <w:r>
        <w:rPr>
          <w:lang w:val="el" w:eastAsia="el"/>
        </w:rPr>
        <w:t>το συνολικό ποσό, χωρίς Φ.Π.Α., των παροχών που αναφέρονται στην υποπερίπτωση ββ' της παρούσας περίπτωσης δεν υπερβαίνει κατά τη διάρκεια του εκάστοτε τρέχοντος ημερολογιακού έτους το ποσό των δέκα χιλιάδων (10.000) ευρώ, ούτε υπερέβη το ποσό αυτό κατά τη διάρκεια του προηγούμενου ημερολογιακού έτους.</w:t>
      </w:r>
      <w:r>
        <w:rPr>
          <w:rStyle w:val="Hyperlink"/>
          <w:color w:val="000000"/>
          <w:sz w:val="20"/>
          <w:szCs w:val="20"/>
          <w:u w:val="none" w:color="0000EE"/>
          <w:vertAlign w:val="superscript"/>
          <w:lang w:val="el" w:eastAsia="el"/>
        </w:rPr>
        <w:footnoteReference w:id="141"/>
      </w:r>
    </w:p>
    <w:p>
      <w:pPr>
        <w:spacing w:before="240" w:after="240"/>
        <w:rPr>
          <w:lang w:val="el" w:eastAsia="el"/>
        </w:rPr>
      </w:pPr>
      <w:r>
        <w:rPr>
          <w:lang w:val="el" w:eastAsia="el"/>
        </w:rPr>
        <w:t>Αν η παροχή των υπηρεσιών έχει πραγματοποιηθεί σε άλλα νομίσματα, για τον υπολογισμό του ποσού σε ευρώ λαμβάνεται υπόψη η συναλλαγματική ισοτιμία που έχει δημοσιευθεί από την Ευρωπαϊκή Κεντρική Τράπεζα στις 5 Δεκεμβρίου 2017.</w:t>
      </w:r>
    </w:p>
    <w:p>
      <w:pPr>
        <w:spacing w:before="240" w:after="240"/>
        <w:rPr>
          <w:lang w:val="el" w:eastAsia="el"/>
        </w:rPr>
      </w:pPr>
      <w:r>
        <w:rPr>
          <w:lang w:val="el" w:eastAsia="el"/>
        </w:rPr>
        <w:t>Αν κατά τη διάρκεια ενός (1) ημερολογιακού έτους, το συνολικό ποσό, χωρίς Φ.Π.Α., των ανωτέρω παροχών υπερβαίνει το όριο των δέκα χιλιάδων (10.000) ευρώ, από το εν λόγω χρονικό σημείο εφαρμόζεται η υποπερίπτωση ββ' της περίπτωσης α'.</w:t>
      </w:r>
      <w:r>
        <w:rPr>
          <w:rStyle w:val="Hyperlink"/>
          <w:color w:val="000000"/>
          <w:sz w:val="20"/>
          <w:szCs w:val="20"/>
          <w:u w:val="none" w:color="0000EE"/>
          <w:vertAlign w:val="superscript"/>
          <w:lang w:val="el" w:eastAsia="el"/>
        </w:rPr>
        <w:footnoteReference w:id="142"/>
      </w:r>
    </w:p>
    <w:p>
      <w:pPr>
        <w:pStyle w:val="StructureList1"/>
        <w:spacing w:before="120" w:after="0"/>
        <w:rPr>
          <w:lang w:val="el" w:eastAsia="el"/>
        </w:rPr>
      </w:pPr>
      <w:r>
        <w:rPr>
          <w:lang w:val="el" w:eastAsia="el"/>
        </w:rPr>
        <w:t>γ)</w:t>
      </w:r>
      <w:r>
        <w:rPr>
          <w:lang w:val="en" w:eastAsia="en"/>
        </w:rPr>
        <w:tab/>
      </w:r>
      <w:r>
        <w:rPr>
          <w:lang w:val="el" w:eastAsia="el"/>
        </w:rPr>
        <w:t>Οι υποκείμενοι στο φόρο της υποπερίπτωσης αα' της περίπτωσης β' που παρέχουν υπηρεσίες μέχρι του ορίου των δέκα χιλιάδων (10.000) ευρώ, προς μη υποκειμένους στον φόρο, που είναι εγκατεστημένοι, έχουν τη μόνιμη κατοικία ή τη συνήθη διαμονή τους σε οποιοδήποτε άλλο κράτος μέλος, έχουν το δικαίωμα να επιλέγουν τον τόπο παροχής των υπηρεσιών τους σύμφωνα με την υποπερίπτωση ββ' της περίπτωσης α'. Η επιλογή αυτή γίνεται με υποβολή δήλωσης, η οποία ισχύει τουλάχιστον για δύο (2) ημερολογιακά έτη, μετά την πάροδο των οποίων μπορεί να ανακληθεί. Η ανάκληση ισχύει από το επόμενο ημερολογιακό έτος.</w:t>
      </w:r>
      <w:r>
        <w:rPr>
          <w:rStyle w:val="Hyperlink"/>
          <w:color w:val="000000"/>
          <w:sz w:val="20"/>
          <w:szCs w:val="20"/>
          <w:u w:val="none" w:color="0000EE"/>
          <w:vertAlign w:val="superscript"/>
          <w:lang w:val="el" w:eastAsia="el"/>
        </w:rPr>
        <w:footnoteReference w:id="143"/>
      </w:r>
    </w:p>
    <w:p>
      <w:pPr>
        <w:pStyle w:val="StructureList1"/>
        <w:spacing w:before="120" w:after="0"/>
        <w:rPr>
          <w:lang w:val="el" w:eastAsia="el"/>
        </w:rPr>
      </w:pPr>
      <w:r>
        <w:rPr>
          <w:lang w:val="el" w:eastAsia="el"/>
        </w:rPr>
        <w:t>δ)</w:t>
      </w:r>
      <w:r>
        <w:rPr>
          <w:lang w:val="en" w:eastAsia="en"/>
        </w:rPr>
        <w:tab/>
      </w:r>
      <w:r>
        <w:rPr>
          <w:lang w:val="el" w:eastAsia="el"/>
        </w:rPr>
        <w:t>Κατά παρέκκλιση της υποπερίπτωσης αα' της περίπτωσης α, ο τόπος παροχής των ανωτέρω υπηρεσιών προς μη υποκείμενο στον φόρο λήπτη που είναι εγκατεστημένος ή έχει την κατοικία του ή τη συνήθη διαμονή του στο εσωτερικό της χώρας, δεν είναι το εσωτερικό της χώρας, εφόσον ο υποκείμενος στον φόρο παρέχων που είναι εγκατεστημένος ή, ελλείψει εγκατάστασης, έχει την κατοικία του ή τη συνήθη διαμονή του σε άλλο κράτος μέλος πληροί στο κράτος μέλος αυτό προϋποθέσεις ανάλογες αυτών που ορίζονται στην περίπτωση β', εκτός αν ο εν λόγω παρέχων επιλέξει τον τόπο παροχής των υπηρεσιών του σύμφωνα με την υποπερίπτωση αα' της περίπτωσης α'.</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14.</w:t>
      </w:r>
      <w:r>
        <w:rPr>
          <w:lang w:val="el" w:eastAsia="el"/>
        </w:rPr>
        <w:t xml:space="preserve"> Τόπος παροχής ορισμένων υπηρεσιών που πα</w:t>
      </w:r>
      <w:r>
        <w:rPr>
          <w:lang w:val="el" w:eastAsia="el"/>
        </w:rPr>
        <w:softHyphen/>
        <w:t>ρέχονται προς μη υποκείμενα στον φόρο πρόσωπα εγκατεστημένα εκτός Κοινότητας. Ο τόπος παροχής των κατωτέρω υπηρεσιών δεν είναι το εσωτερικό της χώρας στην περίπτωση που παρέχο</w:t>
      </w:r>
      <w:r>
        <w:rPr>
          <w:lang w:val="el" w:eastAsia="el"/>
        </w:rPr>
        <w:softHyphen/>
        <w:t>νται από υποκείμενο στον φόρο που έχει την έδρα της επιχείρησής του στο εσωτερικό της χώρας ή διαθέτει μόνιμη εγκατάσταση στο εσωτερικό της χώρας από την οποία παρέχεται η υπηρεσία ή, ελλείψει τέτοιας έδρας ή μόνιμης εγκατάστασης, έχει τη μόνιμη κατοικία ή τη συνήθη διαμονή του στο εσωτερικό της χώρας και ο λήπτης είναι μη υποκείμενο στον φόρο πρόσωπο ο οποίος είναι εγκατεστημένος ή έχει τη μόνιμη κατοικία ή τη συνήθη διαμονή του εκτός Κοινότητας:</w:t>
      </w:r>
    </w:p>
    <w:p>
      <w:pPr>
        <w:pStyle w:val="StructureList1"/>
        <w:spacing w:before="120" w:after="0"/>
        <w:rPr>
          <w:lang w:val="el" w:eastAsia="el"/>
        </w:rPr>
      </w:pPr>
      <w:r>
        <w:rPr>
          <w:lang w:val="el" w:eastAsia="el"/>
        </w:rPr>
        <w:t>α)</w:t>
      </w:r>
      <w:r>
        <w:rPr>
          <w:lang w:val="en" w:eastAsia="en"/>
        </w:rPr>
        <w:tab/>
      </w:r>
      <w:r>
        <w:rPr>
          <w:lang w:val="el" w:eastAsia="el"/>
        </w:rPr>
        <w:t>μεταβίβαση και παραχώρηση δικαιωμάτων πνευμα</w:t>
      </w:r>
      <w:r>
        <w:rPr>
          <w:lang w:val="el" w:eastAsia="el"/>
        </w:rPr>
        <w:softHyphen/>
        <w:t>τικής ιδιοκτησίας, δικαιωμάτων εκ διπλωμάτων ευρεσιτε</w:t>
      </w:r>
      <w:r>
        <w:rPr>
          <w:lang w:val="el" w:eastAsia="el"/>
        </w:rPr>
        <w:softHyphen/>
        <w:t>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145"/>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147"/>
      </w:r>
    </w:p>
    <w:p>
      <w:pPr>
        <w:pStyle w:val="StructureList1"/>
        <w:spacing w:before="120" w:after="0"/>
        <w:rPr>
          <w:lang w:val="el" w:eastAsia="el"/>
        </w:rPr>
      </w:pPr>
      <w:r>
        <w:rPr>
          <w:lang w:val="el" w:eastAsia="el"/>
        </w:rPr>
        <w:t>ε)</w:t>
      </w:r>
      <w:r>
        <w:rPr>
          <w:lang w:val="en" w:eastAsia="en"/>
        </w:rPr>
        <w:tab/>
      </w:r>
      <w:r>
        <w:rPr>
          <w:lang w:val="el" w:eastAsia="el"/>
        </w:rPr>
        <w:t xml:space="preserve">τραπεζικές, χρηματοοικονομικές και ασφαλιστικές εργασίες, συμπεριλαμβανομένων των εργασιών αντασφάλισης, με εξαίρεση τη μίσθωση χρηματοθυρίδων, </w:t>
      </w:r>
    </w:p>
    <w:p>
      <w:pPr>
        <w:pStyle w:val="StructureList1"/>
        <w:spacing w:before="120" w:after="0"/>
        <w:rPr>
          <w:lang w:val="el" w:eastAsia="el"/>
        </w:rPr>
      </w:pPr>
      <w:r>
        <w:rPr>
          <w:lang w:val="el" w:eastAsia="el"/>
        </w:rPr>
        <w:t>στ)</w:t>
      </w:r>
      <w:r>
        <w:rPr>
          <w:lang w:val="en" w:eastAsia="en"/>
        </w:rPr>
        <w:tab/>
      </w:r>
      <w:r>
        <w:rPr>
          <w:lang w:val="el" w:eastAsia="el"/>
        </w:rPr>
        <w:t>διάθεση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 ενσώματων κινητών αγαθών, με εξαίρεση όλα τα μεταφορικά μέσα,</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148"/>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15.</w:t>
      </w:r>
      <w:r>
        <w:rPr>
          <w:lang w:val="el" w:eastAsia="el"/>
        </w:rPr>
        <w:t xml:space="preserve"> Τόπος παροχής ορισμένων υπηρεσιών για την αποφυγή διπλής φορολόγησης, μη φορολόγησης ή στρεβλώσεων του ανταγωνισμού</w:t>
      </w:r>
    </w:p>
    <w:p>
      <w:pPr>
        <w:spacing w:before="240" w:after="240"/>
        <w:rPr>
          <w:lang w:val="el" w:eastAsia="el"/>
        </w:rPr>
      </w:pPr>
      <w:r>
        <w:rPr>
          <w:lang w:val="el" w:eastAsia="el"/>
        </w:rPr>
        <w:t>Με σκοπό την αποφυγή διπλής φορολόγησης, μη φορολόγησης ή την αποφυγή στρεβλώσεων του ανταγωνισμού:</w:t>
      </w:r>
      <w:r>
        <w:rPr>
          <w:rStyle w:val="Hyperlink"/>
          <w:color w:val="000000"/>
          <w:sz w:val="20"/>
          <w:szCs w:val="20"/>
          <w:u w:val="none" w:color="0000EE"/>
          <w:vertAlign w:val="superscript"/>
          <w:lang w:val="el" w:eastAsia="el"/>
        </w:rPr>
        <w:footnoteReference w:id="150"/>
      </w:r>
    </w:p>
    <w:p>
      <w:pPr>
        <w:pStyle w:val="StructureList1"/>
        <w:spacing w:before="120" w:after="0"/>
        <w:rPr>
          <w:lang w:val="el" w:eastAsia="el"/>
        </w:rPr>
      </w:pPr>
      <w:r>
        <w:rPr>
          <w:lang w:val="el" w:eastAsia="el"/>
        </w:rPr>
        <w:t>α)</w:t>
      </w:r>
      <w:r>
        <w:rPr>
          <w:lang w:val="en" w:eastAsia="en"/>
        </w:rPr>
        <w:tab/>
      </w:r>
      <w:r>
        <w:rPr>
          <w:lang w:val="el" w:eastAsia="el"/>
        </w:rPr>
        <w:t>Για τις υπηρεσίες για τις οποίες ο τόπος παροχής είναι εκτός Ενωσης σύμφωνα με τις διατάξεις των παραγράφων 12, 13 και 14, περίπτωση ζ΄, ο τόπος παροχής είναι το εσωτερικό της χώρας, στην περίπτωση που η χρήση και εκμετάλλευση των υπηρεσιών αυτών πραγματοποιείται στο εσωτερικό της χώρας. Ειδικότερα για τις υπηρεσίες μίσθωσης μεταφορικών μέσων και ενσώματων κινητών αγαθών, η χρήση και εκμετάλλευση θεωρείται ότι πραγματοποιείται στο εσωτερικό της χώρας κατά το μέρος που τα μισθωμένα αγαθά χρησιμοποιούνται στο εσωτερικό της χώρας. Για τις υπηρεσίες της παραγράφου 13, η χρήση και εκμετάλλευση θεωρείται ότι πραγματοποιείται στο εσωτερικό της χώρας, εφόσον κατά το χρόνο παροχής ο λήπτης της υπηρεσίας βρίσκεται στην Ελλάδα.</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β)</w:t>
      </w:r>
      <w:r>
        <w:rPr>
          <w:lang w:val="en" w:eastAsia="en"/>
        </w:rPr>
        <w:tab/>
      </w:r>
      <w:r>
        <w:rPr>
          <w:lang w:val="el" w:eastAsia="el"/>
        </w:rPr>
        <w:t>Ο τόπος παροχής θεωρείται ότι είναι εκτός της Ένωσης: αα) για τις υπηρεσίες μεταφοράς αγαθών σε υποκειμένους στον φόρο, για τις οποίες ο τόπος παροχής είναι, σύμφωνα με την περίπτωση α΄ της παραγράφου 2, το εσωτερικό της χώρας, αν οι υπηρεσίες αυτές εκτελούνται υλικά εξ ολοκλήρου εκτός της Ένωσης, ββ) για τις υπηρεσίες βραχυχρόνιας μίσθωσης επαγγελματικών πλοίων αναψυχής, για τις οποίες ο τόπος παροχής είναι, σύμφωνα με την υποπερίπτωση α) της περίπτωσης i της παραγράφου 12, το εσωτερικό της χώρας, κατά το μέρος που τα μισθωμένα πλοία χρησιμοποιούνται εκτός της Ένωσης.</w:t>
      </w:r>
      <w:r>
        <w:rPr>
          <w:rStyle w:val="Hyperlink"/>
          <w:color w:val="000000"/>
          <w:sz w:val="20"/>
          <w:szCs w:val="20"/>
          <w:u w:val="none" w:color="0000EE"/>
          <w:vertAlign w:val="superscript"/>
          <w:lang w:val="el" w:eastAsia="el"/>
        </w:rPr>
        <w:footnoteReference w:id="152"/>
      </w:r>
    </w:p>
    <w:p>
      <w:pPr>
        <w:spacing w:before="240" w:after="240"/>
        <w:rPr>
          <w:lang w:val="el" w:eastAsia="el"/>
        </w:rPr>
      </w:pPr>
      <w:r>
        <w:rPr>
          <w:lang w:val="el" w:eastAsia="el"/>
        </w:rPr>
        <w:t>Με απόφαση του Υπουργού Οικονομικών και του τυχόν συναρμόδιου κατά περίπτωση Υπουργού, μετά από εισήγηση του Διοικητή της Ανεξάρτητης Αρχής Δημοσίων Εσόδων (Α.Α.Δ.Ε.), εξειδικεύονται περαιτέρω τα κριτήρια χρήσης και εκμετάλλευσης, που προβλέπονται στην παρούσα παράγραφο και ορίζεται ο τρόπος απόδειξης της πλήρωσης των κριτηρίων αυτών.</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16.</w:t>
      </w:r>
      <w:r>
        <w:rPr>
          <w:lang w:val="el" w:eastAsia="el"/>
        </w:rPr>
        <w:t xml:space="preserve"> Με απόφαση του Διοικητή της Α.Α.Δ.Ε. ρυθμίζεται η διαδικασία και κάθε άλλη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154"/>
      </w:r>
    </w:p>
    <w:p>
      <w:pPr>
        <w:pStyle w:val="Heading6"/>
        <w:spacing w:before="240" w:after="240"/>
        <w:rPr>
          <w:lang w:val="el" w:eastAsia="el"/>
        </w:rPr>
      </w:pPr>
      <w:r>
        <w:rPr>
          <w:b/>
          <w:bCs/>
          <w:lang w:val="el" w:eastAsia="el"/>
        </w:rPr>
        <w:t xml:space="preserve">Άρθρο 14α </w:t>
      </w:r>
    </w:p>
    <w:p>
      <w:pPr>
        <w:pStyle w:val="Heading6"/>
        <w:spacing w:before="240" w:after="240"/>
        <w:rPr>
          <w:lang w:val="el" w:eastAsia="el"/>
        </w:rPr>
      </w:pPr>
      <w:r>
        <w:rPr>
          <w:b/>
          <w:bCs/>
          <w:lang w:val="el" w:eastAsia="el"/>
        </w:rPr>
        <w:t>Όριο για υποκειμένους στον φόρο που πραγματοποιούν ενδοκοινοτικές εξ αποστάσεως πωλήσεις αγαθών και διασυνοριακές παροχές τηλεπικοινωνιακών, ραδιοφωνικών και τηλεοπτικών και ηλεκτρονικά παρεχόμενων υπηρεσιών προς μη υποκείμενα στον φόρο πρόσωπα</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1.</w:t>
      </w:r>
      <w:r>
        <w:rPr>
          <w:lang w:val="el" w:eastAsia="el"/>
        </w:rPr>
        <w:t xml:space="preserve"> Κατά παρέκκλιση της περ. β) της παρ. 5 του άρθρου 13 και της υποπερ. ββ) της περ. α) της παρ. 13 του άρθρου 14, ο τόπος παράδοσης των αγαθών και ο τόπος παροχής των υπηρεσιών είναι το εσωτερικό της Χώρας, εφόσον πληρούνται σωρευτικά οι ακόλουθες προϋποθέσεις:</w:t>
      </w:r>
      <w:r>
        <w:rPr>
          <w:rStyle w:val="Hyperlink"/>
          <w:color w:val="000000"/>
          <w:sz w:val="20"/>
          <w:szCs w:val="20"/>
          <w:u w:val="none" w:color="0000EE"/>
          <w:vertAlign w:val="superscript"/>
          <w:lang w:val="el" w:eastAsia="el"/>
        </w:rPr>
        <w:footnoteReference w:id="156"/>
      </w:r>
    </w:p>
    <w:p>
      <w:pPr>
        <w:pStyle w:val="StructureList1"/>
        <w:spacing w:before="120" w:after="0"/>
        <w:rPr>
          <w:lang w:val="el" w:eastAsia="el"/>
        </w:rPr>
      </w:pPr>
      <w:r>
        <w:rPr>
          <w:lang w:val="el" w:eastAsia="el"/>
        </w:rPr>
        <w:t>α)</w:t>
      </w:r>
      <w:r>
        <w:rPr>
          <w:lang w:val="en" w:eastAsia="en"/>
        </w:rPr>
        <w:tab/>
      </w:r>
      <w:r>
        <w:rPr>
          <w:lang w:val="el" w:eastAsia="el"/>
        </w:rPr>
        <w:t>ο παρέχων τις υπηρεσίες ή παραδίδων τα αγαθά έχει την εγκατάστασή του ή, ελλείψει εγκατάστασης, τη μόνιμη κατοικία του ή τη συνήθη διαμονή του στο εσωτερικό της Χώρας και όχι και εντός άλλου κράτους μέλους,</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β)</w:t>
      </w:r>
      <w:r>
        <w:rPr>
          <w:lang w:val="en" w:eastAsia="en"/>
        </w:rPr>
        <w:tab/>
      </w:r>
      <w:r>
        <w:rPr>
          <w:lang w:val="el" w:eastAsia="el"/>
        </w:rPr>
        <w:t>οι υπηρεσίες παρέχονται σε μη υποκείμενους στον φόρο που είναι εγκατεστημένοι ή έχουν τη μόνιμη κατοικία ή τη συνήθη διαμονή τους σε οποιοδήποτε άλλο κράτος μέλος ή τα αγαθά αποστέλλονται ή μεταφέρονται προς οποιοδήποτε άλλο κράτος μέλος,</w:t>
      </w:r>
      <w:r>
        <w:rPr>
          <w:rStyle w:val="Hyperlink"/>
          <w:color w:val="000000"/>
          <w:sz w:val="20"/>
          <w:szCs w:val="20"/>
          <w:u w:val="none" w:color="0000EE"/>
          <w:vertAlign w:val="superscript"/>
          <w:lang w:val="el" w:eastAsia="el"/>
        </w:rPr>
        <w:footnoteReference w:id="158"/>
      </w:r>
    </w:p>
    <w:p>
      <w:pPr>
        <w:pStyle w:val="StructureList1"/>
        <w:spacing w:before="120" w:after="0"/>
        <w:rPr>
          <w:lang w:val="el" w:eastAsia="el"/>
        </w:rPr>
      </w:pPr>
      <w:r>
        <w:rPr>
          <w:lang w:val="el" w:eastAsia="el"/>
        </w:rPr>
        <w:t>γ)</w:t>
      </w:r>
      <w:r>
        <w:rPr>
          <w:lang w:val="en" w:eastAsia="en"/>
        </w:rPr>
        <w:tab/>
      </w:r>
      <w:r>
        <w:rPr>
          <w:lang w:val="el" w:eastAsia="el"/>
        </w:rPr>
        <w:t>το συνολικό ποσό, χωρίς ΦΠΑ, των πράξεων που αναφέρονται στην περ. β) δεν υπερβαίνει κατά τη διάρκεια του εκάστοτε τρέχοντος ημερολογιακού έτους το ποσό των δέκα χιλιάδων (10.000) ευρώ, ούτε υπερέβη το ποσό αυτό κατά τη διάρκεια του προηγούμενου ημερολογιακού έτους.</w:t>
      </w:r>
      <w:r>
        <w:rPr>
          <w:rStyle w:val="Hyperlink"/>
          <w:color w:val="000000"/>
          <w:sz w:val="20"/>
          <w:szCs w:val="20"/>
          <w:u w:val="none" w:color="0000EE"/>
          <w:vertAlign w:val="superscript"/>
          <w:lang w:val="el" w:eastAsia="el"/>
        </w:rPr>
        <w:footnoteReference w:id="159"/>
      </w:r>
    </w:p>
    <w:p>
      <w:pPr>
        <w:spacing w:before="240" w:after="240"/>
        <w:rPr>
          <w:lang w:val="el" w:eastAsia="el"/>
        </w:rPr>
      </w:pPr>
      <w:r>
        <w:rPr>
          <w:lang w:val="el" w:eastAsia="el"/>
        </w:rPr>
        <w:t>Αν οι πράξεις έχουν πραγματοποιηθεί σε άλλα νομίσματα, για τον υπολογισμό του ποσού σε ευρώ, λαμβάνεται υπόψη η συναλλαγματική ισοτιμία που έχει δημοσιευθεί από την Ευρωπαϊκή Κεντρική Τράπεζα στις 5 Δεκεμβρίου 2017. Αν κατά τη διάρκεια ενός ημερολογιακού έτους, το συνολικό ποσό, χωρίς ΦΠΑ των ανωτέρω πράξεων υπερβεί το όριο των δέκα χιλιάδων (10.000) ευρώ, από το εν λόγω χρονικό σημείο εφαρμόζονται η περ. β) της παρ. 5 του άρθρου 13 και η υποπερ. ββ) της περ. α) της παρ. 13 του άρθρου 14.</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2.</w:t>
      </w:r>
      <w:r>
        <w:rPr>
          <w:lang w:val="el" w:eastAsia="el"/>
        </w:rPr>
        <w:t xml:space="preserve"> Οι υποκείμενοι στον φόρο που καλύπτονται από την παρ. 1, οι οποίοι διενεργούν ενδοκοινοτικές εξ αποστάσεως πωλήσεις αγαθών, τα οποία κατά τον χρόνο αναχώρησης της αποστολής ή της μεταφοράς βρίσκονται στο εσωτερικό της χώρας, ή οι οποίοι παρέχουν τηλεπικοινωνιακές, ραδιοφωνικές και τηλεοπτικές και ηλεκτρονικά παρεχόμενες υπηρεσίες, έχουν το δικαίωμα να επιλέγουν τον τόπο παράδοσης των αγαθών και παροχής των υπηρεσιών τους σύμφωνα με την περ. β) της παρ. 5 του άρθρου 13 και την υποπερ. ββ) της περ. α) της παρ. 13 του άρθρου 14, αντίστοιχα. Η επιλογή αυτή γίνεται με υποβολή δήλωσης, η οποία ισχύει τουλάχιστον για δύο (2) ημερολογιακά έτη, μετά την πάροδο των οποίων μπορεί να ανακληθεί. Η ανάκληση ισχύει από το επόμενο ημερολογιακό έτος.</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3.</w:t>
      </w:r>
      <w:r>
        <w:rPr>
          <w:lang w:val="el" w:eastAsia="el"/>
        </w:rPr>
        <w:t xml:space="preserve"> Κατά παρέκκλιση της περ. α) της παρ. 5 του άρθρου 13 και της υποπερ. αα) της περ. α) της παρ. 13 του άρθρου 14, ο τόπος παράδοσης των ενδοκοινοτικών εξ αποστάσεως πωλήσεων αγαθών και ο τόπος παροχής των τηλεπικοινωνιακών, ραδιοφωνικών και τηλεοπτικών και ηλεκτρονικά παρεχόμενων υπηρεσιών, δεν είναι το εσωτερικό της χώρας, εφόσον ο υποκείμενος στον φόρο παρέχων τις υπηρεσίες ή παραδίδων τα αγαθά που είναι εγκατεστημένος ή, ελλείψει εγκατάστασης, έχει τη μόνιμη κατοικία του ή τη συνήθη διαμονή του σε άλλο κράτος μέλος πληροί στο κράτος μέλος αυτό προϋποθέσεις ανάλογες αυτών που ορίζονται στην παρ. 1, εκτός αν ο εν λόγω υποκείμενος στον φόρο επιλέξει τον καθορισμό του τόπου παράδοσης των αγαθών και παροχής των υπηρεσιών του σύμφωνα με την περ. α) της παρ. 5 του άρθρου 13 και την υποπερ. αα) της περ. α) της παρ. 13 του άρθρου 14, αντίστοιχα.</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4.</w:t>
      </w:r>
      <w:r>
        <w:rPr>
          <w:lang w:val="el" w:eastAsia="el"/>
        </w:rPr>
        <w:t xml:space="preserve"> Με απόφαση του Διοικητή της Α.Α.Δ.Ε. ρυθμίζονται η διαδικασία και κάθε άλλη αναγκαία λεπτομέρεια για την εφαρμογή του παρόντος.</w:t>
      </w:r>
      <w:r>
        <w:rPr>
          <w:rStyle w:val="Hyperlink"/>
          <w:color w:val="000000"/>
          <w:sz w:val="20"/>
          <w:szCs w:val="20"/>
          <w:u w:val="none" w:color="0000EE"/>
          <w:vertAlign w:val="superscript"/>
          <w:lang w:val="el" w:eastAsia="el"/>
        </w:rPr>
        <w:footnoteReference w:id="163"/>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η ενδοκοινοτική απόκτηση αγαθών θεωρείται ότι πραγματοποιείται στο εσωτερικό της χώρας, εφόσον γίνεται από υποκείμενο στο φόρο εγκαταστημένο στο εσωτερικό της χώρας, ο οποίος δεν αποδεικνύει ότι τα αγαθά αυτά αποτέλεσαν αντικείμενο ενδοκοινοτικής απόκτησης αγαθών σε άλλο κράτος - μέλος. Για την εφαρμογή της παρούσας παραγράφου θεωρείται ότι η ενδοκοινοτική απόκτηση φορολογήθηκε στο άλλο κράτος - μέλος, όπου πραγματοποιήθηκε η άφιξη των αγαθών, εφόσον:</w:t>
      </w:r>
      <w:r>
        <w:rPr>
          <w:rStyle w:val="Hyperlink"/>
          <w:color w:val="000000"/>
          <w:sz w:val="20"/>
          <w:szCs w:val="20"/>
          <w:u w:val="none" w:color="0000EE"/>
          <w:vertAlign w:val="superscript"/>
          <w:lang w:val="el" w:eastAsia="el"/>
        </w:rPr>
        <w:footnoteReference w:id="164"/>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 μέλους και για την οποία παράδοση υπόχρεος για την καταβολή του φόρου έχει οριστεί ο παραλήπτης των αγαθών, ο οποίος είναι εγγεγραμμένος στο μητρώο Φ.Π.Α. εντός του άλλου κράτους -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τις διατάξεις της περίπτωσης α΄ της παραγράφου 5 του άρθρου 36</w:t>
      </w:r>
    </w:p>
    <w:p>
      <w:pPr>
        <w:pStyle w:val="MainText"/>
        <w:spacing w:before="120" w:after="0"/>
        <w:rPr>
          <w:lang w:val="el" w:eastAsia="el"/>
        </w:rPr>
      </w:pPr>
      <w:r>
        <w:rPr>
          <w:b/>
          <w:bCs/>
          <w:lang w:val="el" w:eastAsia="el"/>
        </w:rPr>
        <w:t>3.</w:t>
      </w:r>
      <w:r>
        <w:rPr>
          <w:lang w:val="el" w:eastAsia="el"/>
        </w:rPr>
        <w:t xml:space="preserve"> Κατά παρέκκλιση των διατάξεων της παρ. 1, δε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στον φόρο άλλου κράτους- μέλους, ο οποίος δεν είναι εγκατεστημένος στο εσωτερικό της χώρας,</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 μέλος διαφορετικό από αυτό εντός του οποίου ο υποκείμενος στο φόρο της περίπτωσης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για την οποία παράδοση υπόχρεος για την καταβολή του φόρου είναι ο παραλήπτης των αγαθών, σύμφωνα με τις διατάξεις της περίπτωσης ε΄ της παραγράφου 1 του άρθρου 35.</w:t>
      </w:r>
      <w:r>
        <w:rPr>
          <w:rStyle w:val="Hyperlink"/>
          <w:color w:val="000000"/>
          <w:sz w:val="20"/>
          <w:szCs w:val="20"/>
          <w:u w:val="none" w:color="0000EE"/>
          <w:vertAlign w:val="superscript"/>
          <w:lang w:val="el" w:eastAsia="el"/>
        </w:rPr>
        <w:footnoteReference w:id="166"/>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είναι υποκείμενος στο φόρο ή μη υποκείμενο στο φόρο νομικό πρόσωπο, εγγεγραμμένα στο μητρώο 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Χρόνος γένεσης της φορολογικής υποχρέωσης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 χρόνο αποπεράτωσης των εργασιών αυτών.</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r>
        <w:rPr>
          <w:rStyle w:val="Hyperlink"/>
          <w:color w:val="000000"/>
          <w:sz w:val="20"/>
          <w:szCs w:val="20"/>
          <w:u w:val="none" w:color="0000EE"/>
          <w:vertAlign w:val="superscript"/>
          <w:lang w:val="el" w:eastAsia="el"/>
        </w:rPr>
        <w:footnoteReference w:id="167"/>
      </w:r>
    </w:p>
    <w:p>
      <w:pPr>
        <w:pStyle w:val="StructureList1"/>
        <w:spacing w:before="120" w:after="0"/>
        <w:rPr>
          <w:lang w:val="el" w:eastAsia="el"/>
        </w:rPr>
      </w:pPr>
      <w:r>
        <w:rPr>
          <w:lang w:val="el" w:eastAsia="el"/>
        </w:rPr>
        <w:t>α)</w:t>
      </w:r>
      <w:r>
        <w:rPr>
          <w:lang w:val="en" w:eastAsia="en"/>
        </w:rPr>
        <w:tab/>
      </w:r>
      <w:r>
        <w:rPr>
          <w:lang w:val="el" w:eastAsia="el"/>
        </w:rPr>
        <w:t>κατά το χρόνο έκδοσης του τιμολογίου ή άλλου στοιχείου που επέχει θέση τιμολογίου, σύμφωνα με τις διατάξεις του Κώδικα Βιβλίων και Στοιχείων, με εξαίρεση τις παροχές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168"/>
      </w:r>
    </w:p>
    <w:p>
      <w:pPr>
        <w:pStyle w:val="StructureList1"/>
        <w:spacing w:before="120" w:after="0"/>
        <w:rPr>
          <w:lang w:val="el" w:eastAsia="el"/>
        </w:rPr>
      </w:pPr>
      <w:r>
        <w:rPr>
          <w:lang w:val="el" w:eastAsia="el"/>
        </w:rPr>
        <w:t>β)</w:t>
      </w:r>
      <w:r>
        <w:rPr>
          <w:lang w:val="en" w:eastAsia="en"/>
        </w:rPr>
        <w:tab/>
      </w:r>
      <w:r>
        <w:rPr>
          <w:lang w:val="el" w:eastAsia="el"/>
        </w:rPr>
        <w:t>προκειμένου για παροχή υπηρεσιών, κατά το χρόνο έκδοσης του φορολογικού στοιχείου, όταν αυτό εκδίδεται σε χρόνο προγενέστερο της παροχής των υπηρεσιών,</w:t>
      </w:r>
      <w:r>
        <w:rPr>
          <w:rStyle w:val="Hyperlink"/>
          <w:color w:val="000000"/>
          <w:sz w:val="20"/>
          <w:szCs w:val="20"/>
          <w:u w:val="none" w:color="0000EE"/>
          <w:vertAlign w:val="superscript"/>
          <w:lang w:val="el" w:eastAsia="el"/>
        </w:rPr>
        <w:footnoteReference w:id="169"/>
      </w:r>
    </w:p>
    <w:p>
      <w:pPr>
        <w:pStyle w:val="StructureList1"/>
        <w:spacing w:before="120" w:after="0"/>
        <w:rPr>
          <w:lang w:val="el" w:eastAsia="el"/>
        </w:rPr>
      </w:pPr>
      <w:r>
        <w:rPr>
          <w:lang w:val="el" w:eastAsia="el"/>
        </w:rPr>
        <w:t>γ)</w:t>
      </w:r>
      <w:r>
        <w:rPr>
          <w:lang w:val="en" w:eastAsia="en"/>
        </w:rPr>
        <w:tab/>
      </w:r>
      <w:r>
        <w:rPr>
          <w:lang w:val="el" w:eastAsia="el"/>
        </w:rPr>
        <w:t>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 προκειμένου για παραδόσεις αγαθών που απαλλάσσονται από το φόρο, σύμφωνα με τις διατάξεις της παραγράφου 1 του άρθρου 28,</w:t>
      </w:r>
      <w:r>
        <w:rPr>
          <w:rStyle w:val="Hyperlink"/>
          <w:color w:val="000000"/>
          <w:sz w:val="20"/>
          <w:szCs w:val="20"/>
          <w:u w:val="none" w:color="0000EE"/>
          <w:vertAlign w:val="superscript"/>
          <w:lang w:val="el" w:eastAsia="el"/>
        </w:rPr>
        <w:footnoteReference w:id="170"/>
      </w:r>
    </w:p>
    <w:p>
      <w:pPr>
        <w:pStyle w:val="StructureList1"/>
        <w:spacing w:before="120" w:after="0"/>
        <w:rPr>
          <w:lang w:val="el" w:eastAsia="el"/>
        </w:rPr>
      </w:pPr>
      <w:r>
        <w:rPr>
          <w:lang w:val="el" w:eastAsia="el"/>
        </w:rPr>
        <w:t>δ)</w:t>
      </w:r>
      <w:r>
        <w:rPr>
          <w:lang w:val="en" w:eastAsia="en"/>
        </w:rPr>
        <w:tab/>
      </w:r>
      <w:r>
        <w:rPr>
          <w:lang w:val="el" w:eastAsia="el"/>
        </w:rPr>
        <w:t>κατά το χρόνο είσπραξης της προκαταβολής που πραγματοποιείται πριν την ολοκλήρωση της παροχής των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171"/>
      </w:r>
    </w:p>
    <w:p>
      <w:pPr>
        <w:pStyle w:val="StructureList1"/>
        <w:spacing w:before="120" w:after="0"/>
        <w:rPr>
          <w:lang w:val="el" w:eastAsia="el"/>
        </w:rPr>
      </w:pPr>
      <w:r>
        <w:rPr>
          <w:lang w:val="el" w:eastAsia="el"/>
        </w:rPr>
        <w:t>ε)</w:t>
      </w:r>
      <w:r>
        <w:rPr>
          <w:lang w:val="en" w:eastAsia="en"/>
        </w:rPr>
        <w:tab/>
      </w:r>
      <w:r>
        <w:rPr>
          <w:lang w:val="el" w:eastAsia="el"/>
        </w:rPr>
        <w:t>κατά το χρόνο που έχει συμφωνηθεί η καταβολή κάθε δόσης σε περίπτωση παροχής υπηρεσιών, για τις οποίες η αντιπαροχή καταβάλλεται περιοδικά,</w:t>
      </w:r>
      <w:r>
        <w:rPr>
          <w:rStyle w:val="Hyperlink"/>
          <w:color w:val="000000"/>
          <w:sz w:val="20"/>
          <w:szCs w:val="20"/>
          <w:u w:val="none" w:color="0000EE"/>
          <w:vertAlign w:val="superscript"/>
          <w:lang w:val="el" w:eastAsia="el"/>
        </w:rPr>
        <w:footnoteReference w:id="172"/>
      </w:r>
    </w:p>
    <w:p>
      <w:pPr>
        <w:pStyle w:val="StructureList1"/>
        <w:spacing w:before="120" w:after="0"/>
        <w:rPr>
          <w:lang w:val="el" w:eastAsia="el"/>
        </w:rPr>
      </w:pPr>
      <w:r>
        <w:rPr>
          <w:lang w:val="el" w:eastAsia="el"/>
        </w:rPr>
        <w:t>στ)</w:t>
      </w:r>
      <w:r>
        <w:rPr>
          <w:lang w:val="en" w:eastAsia="en"/>
        </w:rPr>
        <w:tab/>
      </w:r>
      <w:r>
        <w:rPr>
          <w:lang w:val="el" w:eastAsia="el"/>
        </w:rPr>
        <w:t>κατά τη λήξη κάθε ημερολογιακού έτους, προκειμένου για υπηρεσίες οι οποίες φορολογούνται στον τόπο εγκατάστασης του λήπτη, σύμφωνα με την περίπτωση α΄ της παραγράφου 2 του άρθρου 14, εφόσον πρόκειται για υπηρεσίες που παρέχονται συνεχώς και η παροχή τους συνεχίζεται και μετά τη λήξη του ημερολογιακού έτους και δεν έχουν οριστεί ή πραγματοποιηθεί τμηματικές καταβολές έναντι λογαριασμού ή πληρωμές στη διάρκεια της περιόδου παροχής τους,</w:t>
      </w:r>
      <w:r>
        <w:rPr>
          <w:rStyle w:val="Hyperlink"/>
          <w:color w:val="000000"/>
          <w:sz w:val="20"/>
          <w:szCs w:val="20"/>
          <w:u w:val="none" w:color="0000EE"/>
          <w:vertAlign w:val="superscript"/>
          <w:lang w:val="el" w:eastAsia="el"/>
        </w:rPr>
        <w:footnoteReference w:id="173"/>
      </w:r>
    </w:p>
    <w:p>
      <w:pPr>
        <w:pStyle w:val="StructureList1"/>
        <w:spacing w:before="120" w:after="0"/>
        <w:rPr>
          <w:lang w:val="el" w:eastAsia="el"/>
        </w:rPr>
      </w:pPr>
      <w:r>
        <w:rPr>
          <w:lang w:val="el" w:eastAsia="el"/>
        </w:rPr>
        <w:t>ζ)</w:t>
      </w:r>
      <w:r>
        <w:rPr>
          <w:lang w:val="en" w:eastAsia="en"/>
        </w:rPr>
        <w:tab/>
      </w:r>
      <w:r>
        <w:rPr>
          <w:lang w:val="el" w:eastAsia="el"/>
        </w:rPr>
        <w:t>κατά το χρόνο είσπραξης της αντιπαροχής, στην περίπτωση παράδοσης αγαθών ή παροχής υπηρεσιών που πραγματοποιούνται ύστερα από επιταγή δημόσιας αρχής ή στο όνομά της ή σε εκτέλεση νόμου.</w:t>
      </w:r>
      <w:r>
        <w:rPr>
          <w:rStyle w:val="Hyperlink"/>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3.</w:t>
      </w:r>
      <w:r>
        <w:rPr>
          <w:lang w:val="el" w:eastAsia="el"/>
        </w:rPr>
        <w:t xml:space="preserve"> Ειδικά για τις πράξεις που προβλέπουν οι διατάξεις του άρθρου 6, η φορολογική υποχρέωση γεννάται και ο φόρος γίνεται απαιτητός κατά το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προσυμφώνου, εφόσον σε αυτό περιλαμβάνεται ο όρος της αυτοσύμβασης που προβλέπει το άρθρο 235 του Αστικού Κώδικα ή εφόσον καταβλήθηκε ολόκληρο το τίμημα και παραδόθηκε η νομή του ακινήτου,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πλειστηριασμού, στην περίπτωση αναγκαστικού ή εκούσιου πλειστηριασμού,</w:t>
      </w:r>
    </w:p>
    <w:p>
      <w:pPr>
        <w:pStyle w:val="StructureList1"/>
        <w:spacing w:before="120" w:after="0"/>
        <w:rPr>
          <w:lang w:val="el" w:eastAsia="el"/>
        </w:rPr>
      </w:pPr>
      <w:r>
        <w:rPr>
          <w:lang w:val="el" w:eastAsia="el"/>
        </w:rPr>
        <w:t>γ)</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δ)</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MainText"/>
        <w:spacing w:before="120" w:after="0"/>
        <w:rPr>
          <w:lang w:val="el" w:eastAsia="el"/>
        </w:rPr>
      </w:pPr>
      <w:r>
        <w:rPr>
          <w:b/>
          <w:bCs/>
          <w:lang w:val="el" w:eastAsia="el"/>
        </w:rPr>
        <w:t>3α.</w:t>
      </w:r>
      <w:r>
        <w:rPr>
          <w:lang w:val="el" w:eastAsia="el"/>
        </w:rPr>
        <w:t xml:space="preserve"> Κατά παρέκκλιση των παρ. 1 και 2 στις περιπτώσεις που υποκείμενος στον φόρο θεωρείται ότι έχει λάβει και παραδώσει αγαθά σύμφωνα με το άρθρο 5β, η φορολογική υποχρέωση γεννάται και ο φόρος γίνεται απαιτητός, τόσο για την παράδοση των αγαθών στον εν λόγω υποκείμενο στον φόρο, όσο και για την παράδοση των αγαθών από τον εν λόγω υποκείμενο στον φόρο, κατά τον χρόνο αποδοχής της πληρωμής. Ως χρόνος αποδοχής της πληρωμής νοείται ο χρόνος κατά τον οποίο η επιβεβαίωση πληρωμής, το μήνυμα για έγκριση πληρωμής ή η ανάληψη υποχρέωσης πληρωμής από τον λήπτη λαμβάνεται από τον προμηθευτή που παραδίδει αγαθά μέσω της ηλεκτρονικής διεπαφής ή για λογαριασμό του, ανεξαρτήτως του χρόνου που πραγματοποιήθηκε η πραγματική καταβολή των χρημάτων, ανάλογα με το ποιο είναι προγενέστερο.</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76"/>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Χρόνος γένεσης της φορολογικής υποχρέωσης στην εισαγωγή αγαθών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εισαγωγή των αγαθών, σύμφωνα με το άρθρο 10 του παρόντος.</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στα εδάφια αα΄ και ββ΄ της περίπτωσης β΄ της παρ. 1 του άρθρου 25,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τις διατάξεις του άρθρου 61, η φορολογική υποχρέωση γεννάται και ο φόρος γίνεται απαιτητός κατά το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στα πλαίσια κοινής πολιτικής, η φορολογική υποχρέωση γεννάται και ο φόρος γίνεται απαιτητός κατά το χρόνο που η φορολογική υποχρέωση γεννάται και γίνονται απαιτητές από το Δημόσιο οι παραπάνω επιβαρύνσεις. </w:t>
      </w:r>
    </w:p>
    <w:p>
      <w:pPr>
        <w:pStyle w:val="MainText"/>
        <w:spacing w:before="120" w:after="0"/>
        <w:rPr>
          <w:lang w:val="el" w:eastAsia="el"/>
        </w:rPr>
      </w:pPr>
      <w:r>
        <w:rPr>
          <w:b/>
          <w:bCs/>
          <w:lang w:val="el" w:eastAsia="el"/>
        </w:rPr>
        <w:t>3.</w:t>
      </w:r>
      <w:r>
        <w:rPr>
          <w:lang w:val="el" w:eastAsia="el"/>
        </w:rPr>
        <w:t xml:space="preserve"> Για σκάφη αναψυχής, τα οποία βρίσκονταν σε καθεστώς προσωρινής εισαγωγής στο εσωτερικό της χώρας κατά την 31/12/1992 βάσει δελτίων κίνησης που έχουν χορηγήσει οι αρμόδιες τελωνειακές αρχές και ανήκουν σε φυσικά ή νομικά πρόσωπα που έχουν σε άλλο κράτος - μέλος την έδρα της οικονομικής τους δραστηριότητας ή τη μόνιμη εγκατάσταση τους, την κατοικία ή τη συνήθη διαμονή τους, η φορολογική υποχρέωση γεννάται κατά τη λήξη του καθεστώτος στο οποίο είχαν υπαχθεί.</w:t>
      </w:r>
    </w:p>
    <w:p>
      <w:pPr>
        <w:spacing w:before="240" w:after="240"/>
        <w:rPr>
          <w:lang w:val="el" w:eastAsia="el"/>
        </w:rPr>
      </w:pPr>
      <w:r>
        <w:rPr>
          <w:lang w:val="el" w:eastAsia="el"/>
        </w:rPr>
        <w:t>Οι διατάξεις του προηγούμενου εδαφίου δεν εφαρμόζονται, εφόσον αποδεικνύεται ότι:</w:t>
      </w:r>
    </w:p>
    <w:p>
      <w:pPr>
        <w:pStyle w:val="StructureList1"/>
        <w:spacing w:before="120" w:after="0"/>
        <w:rPr>
          <w:lang w:val="el" w:eastAsia="el"/>
        </w:rPr>
      </w:pPr>
      <w:r>
        <w:rPr>
          <w:lang w:val="el" w:eastAsia="el"/>
        </w:rPr>
        <w:t>α)</w:t>
      </w:r>
      <w:r>
        <w:rPr>
          <w:lang w:val="en" w:eastAsia="en"/>
        </w:rPr>
        <w:tab/>
      </w:r>
      <w:r>
        <w:rPr>
          <w:lang w:val="el" w:eastAsia="el"/>
        </w:rPr>
        <w:t>τα σκάφη αυτά εξάγονται,</w:t>
      </w:r>
    </w:p>
    <w:p>
      <w:pPr>
        <w:pStyle w:val="StructureList1"/>
        <w:spacing w:before="120" w:after="0"/>
        <w:rPr>
          <w:lang w:val="el" w:eastAsia="el"/>
        </w:rPr>
      </w:pPr>
      <w:r>
        <w:rPr>
          <w:lang w:val="el" w:eastAsia="el"/>
        </w:rPr>
        <w:t>β)</w:t>
      </w:r>
      <w:r>
        <w:rPr>
          <w:lang w:val="en" w:eastAsia="en"/>
        </w:rPr>
        <w:tab/>
      </w:r>
      <w:r>
        <w:rPr>
          <w:lang w:val="el" w:eastAsia="el"/>
        </w:rPr>
        <w:t>καταβλήθηκε ο φόρος κατά την εισαγωγή των σκαφών αυτών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καταβλήθηκε ο φόρος στο κράτος-μέλος που πραγματοποιήθηκε η αγορά τους, χωρίς να τύχουν απαλλαγής ή επιστροφής του φόρου αυτού λόγω εξαγωγής,</w:t>
      </w:r>
    </w:p>
    <w:p>
      <w:pPr>
        <w:pStyle w:val="StructureList1"/>
        <w:spacing w:before="120" w:after="0"/>
        <w:rPr>
          <w:lang w:val="el" w:eastAsia="el"/>
        </w:rPr>
      </w:pPr>
      <w:r>
        <w:rPr>
          <w:lang w:val="el" w:eastAsia="el"/>
        </w:rPr>
        <w:t>δ)</w:t>
      </w:r>
      <w:r>
        <w:rPr>
          <w:lang w:val="en" w:eastAsia="en"/>
        </w:rPr>
        <w:tab/>
      </w:r>
      <w:r>
        <w:rPr>
          <w:lang w:val="el" w:eastAsia="el"/>
        </w:rPr>
        <w:t>έχουν νηολογηθεί ή, έχουν χρησιμοποιηθεί αποδεδειγμένα, για πρώτη φορά, πριν από την 1.1.1985 και</w:t>
      </w:r>
    </w:p>
    <w:p>
      <w:pPr>
        <w:pStyle w:val="StructureList1"/>
        <w:spacing w:before="120" w:after="0"/>
        <w:rPr>
          <w:lang w:val="el" w:eastAsia="el"/>
        </w:rPr>
      </w:pPr>
      <w:r>
        <w:rPr>
          <w:lang w:val="el" w:eastAsia="el"/>
        </w:rPr>
        <w:t>ε)</w:t>
      </w:r>
      <w:r>
        <w:rPr>
          <w:lang w:val="en" w:eastAsia="en"/>
        </w:rPr>
        <w:tab/>
      </w:r>
      <w:r>
        <w:rPr>
          <w:lang w:val="el" w:eastAsia="el"/>
        </w:rPr>
        <w:t>υπογραφής προσυμφώνου, με τον όρο της αυτοσύμβασης που προβλέπει το άρθρο 235 του Αστικού Κώδικα εφόσον καταβλήθηκε ολόκληρο το τίμημα και παραδόθηκε η νομή του ακινήτου.</w:t>
      </w:r>
      <w:r>
        <w:rPr>
          <w:rStyle w:val="Hyperlink"/>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78"/>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 χρόνο που πραγματοποιείται η ενδοκοινοτική απόκτηση αγαθών. Η ενδοκοινοτική απόκτηση αγαθών πραγματοποιείται κατά το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 </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r>
        <w:rPr>
          <w:rStyle w:val="Hyperlink"/>
          <w:color w:val="000000"/>
          <w:sz w:val="20"/>
          <w:szCs w:val="20"/>
          <w:u w:val="none" w:color="0000EE"/>
          <w:vertAlign w:val="superscript"/>
          <w:lang w:val="el" w:eastAsia="el"/>
        </w:rPr>
        <w:footnoteReference w:id="179"/>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7, καθώς και για τις ενδοκοινοτικές αποκτήσεις αγαθών, που αναφέρονται στην περίπτωση α` του άρθρου 12, η τρέχουσα τιμή αγοράς των αγαθών ή παρόμοιων αγαθών ή, αν δεν υπάρχει τιμή αγοράς, το κόστος των αγαθών, κατά το χρόνο πραγματοποίησης των πράξεων αυτών.</w:t>
      </w:r>
      <w:r>
        <w:rPr>
          <w:rStyle w:val="Hyperlink"/>
          <w:color w:val="000000"/>
          <w:sz w:val="20"/>
          <w:szCs w:val="20"/>
          <w:u w:val="none" w:color="0000EE"/>
          <w:vertAlign w:val="superscript"/>
          <w:lang w:val="el" w:eastAsia="el"/>
        </w:rPr>
        <w:footnoteReference w:id="180"/>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περιπτώσεις α` και β` του άρθρου 9 παροχές υπηρεσιών, το σύνολο των εξόδων που αναλογούν στην εκτέλεση της παροχής των υπηρεσιών αυτών.</w:t>
      </w:r>
      <w:r>
        <w:rPr>
          <w:rStyle w:val="Hyperlink"/>
          <w:color w:val="000000"/>
          <w:sz w:val="20"/>
          <w:szCs w:val="20"/>
          <w:u w:val="none" w:color="0000EE"/>
          <w:vertAlign w:val="superscript"/>
          <w:lang w:val="el" w:eastAsia="el"/>
        </w:rPr>
        <w:footnoteReference w:id="181"/>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διάταξη της περίπτωσης γ` του άρθρου 9, για την ανταλλαγή αγαθών, καθώς και για κάθε περίπτωση που η αντιπαροχή δεν συνίσταται σε χρήμα, η κανονική αξία τους.</w:t>
      </w:r>
      <w:r>
        <w:rPr>
          <w:rStyle w:val="Hyperlink"/>
          <w:color w:val="000000"/>
          <w:sz w:val="20"/>
          <w:szCs w:val="20"/>
          <w:u w:val="none" w:color="0000EE"/>
          <w:vertAlign w:val="superscript"/>
          <w:lang w:val="el" w:eastAsia="el"/>
        </w:rPr>
        <w:footnoteReference w:id="182"/>
      </w:r>
    </w:p>
    <w:p>
      <w:pPr>
        <w:pStyle w:val="StructureList1"/>
        <w:spacing w:before="120" w:after="0"/>
        <w:rPr>
          <w:lang w:val="el" w:eastAsia="el"/>
        </w:rPr>
      </w:pPr>
      <w:r>
        <w:rPr>
          <w:lang w:val="el" w:eastAsia="el"/>
        </w:rPr>
        <w:t>δ)</w:t>
      </w:r>
      <w:r>
        <w:rPr>
          <w:lang w:val="en" w:eastAsia="en"/>
        </w:rPr>
        <w:tab/>
      </w:r>
      <w:r>
        <w:rPr>
          <w:lang w:val="el" w:eastAsia="el"/>
        </w:rPr>
        <w:t>Για την παράδοση αγαθών και την παροχή υπηρεσιών μεταξύ συγγενικών ή/και συνδεδεμένων προσώπων, όπως αυτά ορίζονται στον ν. 4172/2013, η κανονική αξία, στις περιπτώσεις κατά τις οποίες:</w:t>
      </w:r>
      <w:r>
        <w:rPr>
          <w:rStyle w:val="Hyperlink"/>
          <w:color w:val="000000"/>
          <w:sz w:val="20"/>
          <w:szCs w:val="20"/>
          <w:u w:val="none" w:color="0000EE"/>
          <w:vertAlign w:val="superscript"/>
          <w:lang w:val="el" w:eastAsia="el"/>
        </w:rPr>
        <w:footnoteReference w:id="183"/>
      </w:r>
    </w:p>
    <w:p>
      <w:pPr>
        <w:pStyle w:val="StructureList1"/>
        <w:spacing w:before="120" w:after="0"/>
        <w:rPr>
          <w:lang w:val="el" w:eastAsia="el"/>
        </w:rPr>
      </w:pPr>
      <w:r>
        <w:rPr>
          <w:lang w:val="el" w:eastAsia="el"/>
        </w:rPr>
        <w:t>δα)</w:t>
      </w:r>
      <w:r>
        <w:rPr>
          <w:lang w:val="en" w:eastAsia="en"/>
        </w:rPr>
        <w:tab/>
      </w:r>
      <w:r>
        <w:rPr>
          <w:lang w:val="el" w:eastAsia="el"/>
        </w:rPr>
        <w:t>η αντιπαροχή είναι κατώτερη της κανονικής αξίας και ο λήπτης των αγαθών ή των υπηρεσιών δεν έχει πλήρες δικαίωμα έκπτωσης,</w:t>
      </w:r>
      <w:r>
        <w:rPr>
          <w:rStyle w:val="Hyperlink"/>
          <w:color w:val="000000"/>
          <w:sz w:val="20"/>
          <w:szCs w:val="20"/>
          <w:u w:val="none" w:color="0000EE"/>
          <w:vertAlign w:val="superscript"/>
          <w:lang w:val="el" w:eastAsia="el"/>
        </w:rPr>
        <w:footnoteReference w:id="184"/>
      </w:r>
    </w:p>
    <w:p>
      <w:pPr>
        <w:pStyle w:val="StructureList1"/>
        <w:spacing w:before="120" w:after="0"/>
        <w:rPr>
          <w:lang w:val="el" w:eastAsia="el"/>
        </w:rPr>
      </w:pPr>
      <w:r>
        <w:rPr>
          <w:lang w:val="el" w:eastAsia="el"/>
        </w:rPr>
        <w:t>δβ)</w:t>
      </w:r>
      <w:r>
        <w:rPr>
          <w:lang w:val="en" w:eastAsia="en"/>
        </w:rPr>
        <w:tab/>
      </w:r>
      <w:r>
        <w:rPr>
          <w:lang w:val="el" w:eastAsia="el"/>
        </w:rPr>
        <w:t>η αντιπαροχή είναι κατώτερη της κανονικής αξίας και ο προμηθευτής των αγαθών ή ο πάροχος των υπηρεσιών δεν έχει πλήρες δικαίωμα έκπτωσης ενώ η φορολογητέα πράξη απαλλάσσεται από τον φόρο στο εσωτερικό της χώρας σύμφωνα με τις περ. α) έως και κθ), λα) και λδ) της παρ. 1 του άρθρου 22 και χωρίς δικαίωμα έκπτωσης σύμφωνα με το άρθρο 30,</w:t>
      </w:r>
      <w:r>
        <w:rPr>
          <w:rStyle w:val="Hyperlink"/>
          <w:color w:val="000000"/>
          <w:sz w:val="20"/>
          <w:szCs w:val="20"/>
          <w:u w:val="none" w:color="0000EE"/>
          <w:vertAlign w:val="superscript"/>
          <w:lang w:val="el" w:eastAsia="el"/>
        </w:rPr>
        <w:footnoteReference w:id="185"/>
      </w:r>
    </w:p>
    <w:p>
      <w:pPr>
        <w:pStyle w:val="StructureList1"/>
        <w:spacing w:before="120" w:after="0"/>
        <w:rPr>
          <w:lang w:val="el" w:eastAsia="el"/>
        </w:rPr>
      </w:pPr>
      <w:r>
        <w:rPr>
          <w:lang w:val="el" w:eastAsia="el"/>
        </w:rPr>
        <w:t>δγ)</w:t>
      </w:r>
      <w:r>
        <w:rPr>
          <w:lang w:val="en" w:eastAsia="en"/>
        </w:rPr>
        <w:tab/>
      </w:r>
      <w:r>
        <w:rPr>
          <w:lang w:val="el" w:eastAsia="el"/>
        </w:rPr>
        <w:t>η αντιπαροχή είναι ανώτερη της κανονικής αξίας και ο προμηθευτής των αγαθών ή ο πάροχος των υπηρεσιών δεν έχει πλήρες δικαίωμα έκπτωσης.</w:t>
      </w:r>
      <w:r>
        <w:rPr>
          <w:rStyle w:val="Hyperlink"/>
          <w:color w:val="000000"/>
          <w:sz w:val="20"/>
          <w:szCs w:val="20"/>
          <w:u w:val="none" w:color="0000EE"/>
          <w:vertAlign w:val="superscript"/>
          <w:lang w:val="el" w:eastAsia="el"/>
        </w:rPr>
        <w:footnoteReference w:id="186"/>
      </w:r>
    </w:p>
    <w:p>
      <w:pPr>
        <w:spacing w:before="240" w:after="240"/>
        <w:rPr>
          <w:lang w:val="el" w:eastAsia="el"/>
        </w:rPr>
      </w:pPr>
      <w:r>
        <w:rPr>
          <w:lang w:val="el" w:eastAsia="el"/>
        </w:rPr>
        <w:t>Τα θέματα που αφορούν την υποπερ. δα) εφαρμόζονται αναλόγως και στην ενδοκοινοτική απόκτηση αγαθών.</w:t>
      </w:r>
      <w:r>
        <w:rPr>
          <w:rStyle w:val="Hyperlink"/>
          <w:color w:val="000000"/>
          <w:sz w:val="20"/>
          <w:szCs w:val="20"/>
          <w:u w:val="none" w:color="0000EE"/>
          <w:vertAlign w:val="superscript"/>
          <w:lang w:val="el" w:eastAsia="el"/>
        </w:rPr>
        <w:footnoteReference w:id="187"/>
      </w:r>
    </w:p>
    <w:p>
      <w:pPr>
        <w:pStyle w:val="StructureList1"/>
        <w:spacing w:before="120" w:after="0"/>
        <w:rPr>
          <w:lang w:val="el" w:eastAsia="el"/>
        </w:rPr>
      </w:pPr>
      <w:r>
        <w:rPr>
          <w:lang w:val="el" w:eastAsia="el"/>
        </w:rPr>
        <w:t>ε)</w:t>
      </w:r>
      <w:r>
        <w:rPr>
          <w:lang w:val="en" w:eastAsia="en"/>
        </w:rPr>
        <w:tab/>
      </w:r>
      <w:r>
        <w:rPr>
          <w:lang w:val="el" w:eastAsia="el"/>
        </w:rPr>
        <w:t>Για τις πράξεις που προβλέπουν οι διατάξεις των παραγράφων 1 και 2 περίπτωση α` του άρθρου 6, ως φορολογητέα αξία λαμβάνεται το τίμημα που έλαβε ή πρόκειται να λάβει για τις πράξεις αυτές ο υποκείμενος από τον αγοραστή, τον λήπτη ή τρίτο πρόσωπο, προσαυξημένο με οποιαδήποτε παροχή που συνδέεται με τις πράξεις αυτές.</w:t>
      </w:r>
    </w:p>
    <w:p>
      <w:pPr>
        <w:spacing w:before="240" w:after="240"/>
        <w:rPr>
          <w:lang w:val="el" w:eastAsia="el"/>
        </w:rPr>
      </w:pPr>
      <w:r>
        <w:rPr>
          <w:lang w:val="el" w:eastAsia="el"/>
        </w:rPr>
        <w:t>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χωρίς να λαμβάνεται υπόψη η αξία του ιδανικού μεριδίου του οικοπέδου που αντιστοιχεί σε αυτά. Η αξία αυτή δεν μπορεί να είναι μικρότερη από την αξία των ποσοστών του οικοπέδου που μεταβιβάζονται από τον κύριο του οικοπέδου στον εργολάβο κατασκευαστή ή στον από αυτόν υποδεικνυόμενο τρίτο.</w:t>
      </w:r>
    </w:p>
    <w:p>
      <w:pPr>
        <w:spacing w:before="240" w:after="240"/>
        <w:rPr>
          <w:lang w:val="el" w:eastAsia="el"/>
        </w:rPr>
      </w:pPr>
      <w:r>
        <w:rPr>
          <w:lang w:val="el" w:eastAsia="el"/>
        </w:rPr>
        <w:t>Σε περίπτωση διαχωρισμού της επικαρπίας από την κυριότητα, η αξία της επικαρπίας προσδιορίζεται σε ποσοστό της αξίας της πλήρους κυριότητας, σύμφωνα με τα οριζόμενα στις διατάξεις του άρθρου 15 του Κώδικα Κληρονομιών, Δωρεών, Γονικών Παροχών, Προικών και Κερδών από Λαχεία που κυρώθηκε με το ν. 2961/2001 (Α` 266), όπως ισχύει.</w:t>
      </w:r>
      <w:r>
        <w:rPr>
          <w:rStyle w:val="Hyperlink"/>
          <w:color w:val="000000"/>
          <w:sz w:val="20"/>
          <w:szCs w:val="20"/>
          <w:u w:val="none" w:color="0000EE"/>
          <w:vertAlign w:val="superscript"/>
          <w:lang w:val="el" w:eastAsia="el"/>
        </w:rPr>
        <w:footnoteReference w:id="188"/>
      </w:r>
    </w:p>
    <w:p>
      <w:pPr>
        <w:pStyle w:val="StructureList1"/>
        <w:spacing w:before="120" w:after="0"/>
        <w:rPr>
          <w:lang w:val="el" w:eastAsia="el"/>
        </w:rPr>
      </w:pPr>
      <w:r>
        <w:rPr>
          <w:lang w:val="el" w:eastAsia="el"/>
        </w:rPr>
        <w:t>στ)</w:t>
      </w:r>
      <w:r>
        <w:rPr>
          <w:lang w:val="en" w:eastAsia="en"/>
        </w:rPr>
        <w:tab/>
      </w:r>
      <w:r>
        <w:rPr>
          <w:lang w:val="el" w:eastAsia="el"/>
        </w:rPr>
        <w:t>Για τις περιπτώσεις πλειστηριασμού ως φορολογητέα αξία λαμβάνεται το εκπλειστηρίασμα.</w:t>
      </w:r>
    </w:p>
    <w:p>
      <w:pPr>
        <w:spacing w:before="240" w:after="240"/>
        <w:rPr>
          <w:lang w:val="el" w:eastAsia="el"/>
        </w:rPr>
      </w:pPr>
      <w:r>
        <w:rPr>
          <w:lang w:val="el" w:eastAsia="el"/>
        </w:rPr>
        <w:t>Ως "κανονική αξία", για την εφαρμογή των περιπτώσεων γ` και δ`, θεωρείται το συνολικό ποσό το οποίο αυτός που αποκτά αγαθά ή λαμβάνει υπηρεσίες, ευρισκόμενος στο ίδιο στάδιο εμπορίας με το στάδιο κατά το οποίο πραγματοποιείται η παράδοση των αγαθών ή η παροχή των υπηρεσιών, θα έπρεπε να καταβάλει κατά το χρόνο της εν λόγω παράδοσης ή παροχής σε ανεξάρτητο προμηθευτή αγαθού ή πάροχο υπηρεσίας στο εσωτερικό της χώρας, υπό συνθήκες πλήρους ανταγωνισμού, προκειμένου να αποκτήσει το εν λόγω αγαθό ή την υπηρεσία.</w:t>
      </w:r>
    </w:p>
    <w:p>
      <w:pPr>
        <w:spacing w:before="240" w:after="240"/>
        <w:rPr>
          <w:lang w:val="el" w:eastAsia="el"/>
        </w:rPr>
      </w:pPr>
      <w:r>
        <w:rPr>
          <w:lang w:val="el" w:eastAsia="el"/>
        </w:rPr>
        <w:t>Εάν δεν μπορεί να διαπιστωθεί ανάλογη παράδοση αγαθών ή παροχή υπηρεσιών, η "κανονική αξία", για την εφαρμογή των περιπτώσεων γ` και δ`, δεν μπορεί να είναι κατώτερη της τιμής της αγοράς των αγαθών αυτών ή παρόμοιων αγαθών ή ελλείψει τιμής αγοράς, του κόστους των αγαθών κατά το χρόνο της παράδοσης και προκειμένου περί υπηρεσιών, από το συνολικό κόστος που συνεπάγεται για τον υποκείμενο στο φόρο η παροχή των υπηρεσιών.</w:t>
      </w:r>
      <w:r>
        <w:rPr>
          <w:rStyle w:val="Hyperlink"/>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φοροληγητέας αξίας εκφράζονται σε νόμισμα άλλου κράτους, το οποίο δεν έχει ενταχθεί στη ζώνη ευρώ, για τον προσδιορισμό της φορολογητέας αξίας λαμβάνεται υπόψη η ισοτιμία του νομίσματος αυτού προς το ευρώ.</w:t>
      </w:r>
      <w:r>
        <w:rPr>
          <w:rStyle w:val="Hyperlink"/>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καθώς και τα παρεπόμενα έξοδα με τα οποία ο προμηθευτής επιβαρύνει τον αγοραστή των αγαθών ή τον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r>
        <w:rPr>
          <w:rStyle w:val="Hyperlink"/>
          <w:color w:val="000000"/>
          <w:sz w:val="20"/>
          <w:szCs w:val="20"/>
          <w:u w:val="none" w:color="0000EE"/>
          <w:vertAlign w:val="superscript"/>
          <w:lang w:val="el" w:eastAsia="el"/>
        </w:rPr>
        <w:footnoteReference w:id="191"/>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 φόρο του παρόντος νόμου.</w:t>
      </w:r>
    </w:p>
    <w:p>
      <w:pPr>
        <w:spacing w:before="240" w:after="240"/>
        <w:rPr>
          <w:lang w:val="el" w:eastAsia="el"/>
        </w:rPr>
      </w:pPr>
      <w:r>
        <w:rPr>
          <w:lang w:val="el" w:eastAsia="el"/>
        </w:rPr>
        <w:t>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 φόρο να μην αναγράφει φόρο για την αξία της συσκευασίας τόσο κατά την παράδοση όσο και κατά την επιστροφή αυτής. Οφείλεται, όμως, ο φόρος στην αξία της συσκευασίας όταν αυτή δεν επιστρέφεται.</w:t>
      </w:r>
      <w:r>
        <w:rPr>
          <w:rStyle w:val="Hyperlink"/>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 λήπτη εκπτώσεις, εφόσον αποδεικνύονται από στοιχεία, τα οποία εκδίδονται σύμφωνα με τις διατάξεις που ισχύουν. Ειδικότερα, προκειμένου για εκπτώσεις που χορηγούνται λόγω κύκλου εργασιών, λαμβάνονται υπόψη, εφόσον τα παρεχόμενα ποσοστά εκπτώσεων γνωστοποιούνται στην αρμόδια Δ.Ο.Υ. του πωλητή ή του παρέχοντος τις υπηρεσίες, τουλάχιστον 4 (τέσσερις) μήνες πριν από την πραγματοποίηση τους.</w:t>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 φόρο από τον αγοραστή των αγαθών ή το λήπτη των υπηρεσιών, για κάλυψη δαπανών που πραγματοποιεί στο όνομα και για λογαριασμό του αγοραστή ή του λήπτη, εφόσον:</w:t>
      </w:r>
    </w:p>
    <w:p>
      <w:pPr>
        <w:pStyle w:val="StructureList1"/>
        <w:spacing w:before="120" w:after="0"/>
        <w:rPr>
          <w:lang w:val="el" w:eastAsia="el"/>
        </w:rPr>
      </w:pPr>
      <w:r>
        <w:rPr>
          <w:lang w:val="el" w:eastAsia="el"/>
        </w:rPr>
        <w:t>-</w:t>
      </w:r>
      <w:r>
        <w:rPr>
          <w:lang w:val="en" w:eastAsia="en"/>
        </w:rPr>
        <w:tab/>
      </w:r>
      <w:r>
        <w:rPr>
          <w:lang w:val="el" w:eastAsia="el"/>
        </w:rPr>
        <w:t>έχουν καταχωρηθεί σε προσωρινό λογαριασμό στα λογιστικά του βιβλία,</w:t>
      </w:r>
    </w:p>
    <w:p>
      <w:pPr>
        <w:pStyle w:val="StructureList1"/>
        <w:spacing w:before="120" w:after="0"/>
        <w:rPr>
          <w:lang w:val="el" w:eastAsia="el"/>
        </w:rPr>
      </w:pPr>
      <w:r>
        <w:rPr>
          <w:lang w:val="el" w:eastAsia="el"/>
        </w:rPr>
        <w:t>-</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 λήπτη των υπηρεσιών που αφορούν.</w:t>
      </w:r>
    </w:p>
    <w:p>
      <w:pPr>
        <w:spacing w:before="240" w:after="240"/>
        <w:rPr>
          <w:lang w:val="el" w:eastAsia="el"/>
        </w:rPr>
      </w:pPr>
      <w:r>
        <w:rPr>
          <w:lang w:val="el" w:eastAsia="el"/>
        </w:rPr>
        <w:t>Οι διατάξεις των περιπτώσεων α΄ και β΄ της παραγράφου αυτής δεν ισχύουν για τις χορηγούμενες εκπτώσεις και τη μερική επιστροφή τιμήματος σε περίπτωση παροχής υπηρεσιών από τα πρόσωπα της παραγράφου 5 του άρθρου 49 του Ν. 2238/1994 (ΦΕΚ 151 Α΄).</w:t>
      </w:r>
    </w:p>
    <w:p>
      <w:pPr>
        <w:pStyle w:val="MainText"/>
        <w:spacing w:before="120" w:after="0"/>
        <w:rPr>
          <w:lang w:val="el" w:eastAsia="el"/>
        </w:rPr>
      </w:pPr>
      <w:r>
        <w:rPr>
          <w:b/>
          <w:bCs/>
          <w:lang w:val="el" w:eastAsia="el"/>
        </w:rPr>
        <w:t>5α.</w:t>
      </w:r>
      <w:r>
        <w:rPr>
          <w:lang w:val="el" w:eastAsia="el"/>
        </w:rPr>
        <w:t xml:space="preserve"> Η φορολογητέα αξία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εισπράξεως, λόγω θέσεως επιχείρησης σε ειδική εκκαθάριση, σύμφωνα με τις διατάξεις των άρθρων 46 και 46 α του Ν. 1892/1990 (ΦΕΚ 101 Α΄), όπως αυτός τροποποιήθηκε με τις διατάξεις του άρθρου 14 του Ν. 2000/1991 (ΦΕΚ 206 Α΄).</w:t>
      </w:r>
    </w:p>
    <w:p>
      <w:pPr>
        <w:spacing w:before="240" w:after="240"/>
        <w:rPr>
          <w:lang w:val="el" w:eastAsia="el"/>
        </w:rPr>
      </w:pPr>
      <w:r>
        <w:rPr>
          <w:lang w:val="el" w:eastAsia="el"/>
        </w:rPr>
        <w:t>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μέσα σε προθεσμία έξι (6) μηνών μετά την έκδοση της απόφασης του Εφετείου.</w:t>
      </w:r>
    </w:p>
    <w:p>
      <w:pPr>
        <w:spacing w:before="240" w:after="240"/>
        <w:rPr>
          <w:lang w:val="el" w:eastAsia="el"/>
        </w:rPr>
      </w:pPr>
      <w:r>
        <w:rPr>
          <w:lang w:val="el" w:eastAsia="el"/>
        </w:rPr>
        <w:t>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οφείλετο. Τυχόν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εγκαταστημένο στο εσωτερικό της χώρας, η οποία αποδεδειγμένα φορολογήθηκε σε άλλο κράτος - μέλος κατά το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ειδικό φόρο κατανάλωσης, η φορολογητέα αξία μειώνεται επίσης με το ποσό του φόρου αυτού, ο οποίος καταβλήθηκε σε άλλο κράτος - μέλος και αποδεδειγμένα επιστράφηκε από αυτό το άλλο κράτος -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λιανικής πώλησης αυτών χωρίς φόρο προστιθέμενης αξίας. 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και εισιτηρίων μεταφοράς προσώπων των οποίων προβλέπεται η ακύρωση σε ειδικά μηχανήματα, ως φορολογητέα αξία λαμβάνεται η τιμή λιανικής πώλησής τους χωρίς φόρο προστιθέμενης αξίας. Ο φόρος που αναλογεί για τις πωλήσεις αυτές καταβάλλεται από την επιχείρηση παροχής των υπηρεσιών κατά το χρόνο διάθεσης αυτών.</w:t>
      </w:r>
      <w:r>
        <w:rPr>
          <w:rStyle w:val="Hyperlink"/>
          <w:color w:val="000000"/>
          <w:sz w:val="20"/>
          <w:szCs w:val="20"/>
          <w:u w:val="none" w:color="0000EE"/>
          <w:vertAlign w:val="superscript"/>
          <w:lang w:val="el" w:eastAsia="el"/>
        </w:rPr>
        <w:footnoteReference w:id="194"/>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p>
    <w:p>
      <w:pPr>
        <w:spacing w:before="240" w:after="240"/>
        <w:rPr>
          <w:lang w:val="el" w:eastAsia="el"/>
        </w:rPr>
      </w:pPr>
      <w:r>
        <w:rPr>
          <w:lang w:val="el" w:eastAsia="el"/>
        </w:rPr>
        <w:t>Οι διατάξεις του προηγούμενου εδαφίου εφαρμόζονται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Οι διατάξεις αυτής της παραγράφου εφαρμόζονται ανάλογα και σε κάθε περίπτωση προμήθειας για διάθεση πιστωτικών καρτών.</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10.</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εισπράττονται κατά την εισαγωγή υπέρ του Δημοσίου ή τρίτων, εκτός από το φόρο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προηγούμενη περίπτωση γ΄ έξοδα, τα οποία πραγματοποιούνται, για τυχόν μεταφορά των αγαθών από τον πρώτο τόπο προορισμού σε άλλο τόπο στο εσωτερικό της χώρας ή στο εσωτερικό άλλου κράτους - μέλους της Κοινότητας που είναι γνωστός κατά το χρόνο τελωνισμού τους και τη θέση τους σε ανάλωση.</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Κοινότητας για τελειοποίηση και επανεισαγωγή, η φορολογητέα αξία, που προβλέπουν οι διατάξεις της προηγούμενης παραγράφου, διαμορφώνεται με βάση τις ισχύουσες κοινοτικές διατάξεις.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άλλου κράτους, για τον προσδιορισμό της φορολογητέας αξίας λαμβάνεται υπόψη η ισοτιμία του νομίσματος αυτού προς το ευρώ, σύμφωνα με τις ισχύουσες κοινοτικές διατάξεις, για τον υπολογισμό της δασμολογητέας αξίας.</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ειδικό φόρο κατανάλωσης ανεξάρτητα με την προέλευση τους και με την επιφύλαξη των διατάξεων της περίπτωσης α΄ του άρθρου 7 του Νόμου 1038/1980 όπως ισχύει, για τη διαμόρφωση της βάσης επιβολής του φόρου προστιθέμενης αξίας, πέραν των στοιχείων της παραγράφου 1 του παρόντος,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φόρου προστιθέμενης αξίας (ΦΠΑ) ορίζεται σε είκοσι τέσσερα τοις εκατό (24%) στη φορολογητέα αξία. Κατ' εξαίρεση, για τα αγαθά και τις υπηρεσίες που περιλαμβάνονται στο Παράρτημα III του παρόντος, ο συντελεστής του φόρου ορίζεται σε δεκατρία τοις εκατό (13%). Για τα αγαθά και τις υπηρεσίες για τα οποία υπάρχει ειδική πρόβλεψη στο Παράρτημα III του παρόντος, ο συντελεστής του φόρου ορίζεται σε έξι τοις εκατό (6%.) Ο συντελεστής Φ.Π.Α. που ορίζεται για τα αγαθά και τις υπηρεσίες του Παραρτήματος ΙΙΙ δεν εφαρμόζεται στις ηλεκτρονικά παρεχόμενες υπηρεσίες, με την εξαίρεση εκείνων που εμπίπτουν στην παρ. 8 του Κεφαλαίου Β. ΥΠΗΡΕΣΙΕΣ του Παραρτήματος ΙΙΙ.</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1Α.</w:t>
      </w:r>
      <w:r>
        <w:rPr>
          <w:lang w:val="el" w:eastAsia="el"/>
        </w:rPr>
        <w:t xml:space="preserve"> Ο συντελεστής του φόρου ορίζεται σε μηδέν τοις εκατό (0%) για τα εμβόλια κατά της νόσου COVID-19, που έχουν εγκριθεί από την Ευρωπαϊκή Επιτροπή ή από τα κράτη μέλη της Ε.Ε. και για τα invitro διαγνωστικά ιατροτεχνολογικά προϊόντα της νόσου COVID-19, που συμμορφώνονται με τις ισχύουσες απαιτήσεις της οδηγίας 98/79/ΕΚ (L 331) του Ευρωπαϊκού Κοινοβουλίου και του Συμβουλίου ή του κανονισμού (ΕΕ) 2017/746 (L 117) του Ευρωπαϊκού Κοινοβουλίου και του Συμβουλίου και με τη λοιπή ισχύουσα ενωσιακή νομοθεσία. Ο ίδιος συντελεστής εφαρμόζεται και στις υπηρεσίες που συνδέονται στενά με τα αγαθά του προηγούμενου εδαφίου.</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 χρόνο που ο φόρος γίνεται απαιτητός, σύμφωνα με τις διατάξεις των άρθρ. 16 και 18. </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 χρόνο που ο φόρος γίνεται απαιτητός, σύμφωνα με τις διατάξεις του άρθρου 17. </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είναι δυνατή η μείωση κατά τριάντα τοις εκατό (30%) των συντελεστών του Φόρου Προστιθέμενης Αξίας (Φ.Π.Α.) για τα νησιά Λέρο, Λέσβο, Κω, Σάμο και Χίο, εφόσον:</w:t>
      </w:r>
      <w:r>
        <w:rPr>
          <w:rStyle w:val="Hyperlink"/>
          <w:color w:val="000000"/>
          <w:sz w:val="20"/>
          <w:szCs w:val="20"/>
          <w:u w:val="none" w:color="0000EE"/>
          <w:vertAlign w:val="superscript"/>
          <w:lang w:val="el" w:eastAsia="el"/>
        </w:rPr>
        <w:footnoteReference w:id="199"/>
      </w:r>
    </w:p>
    <w:p>
      <w:pPr>
        <w:pStyle w:val="StructureList1"/>
        <w:spacing w:before="120" w:after="0"/>
        <w:rPr>
          <w:lang w:val="el" w:eastAsia="el"/>
        </w:rPr>
      </w:pPr>
      <w:r>
        <w:rPr>
          <w:lang w:val="el" w:eastAsia="el"/>
        </w:rPr>
        <w:t>α)</w:t>
      </w:r>
      <w:r>
        <w:rPr>
          <w:lang w:val="en" w:eastAsia="en"/>
        </w:rPr>
        <w:tab/>
      </w:r>
      <w:r>
        <w:rPr>
          <w:lang w:val="el" w:eastAsia="el"/>
        </w:rPr>
        <w:t>έχουν συσταθεί και λειτουργούν εντός της περιφέ-ρειάς τους κέντρα και δομές της παρ. 4 του άρθρου 8 του ν. 4375/2016 (Α`51), όπως αυτό προκύπτει από σχετική βεβαίωση, που εκδίδεται από την Υπηρεσία Υποδοχής και Ταυτοποίησης του Υπουργείου Μετανάστευσης και Ασύλου, και</w:t>
      </w:r>
      <w:r>
        <w:rPr>
          <w:rStyle w:val="Hyperlink"/>
          <w:color w:val="000000"/>
          <w:sz w:val="20"/>
          <w:szCs w:val="20"/>
          <w:u w:val="none" w:color="0000EE"/>
          <w:vertAlign w:val="superscript"/>
          <w:lang w:val="el" w:eastAsia="el"/>
        </w:rPr>
        <w:footnoteReference w:id="200"/>
      </w:r>
    </w:p>
    <w:p>
      <w:pPr>
        <w:pStyle w:val="StructureList1"/>
        <w:spacing w:before="120" w:after="0"/>
        <w:rPr>
          <w:lang w:val="el" w:eastAsia="el"/>
        </w:rPr>
      </w:pPr>
      <w:r>
        <w:rPr>
          <w:lang w:val="el" w:eastAsia="el"/>
        </w:rPr>
        <w:t>β)</w:t>
      </w:r>
      <w:r>
        <w:rPr>
          <w:lang w:val="en" w:eastAsia="en"/>
        </w:rPr>
        <w:tab/>
      </w:r>
      <w:r>
        <w:rPr>
          <w:lang w:val="el" w:eastAsia="el"/>
        </w:rPr>
        <w:t>πρόκειται για αγαθά τα οποία, κατά τον χρόνο που ο φόρος γίνεται απαιτητός:</w:t>
      </w:r>
      <w:r>
        <w:rPr>
          <w:rStyle w:val="Hyperlink"/>
          <w:color w:val="000000"/>
          <w:sz w:val="20"/>
          <w:szCs w:val="20"/>
          <w:u w:val="none" w:color="0000EE"/>
          <w:vertAlign w:val="superscript"/>
          <w:lang w:val="el" w:eastAsia="el"/>
        </w:rPr>
        <w:footnoteReference w:id="201"/>
      </w:r>
    </w:p>
    <w:p>
      <w:pPr>
        <w:pStyle w:val="StructureList1"/>
        <w:spacing w:before="120" w:after="0"/>
        <w:rPr>
          <w:lang w:val="el" w:eastAsia="el"/>
        </w:rPr>
      </w:pPr>
      <w:r>
        <w:rPr>
          <w:lang w:val="el" w:eastAsia="el"/>
        </w:rPr>
        <w:t>αα)</w:t>
      </w:r>
      <w:r>
        <w:rPr>
          <w:lang w:val="en" w:eastAsia="en"/>
        </w:rPr>
        <w:tab/>
      </w:r>
      <w:r>
        <w:rPr>
          <w:lang w:val="el" w:eastAsia="el"/>
        </w:rPr>
        <w:t>βρίσκονται στα νησιά αυτά και παραδίδονται από υποκείμενο στον φόρο που είναι εγκατεστημένο στα νησιά αυτά,</w:t>
      </w:r>
      <w:r>
        <w:rPr>
          <w:rStyle w:val="Hyperlink"/>
          <w:color w:val="000000"/>
          <w:sz w:val="20"/>
          <w:szCs w:val="20"/>
          <w:u w:val="none" w:color="0000EE"/>
          <w:vertAlign w:val="superscript"/>
          <w:lang w:val="el" w:eastAsia="el"/>
        </w:rPr>
        <w:footnoteReference w:id="202"/>
      </w:r>
    </w:p>
    <w:p>
      <w:pPr>
        <w:pStyle w:val="StructureList1"/>
        <w:spacing w:before="120" w:after="0"/>
        <w:rPr>
          <w:lang w:val="el" w:eastAsia="el"/>
        </w:rPr>
      </w:pPr>
      <w:r>
        <w:rPr>
          <w:lang w:val="el" w:eastAsia="el"/>
        </w:rPr>
        <w:t>ββ)</w:t>
      </w:r>
      <w:r>
        <w:rPr>
          <w:lang w:val="en" w:eastAsia="en"/>
        </w:rPr>
        <w:tab/>
      </w:r>
      <w:r>
        <w:rPr>
          <w:lang w:val="el" w:eastAsia="el"/>
        </w:rPr>
        <w:t>πωλούνται με προορισμό τα νησιά αυτά από υποκείμενο στον φόρο, εγκατεστημένο σε οποιοδήποτε μέρος του εσωτερικού της Χώρας, προς αγοραστή υποκείμενο ή προς μη υποκείμενο στον φόρο νομικό πρόσωπο, εγκατεστημένο στα νησιά αυτά,</w:t>
      </w:r>
      <w:r>
        <w:rPr>
          <w:rStyle w:val="Hyperlink"/>
          <w:color w:val="000000"/>
          <w:sz w:val="20"/>
          <w:szCs w:val="20"/>
          <w:u w:val="none" w:color="0000EE"/>
          <w:vertAlign w:val="superscript"/>
          <w:lang w:val="el" w:eastAsia="el"/>
        </w:rPr>
        <w:footnoteReference w:id="203"/>
      </w:r>
    </w:p>
    <w:p>
      <w:pPr>
        <w:pStyle w:val="StructureList1"/>
        <w:spacing w:before="120" w:after="0"/>
        <w:rPr>
          <w:lang w:val="el" w:eastAsia="el"/>
        </w:rPr>
      </w:pPr>
      <w:r>
        <w:rPr>
          <w:lang w:val="el" w:eastAsia="el"/>
        </w:rPr>
        <w:t>γγ)</w:t>
      </w:r>
      <w:r>
        <w:rPr>
          <w:lang w:val="en" w:eastAsia="en"/>
        </w:rPr>
        <w:tab/>
      </w:r>
      <w:r>
        <w:rPr>
          <w:lang w:val="el" w:eastAsia="el"/>
        </w:rPr>
        <w:t>αποστέλλονται ή μεταφέρονται προς υποκείμενο στον φόρο ή προς μη υποκείμενο στον φόρο νομικό πρόσωπο που είναι εγκατεστημένο στα νησιά αυτά, στο πλαίσιο της ενδοκοινοτικής απόκτησης αγαθών,</w:t>
      </w:r>
      <w:r>
        <w:rPr>
          <w:rStyle w:val="Hyperlink"/>
          <w:color w:val="000000"/>
          <w:sz w:val="20"/>
          <w:szCs w:val="20"/>
          <w:u w:val="none" w:color="0000EE"/>
          <w:vertAlign w:val="superscript"/>
          <w:lang w:val="el" w:eastAsia="el"/>
        </w:rPr>
        <w:footnoteReference w:id="204"/>
      </w:r>
    </w:p>
    <w:p>
      <w:pPr>
        <w:pStyle w:val="StructureList1"/>
        <w:spacing w:before="120" w:after="0"/>
        <w:rPr>
          <w:lang w:val="el" w:eastAsia="el"/>
        </w:rPr>
      </w:pPr>
      <w:r>
        <w:rPr>
          <w:lang w:val="el" w:eastAsia="el"/>
        </w:rPr>
        <w:t>δδ)</w:t>
      </w:r>
      <w:r>
        <w:rPr>
          <w:lang w:val="en" w:eastAsia="en"/>
        </w:rPr>
        <w:tab/>
      </w:r>
      <w:r>
        <w:rPr>
          <w:lang w:val="el" w:eastAsia="el"/>
        </w:rPr>
        <w:t>εισάγονται στα νησιά αυτά.</w:t>
      </w:r>
      <w:r>
        <w:rPr>
          <w:rStyle w:val="Hyperlink"/>
          <w:color w:val="000000"/>
          <w:sz w:val="20"/>
          <w:szCs w:val="20"/>
          <w:u w:val="none" w:color="0000EE"/>
          <w:vertAlign w:val="superscript"/>
          <w:lang w:val="el" w:eastAsia="el"/>
        </w:rPr>
        <w:footnoteReference w:id="205"/>
      </w:r>
    </w:p>
    <w:p>
      <w:pPr>
        <w:spacing w:before="240" w:after="240"/>
        <w:rPr>
          <w:lang w:val="el" w:eastAsia="el"/>
        </w:rPr>
      </w:pPr>
      <w:r>
        <w:rPr>
          <w:lang w:val="el" w:eastAsia="el"/>
        </w:rPr>
        <w:t>Η απόφαση του πρώτου εδαφίου ανακαλείται αυτοδικαίως εντός τριών (3) μηνών από την παύση λειτουργίας κέντρου ή δομής της περ. α`. Η μείωση των συντελεστών δεν ισχύει για τα καπνοβιομηχανικά προϊόντα και τα μεταφορικά μέσα.</w:t>
      </w:r>
      <w:r>
        <w:rPr>
          <w:rStyle w:val="Hyperlink"/>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4α.</w:t>
      </w:r>
      <w:r>
        <w:rPr>
          <w:lang w:val="el" w:eastAsia="el"/>
        </w:rPr>
        <w:t xml:space="preserve"> Για την έκδοση της απόφασης της προηγούμενης παραγράφου, ο μέσος ετήσιος αριθμός φιλοξενουμένων υπολογίζεται ανά εξάμηνο, τον Ιούνιο και Δεκέμβριο κάθε έτους, με βάση στοιχεία της Υπηρεσίας Υποδοχής και Ταυτοποίησης του Υπουργείου Μεταναστευτικής Πολιτικής και της Ελληνικής Αστυνομίας και υπό την επίβλεψη υπηρεσίας που θα οριστεί από την Ευρωπαϊκή Επιτροπή, για το δωδεκάμηνο που λήγει στο τέλος του προηγούμενου μήνα από την έκδοση της απόφασης. Κατά την πρώτη εφαρμογή του νόμου, η απόφαση του Υπουργού Οικονομικών εκδίδεται έως 31.12.2018, με βάση στοιχεία της Υπηρεσίας Υποδοχής και Ταυτοποίησης του Υπουργείου Μεταναστευτικής Πολιτικής και της Ελληνικής Αστυνομίας.</w:t>
      </w:r>
      <w:r>
        <w:rPr>
          <w:rStyle w:val="Hyperlink"/>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5.</w:t>
      </w:r>
      <w:r>
        <w:rPr>
          <w:lang w:val="el" w:eastAsia="el"/>
        </w:rPr>
        <w:t xml:space="preserve"> Η μείωση της προηγούμενης παραγράφου ισχύει και για τις υπηρεσίες που εκτελούνται υλικά στην περιοχή αυτήν από υποκείμενο στο φόρο, ο οποίος κατά το χρόνο που ο φόρος γίνεται απαιτητός είναι εγκαταστημένος στην περιοχή αυτήν. </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την πιο πάνω μείωση στρογγυλοποιούνται στην πλησιέστερη ακέραιη μονάδα. Το 0,5 της μονάδας στρογγυλοποιείται στην ανώτερη ακέραια μονάδα.</w:t>
      </w:r>
      <w:r>
        <w:rPr>
          <w:rStyle w:val="Hyperlink"/>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6Α.</w:t>
      </w:r>
      <w:r>
        <w:rPr>
          <w:lang w:val="el" w:eastAsia="el"/>
        </w:rPr>
        <w:t xml:space="preserve"> Η μείωση των συντελεστών των παραγράφων 4, 5 και 6 δεν ισχύει για τα νησιά Θήρα, Μύκονο, Νάξο, Πάρο, Ρόδο, Σκιάθο από 1.10.2015 και για τα νησιά Σύρο, Θάσο, Άνδρο, Τήνο, Κάρπαθο, Μήλο, Σκύρο, Αλόννησο, Κέα, Αντίπαρο και Σίφνο από 1.6.2016.</w:t>
      </w:r>
      <w:r>
        <w:rPr>
          <w:rStyle w:val="Hyperlink"/>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7.</w:t>
      </w:r>
      <w:r>
        <w:rPr>
          <w:lang w:val="el" w:eastAsia="el"/>
        </w:rPr>
        <w:t xml:space="preserve"> Διάταξη νόμου αντίθετου περιεχομένου προς τις διατάξεις του άρθρου αυτού παύει να ισχύει.</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 xml:space="preserve">ΑΠΑΛΛΑΓΕΣ ΑΠΟ ΤΟ ΦΟΡΟ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Απαλλαγές στο εσωτερικό της χώρας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παροχή υπηρεσιών από τα Ελληνικά Ταχυδρομεία (ΕΛ.ΤΑ.) και η παρεπόμενη των υπηρεσιών αυτών παράδοση αγαθών,</w:t>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οι ανταποδοτικές εισφορές που επιβάλλουν οι Οργανισμοί Εγγείων Βελτιώσεων – Ο.Ε.Β. – (Ειδικοί Οργανισμοί, ΓΟΕΒ, ΤΟΕΒ) στα μέλη τους για την παροχή αρδευτικού ύδατος και οι λοιπές παροχές που συνδέονται άμεσα με τις πράξεις αυτές.</w:t>
      </w:r>
      <w:r>
        <w:rPr>
          <w:rStyle w:val="Hyperlink"/>
          <w:color w:val="000000"/>
          <w:sz w:val="20"/>
          <w:szCs w:val="20"/>
          <w:u w:val="none" w:color="0000EE"/>
          <w:vertAlign w:val="superscript"/>
          <w:lang w:val="el" w:eastAsia="el"/>
        </w:rPr>
        <w:footnoteReference w:id="210"/>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οργανισμούς δημοσίου δικαίου. Με τις υπηρεσίες αυτές εξομοιώνονται και οι υπηρεσίες που παρέχονται στις εγκαταστάσεις θεραπευτικών λουτρών και ιαματικών πηγών. Η εν λόγω απαλλαγή ισχύει και για λοιπούς οργανισμούς, με την προϋπόθεση ότι οι εν λόγω οργανισμοί:</w:t>
      </w:r>
      <w:r>
        <w:rPr>
          <w:rStyle w:val="Hyperlink"/>
          <w:color w:val="000000"/>
          <w:sz w:val="20"/>
          <w:szCs w:val="20"/>
          <w:u w:val="none" w:color="0000EE"/>
          <w:vertAlign w:val="superscript"/>
          <w:lang w:val="el" w:eastAsia="el"/>
        </w:rPr>
        <w:footnoteReference w:id="211"/>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212"/>
      </w:r>
    </w:p>
    <w:p>
      <w:pPr>
        <w:spacing w:before="240" w:after="240"/>
        <w:rPr>
          <w:lang w:val="el" w:eastAsia="el"/>
        </w:rPr>
      </w:pPr>
      <w:r>
        <w:rPr>
          <w:lang w:val="el" w:eastAsia="el"/>
        </w:rPr>
        <w:t>ii. η διοίκηση και διαχείριση των εν λόγω οργανισμών πρέπει να ασκείται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213"/>
      </w:r>
    </w:p>
    <w:p>
      <w:pPr>
        <w:spacing w:before="240" w:after="240"/>
        <w:rPr>
          <w:lang w:val="el" w:eastAsia="el"/>
        </w:rPr>
      </w:pPr>
      <w:r>
        <w:rPr>
          <w:lang w:val="el" w:eastAsia="el"/>
        </w:rPr>
        <w:t>iii. οι απαλλαγές δεν πρέπει να δημιουργούν κίνδυνο στρέβλωσης των όρων του ανταγωνισμού,</w:t>
      </w:r>
      <w:r>
        <w:rPr>
          <w:rStyle w:val="Hyperlink"/>
          <w:color w:val="000000"/>
          <w:sz w:val="20"/>
          <w:szCs w:val="20"/>
          <w:u w:val="none" w:color="0000EE"/>
          <w:vertAlign w:val="superscript"/>
          <w:lang w:val="el" w:eastAsia="el"/>
        </w:rPr>
        <w:footnoteReference w:id="214"/>
      </w:r>
    </w:p>
    <w:p>
      <w:pPr>
        <w:pStyle w:val="StructureList1"/>
        <w:spacing w:before="120" w:after="0"/>
        <w:rPr>
          <w:lang w:val="el" w:eastAsia="el"/>
        </w:rPr>
      </w:pPr>
      <w:r>
        <w:rPr>
          <w:lang w:val="el" w:eastAsia="el"/>
        </w:rPr>
        <w:t>ε)</w:t>
      </w:r>
      <w:r>
        <w:rPr>
          <w:lang w:val="en" w:eastAsia="en"/>
        </w:rPr>
        <w:tab/>
      </w:r>
      <w:r>
        <w:rPr>
          <w:lang w:val="el" w:eastAsia="el"/>
        </w:rPr>
        <w:t>οι παροχές ιατρικής περίθαλψης, οι οποίες πραγματοποιούνται στο πλαίσιο της άσκησης ιατρικών επαγγελμάτων, καθώς και οι παροχές υπηρεσιών από ψυχολόγους, μαίες, νοσοκόμους, φυσικοθεραπευτές, λογοθεραπευτές και εργοθεραπευτές,</w:t>
      </w:r>
      <w:r>
        <w:rPr>
          <w:rStyle w:val="Hyperlink"/>
          <w:color w:val="000000"/>
          <w:sz w:val="20"/>
          <w:szCs w:val="20"/>
          <w:u w:val="none" w:color="0000EE"/>
          <w:vertAlign w:val="superscript"/>
          <w:lang w:val="el" w:eastAsia="el"/>
        </w:rPr>
        <w:footnoteReference w:id="215"/>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οδοντογιατρούς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 τα οποία μέλη ασκούν δραστηριότητα απαλλασσόμενη από το φόρο ή μη υποκείμενη στο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216"/>
      </w:r>
    </w:p>
    <w:p>
      <w:pPr>
        <w:pStyle w:val="StructureList1"/>
        <w:spacing w:before="120" w:after="0"/>
        <w:rPr>
          <w:lang w:val="el" w:eastAsia="el"/>
        </w:rPr>
      </w:pPr>
      <w:r>
        <w:rPr>
          <w:lang w:val="el" w:eastAsia="el"/>
        </w:rPr>
        <w:t>ιβ)</w:t>
      </w:r>
      <w:r>
        <w:rPr>
          <w:lang w:val="en" w:eastAsia="en"/>
        </w:rPr>
        <w:tab/>
      </w:r>
      <w:r>
        <w:rPr>
          <w:lang w:val="el" w:eastAsia="el"/>
        </w:rPr>
        <w:t>η παροχή υπηρεσιών εκπαίδευσης γενικά και οι στενά συνδεόμενες με αυτή παραδόσεις αγαθών και παροχές υπηρεσιών, που παρέχονται από δημόσια εκπαιδευτήρια ή από άλλα πρόσωπα αναγνωρισμένα από την, κατά περίπτωση, αρμόδια αρχή.</w:t>
      </w:r>
      <w:r>
        <w:rPr>
          <w:rStyle w:val="Hyperlink"/>
          <w:color w:val="000000"/>
          <w:sz w:val="20"/>
          <w:szCs w:val="20"/>
          <w:u w:val="none" w:color="0000EE"/>
          <w:vertAlign w:val="superscript"/>
          <w:lang w:val="el" w:eastAsia="el"/>
        </w:rPr>
        <w:footnoteReference w:id="217"/>
      </w:r>
    </w:p>
    <w:p>
      <w:pPr>
        <w:spacing w:before="240" w:after="240"/>
        <w:rPr>
          <w:lang w:val="el" w:eastAsia="el"/>
        </w:rPr>
      </w:pPr>
      <w:r>
        <w:rPr>
          <w:lang w:val="el" w:eastAsia="el"/>
        </w:rPr>
        <w:t>Η εν λόγω απαλλαγή ισχύει και για λοιπούς οργανισμούς εφόσον οι εν λόγω οργανισμοί πληρούν αθροιστικά τις ακόλουθες προϋποθέσεις:</w:t>
      </w:r>
      <w:r>
        <w:rPr>
          <w:rStyle w:val="Hyperlink"/>
          <w:color w:val="000000"/>
          <w:sz w:val="20"/>
          <w:szCs w:val="20"/>
          <w:u w:val="none" w:color="0000EE"/>
          <w:vertAlign w:val="superscript"/>
          <w:lang w:val="el" w:eastAsia="el"/>
        </w:rPr>
        <w:footnoteReference w:id="218"/>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219"/>
      </w:r>
    </w:p>
    <w:p>
      <w:pPr>
        <w:spacing w:before="240" w:after="240"/>
        <w:rPr>
          <w:lang w:val="el" w:eastAsia="el"/>
        </w:rPr>
      </w:pPr>
      <w:r>
        <w:rPr>
          <w:lang w:val="el" w:eastAsia="el"/>
        </w:rPr>
        <w:t>ii. η διοίκηση και διαχείριση των εν λόγω οργανισμών πρέπει να ασκείται ουσιαστικά χωρίς μισθό,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220"/>
      </w:r>
    </w:p>
    <w:p>
      <w:pPr>
        <w:spacing w:before="240" w:after="240"/>
        <w:rPr>
          <w:lang w:val="el" w:eastAsia="el"/>
        </w:rPr>
      </w:pPr>
      <w:r>
        <w:rPr>
          <w:lang w:val="el" w:eastAsia="el"/>
        </w:rPr>
        <w:t>iii. οι τιμές τους πρέπει να είναι κατώτερες από αυτές που καθορίζονται για ανάλογες πράξεις εμπορικών επιχειρήσεων, οι οποίες υπόκεινται στο ΦΠΑ,</w:t>
      </w:r>
      <w:r>
        <w:rPr>
          <w:rStyle w:val="Hyperlink"/>
          <w:color w:val="000000"/>
          <w:sz w:val="20"/>
          <w:szCs w:val="20"/>
          <w:u w:val="none" w:color="0000EE"/>
          <w:vertAlign w:val="superscript"/>
          <w:lang w:val="el" w:eastAsia="el"/>
        </w:rPr>
        <w:footnoteReference w:id="221"/>
      </w:r>
    </w:p>
    <w:p>
      <w:pPr>
        <w:spacing w:before="240" w:after="240"/>
        <w:rPr>
          <w:lang w:val="el" w:eastAsia="el"/>
        </w:rPr>
      </w:pPr>
      <w:r>
        <w:rPr>
          <w:lang w:val="el" w:eastAsia="el"/>
        </w:rPr>
        <w:t>iv. η απαλλαγή δεν πρέπει να δημιουργεί κίνδυνο στρέβλωσης των όρων του ανταγωνισμού.</w:t>
      </w:r>
    </w:p>
    <w:p>
      <w:pPr>
        <w:spacing w:before="240" w:after="240"/>
        <w:rPr>
          <w:lang w:val="el" w:eastAsia="el"/>
        </w:rPr>
      </w:pPr>
      <w:r>
        <w:rPr>
          <w:lang w:val="el" w:eastAsia="el"/>
        </w:rPr>
        <w:t>Οι ανωτέρω προϋποθέσεις δεν ισχύουν για την προσχολική εκπαίδευση.</w:t>
      </w:r>
      <w:r>
        <w:rPr>
          <w:rStyle w:val="Hyperlink"/>
          <w:color w:val="000000"/>
          <w:sz w:val="20"/>
          <w:szCs w:val="20"/>
          <w:u w:val="none" w:color="0000EE"/>
          <w:vertAlign w:val="superscript"/>
          <w:lang w:val="el" w:eastAsia="el"/>
        </w:rPr>
        <w:footnoteReference w:id="222"/>
      </w:r>
    </w:p>
    <w:p>
      <w:pPr>
        <w:spacing w:before="240" w:after="240"/>
        <w:rPr>
          <w:lang w:val="el" w:eastAsia="el"/>
        </w:rPr>
      </w:pPr>
      <w:r>
        <w:rPr>
          <w:lang w:val="el" w:eastAsia="el"/>
        </w:rPr>
        <w:t>Η ισχύς των διατάξεων της περίπτωσης ιβ' της παραγράφου 1 του άρθρου 22 του Κώδικα ΦΠΑ αρχίζει από 20 Ιουλίου 2015. Η δήλωση μεταβολών για τη μετάταξη στο κανονικό καθεστώς ΦΠΑ υποβάλλεται έως και τις 16.11.2015.</w:t>
      </w:r>
    </w:p>
    <w:p>
      <w:pPr>
        <w:spacing w:before="240" w:after="240"/>
        <w:rPr>
          <w:lang w:val="el" w:eastAsia="el"/>
        </w:rPr>
      </w:pPr>
      <w:r>
        <w:rPr>
          <w:lang w:val="el" w:eastAsia="el"/>
        </w:rPr>
        <w:t>Στην περίπτωση που έχουν εκδοθεί φορολογικά στοιχεία χωρίς ΦΠΑ για πράξεις που πραγματοποιούνται από 20.7.2015 μέχρι και 16.11.2015, παρέχεται η δυνατότητα στους υποκείμενους στο φόρο να εκδίδουν μέχρι και 23.11.2015 συμπληρωματικά φορολογικά στοιχεία για την επιβολή ΦΠΑ στις πράξεις αυτές. Τα συμπληρωματικά φορολογικά στοιχεία καταχωρούνται είτε στη δήλωση ΦΠΑ που αφορά τη φορολογική περίοδο εντός της οποίας νόμιμα οφείλεται ο φόρος αυτός και εκδόθηκε το αρχικό φορολογικό στοιχείο είτε στη δήλωση ΦΠΑ της φορολογικής περιόδου κατά την οποία εκδόθηκε το συμπληρωματικό στοιχείο. Οι ανωτέρω εκπρόθεσμες δηλώσεις ΦΠΑ, αρχικές ή τροποποιητικές, υποβάλλονται χωρίς κυρώσεις έως και τις 30.11.2015. Έως την προθεσμία αυτή καταβάλλεται και ο οφειλόμενος φόρος χωρίς κυρώσεις. Έως και τις 30.11.2015 υποβάλλονται επίσης χωρίς κυρώσεις, σε έντυπη μορφή στις Δ.Ο.Υ., οι δηλώσεις ΦΠΑ με μηδενικό ή πιστωτικό αποτέλεσμα, από υποκείμενους που υπάγονται στις διατάξεις της περίπτωσης ιβ` της παρ. 1 του άρθρου 22 του Κώδικα ΦΠΑ από 20.7.2015, των οποίων η καταληκτική προθεσμία υποβολής έχει παρέλθει έως την ημερομηνία αυτή. Οι υποκείμενοι που από 20.7.2015 εντάσσονται στο κανονικό καθεστώς για τις υπηρεσίες εκπαίδευσης που παρέχουν, συντάσσουν απογραφή των επενδυτικών αγαθών (παγίων) που κατείχαν στις 19.7.2015, εφόσον αποκτήθηκαν με επιβάρυνση ΦΠΑ και χρησιμοποιήθηκαν εντός της τελευταίας πενταετίας και υποβάλλουν δήλωση αποθεμάτων μετάταξης έως και τις 22.12.2015, για την άσκηση του δικαιώματος έκπτωσης του ΦΠΑ που αντιστοιχεί στα εναπομείναντα έτη της πενταετίας. Οι ανωτέρω προθεσμίες δύναται να παρατείνονται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223"/>
      </w:r>
    </w:p>
    <w:p>
      <w:pPr>
        <w:pStyle w:val="StructureList1"/>
        <w:spacing w:before="120" w:after="0"/>
        <w:rPr>
          <w:lang w:val="el" w:eastAsia="el"/>
        </w:rPr>
      </w:pPr>
      <w:r>
        <w:rPr>
          <w:lang w:val="el" w:eastAsia="el"/>
        </w:rPr>
        <w:t>ιγ)</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και η στενά συνδεόμενη με αυτές παράδοση αγαθών προς τα μέλη τους, ένανπ καταβολής συνδρομής, από μη κερδοσκοπικού χαρακτήρα νομικά πρόσωπα και οργανισμούς, που επιδιώκουν στα πλαίσια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ιστ)</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αρχαιολογικών, μνημείων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ιζ)</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που αναφέρονται στις περιπτώσεις δ΄, θ΄ και ιβ΄ της παραγράφου αυτής, με σκοπό την πνευματική αρωγή και ανάπτυξη,</w:t>
      </w:r>
    </w:p>
    <w:p>
      <w:pPr>
        <w:pStyle w:val="StructureList1"/>
        <w:spacing w:before="120" w:after="0"/>
        <w:rPr>
          <w:lang w:val="el" w:eastAsia="el"/>
        </w:rPr>
      </w:pPr>
      <w:r>
        <w:rPr>
          <w:lang w:val="el" w:eastAsia="el"/>
        </w:rPr>
        <w:t>ιη)</w:t>
      </w:r>
      <w:r>
        <w:rPr>
          <w:lang w:val="en" w:eastAsia="en"/>
        </w:rPr>
        <w:tab/>
      </w:r>
      <w:r>
        <w:rPr>
          <w:lang w:val="el" w:eastAsia="el"/>
        </w:rPr>
        <w:t>η παροχή υπηρεσιών και η παράδοση αγαθών από τα πρόσωπα που αναφέρονται στις περιπτώσεις δ΄, θ΄, ιβ΄, ιδ΄, ιε΄ και ιστ΄ της παραγράφου αυτής, με την ευκαιρία εκδηλώσεων που οργανώνονται από αυτά για την οικονομική τους ενίσχυση.</w:t>
      </w:r>
    </w:p>
    <w:p>
      <w:pPr>
        <w:pStyle w:val="StructureList1"/>
        <w:spacing w:before="120" w:after="0"/>
        <w:rPr>
          <w:lang w:val="el" w:eastAsia="el"/>
        </w:rPr>
      </w:pPr>
      <w:r>
        <w:rPr>
          <w:lang w:val="el" w:eastAsia="el"/>
        </w:rPr>
        <w:t>ιθ)</w:t>
      </w:r>
      <w:r>
        <w:rPr>
          <w:lang w:val="en" w:eastAsia="en"/>
        </w:rPr>
        <w:tab/>
      </w:r>
      <w:r>
        <w:rPr>
          <w:lang w:val="el" w:eastAsia="el"/>
        </w:rPr>
        <w:t>οι ασφαλιστικές και αντασφαλιστικές εργασίες, καθώς και οι συναφείς με αυτές εργασίες που παρέχονται από ασφαλειομεσίτες και ασφαλιστικούς πράκτορες, συμπεριλαμβανομένων και των υπηρεσιών οδικής βοήθειας έναντι συνδρομής, που παρέχονται από ασφαλιστικές επιχειρήσεις, καθώς και από φυσικά πρόσωπα ή νομικά πρόσωπα παροχής οδικής βοήθειας,</w:t>
      </w:r>
      <w:r>
        <w:rPr>
          <w:rStyle w:val="Hyperlink"/>
          <w:color w:val="000000"/>
          <w:sz w:val="20"/>
          <w:szCs w:val="20"/>
          <w:u w:val="none" w:color="0000EE"/>
          <w:vertAlign w:val="superscript"/>
          <w:lang w:val="el" w:eastAsia="el"/>
        </w:rPr>
        <w:footnoteReference w:id="224"/>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που αφορούν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κα)</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κβ)</w:t>
      </w:r>
      <w:r>
        <w:rPr>
          <w:lang w:val="en" w:eastAsia="en"/>
        </w:rPr>
        <w:tab/>
      </w:r>
      <w:r>
        <w:rPr>
          <w:lang w:val="el" w:eastAsia="el"/>
        </w:rPr>
        <w:t>η διαχείριση των ΟΣΕΚΑ και των λοιπών οργανισμών συλλογικών επενδύσεων που αποσκοπούν στη συλλογή επενδυτικών κεφαλαίων από το ευρύ κοινό,</w:t>
      </w:r>
      <w:r>
        <w:rPr>
          <w:rStyle w:val="Hyperlink"/>
          <w:color w:val="000000"/>
          <w:sz w:val="20"/>
          <w:szCs w:val="20"/>
          <w:u w:val="none" w:color="0000EE"/>
          <w:vertAlign w:val="superscript"/>
          <w:lang w:val="el" w:eastAsia="el"/>
        </w:rPr>
        <w:footnoteReference w:id="225"/>
      </w:r>
    </w:p>
    <w:p>
      <w:pPr>
        <w:pStyle w:val="StructureList1"/>
        <w:spacing w:before="120" w:after="0"/>
        <w:rPr>
          <w:lang w:val="el" w:eastAsia="el"/>
        </w:rPr>
      </w:pPr>
      <w:r>
        <w:rPr>
          <w:lang w:val="el" w:eastAsia="el"/>
        </w:rPr>
        <w:t>κγ)</w:t>
      </w:r>
      <w:r>
        <w:rPr>
          <w:lang w:val="en" w:eastAsia="en"/>
        </w:rPr>
        <w:tab/>
      </w:r>
      <w:r>
        <w:rPr>
          <w:lang w:val="el" w:eastAsia="el"/>
        </w:rPr>
        <w:t>η χορήγηση και η διαπραγμάτευση πιστώσεων, καθώς και η διαχείριση τους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κε)</w:t>
      </w:r>
      <w:r>
        <w:rPr>
          <w:lang w:val="en" w:eastAsia="en"/>
        </w:rPr>
        <w:tab/>
      </w:r>
      <w:r>
        <w:rPr>
          <w:lang w:val="el" w:eastAsia="el"/>
        </w:rPr>
        <w:t>οι εργασίες, στις οποίες περιλαμβάνεται και η διαπραγμάτευση, που αφορούν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κστ)</w:t>
      </w:r>
      <w:r>
        <w:rPr>
          <w:lang w:val="en" w:eastAsia="en"/>
        </w:rPr>
        <w:tab/>
      </w:r>
      <w:r>
        <w:rPr>
          <w:lang w:val="el" w:eastAsia="el"/>
        </w:rPr>
        <w:t>οι μισθώσεις ακινήτων, εκτός αυτών της περίπτωσης δ` της παραγράφου 2 του άρθρου 8,</w:t>
      </w:r>
      <w:r>
        <w:rPr>
          <w:rStyle w:val="Hyperlink"/>
          <w:color w:val="000000"/>
          <w:sz w:val="20"/>
          <w:szCs w:val="20"/>
          <w:u w:val="none" w:color="0000EE"/>
          <w:vertAlign w:val="superscript"/>
          <w:lang w:val="el" w:eastAsia="el"/>
        </w:rPr>
        <w:footnoteReference w:id="226"/>
      </w:r>
    </w:p>
    <w:p>
      <w:pPr>
        <w:pStyle w:val="StructureList1"/>
        <w:spacing w:before="120" w:after="0"/>
        <w:rPr>
          <w:lang w:val="el" w:eastAsia="el"/>
        </w:rPr>
      </w:pPr>
      <w:r>
        <w:rPr>
          <w:lang w:val="el" w:eastAsia="el"/>
        </w:rPr>
        <w:t>κζ)</w:t>
      </w:r>
      <w:r>
        <w:rPr>
          <w:lang w:val="en" w:eastAsia="en"/>
        </w:rPr>
        <w:tab/>
      </w:r>
      <w:r>
        <w:rPr>
          <w:lang w:val="el" w:eastAsia="el"/>
        </w:rPr>
        <w:t>η παράδοση κρατικών λαχείων, δελτίων ΠΡΟΤΟ ΠΡΟ-ΠΟ. ΛΟΤΤΟ, και λαχείων του Λαχειοφόρου Αμοιβαίου Στοιχήματος (SWEEPSTAKES) του Οργανισμού Ιπποδρομιών Ελλάδος,</w:t>
      </w:r>
    </w:p>
    <w:p>
      <w:pPr>
        <w:pStyle w:val="StructureList1"/>
        <w:spacing w:before="120" w:after="0"/>
        <w:rPr>
          <w:lang w:val="el" w:eastAsia="el"/>
        </w:rPr>
      </w:pPr>
      <w:r>
        <w:rPr>
          <w:lang w:val="el" w:eastAsia="el"/>
        </w:rPr>
        <w:t>κη)</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κθ)</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 φόρο ή από αγρότη του ειδικού καθεστώτος του άρθρου 41, εφόσον τα αγαθά αυτά είχαν αποκτηθεί με φόρο προστιθέμενης αξίας και δεν έχει παρασχεθεί, ούτε ασκηθεί άμεσα, δικαίωμα έκπτωσης, καθώς επίσης και η παράδοση αγαθών των οποίων η κτήση ή η διάθεση έχει εξαιρεθεί από το δικαίωμα έκπτωσης, σύμφωνα με την παράγραφο 4 του άρθρου 30,</w:t>
      </w:r>
      <w:r>
        <w:rPr>
          <w:rStyle w:val="Hyperlink"/>
          <w:color w:val="000000"/>
          <w:sz w:val="20"/>
          <w:szCs w:val="20"/>
          <w:u w:val="none" w:color="0000EE"/>
          <w:vertAlign w:val="superscript"/>
          <w:lang w:val="el" w:eastAsia="el"/>
        </w:rPr>
        <w:footnoteReference w:id="227"/>
      </w:r>
    </w:p>
    <w:p>
      <w:pPr>
        <w:pStyle w:val="StructureList1"/>
        <w:spacing w:before="120" w:after="0"/>
        <w:rPr>
          <w:lang w:val="el" w:eastAsia="el"/>
        </w:rPr>
      </w:pPr>
      <w:r>
        <w:rPr>
          <w:lang w:val="el" w:eastAsia="el"/>
        </w:rPr>
        <w:t>λ)</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τις διατάξεις του άρθρου 20,</w:t>
      </w:r>
    </w:p>
    <w:p>
      <w:pPr>
        <w:pStyle w:val="StructureList1"/>
        <w:spacing w:before="120" w:after="0"/>
        <w:rPr>
          <w:lang w:val="el" w:eastAsia="el"/>
        </w:rPr>
      </w:pPr>
      <w:r>
        <w:rPr>
          <w:lang w:val="el" w:eastAsia="el"/>
        </w:rPr>
        <w:t>λα)</w:t>
      </w:r>
      <w:r>
        <w:rPr>
          <w:lang w:val="en" w:eastAsia="en"/>
        </w:rPr>
        <w:tab/>
      </w:r>
      <w:r>
        <w:rPr>
          <w:lang w:val="el" w:eastAsia="el"/>
        </w:rPr>
        <w:t xml:space="preserve"> α) η παράδοση ακινήτων, εκτός από:</w:t>
      </w:r>
    </w:p>
    <w:p>
      <w:pPr>
        <w:spacing w:before="240" w:after="240"/>
        <w:rPr>
          <w:lang w:val="el" w:eastAsia="el"/>
        </w:rPr>
      </w:pPr>
      <w:r>
        <w:rPr>
          <w:lang w:val="el" w:eastAsia="el"/>
        </w:rPr>
        <w:t>-την παράδοση που προβλέπουν οι διατάξεις του άρθρου 6</w:t>
      </w:r>
    </w:p>
    <w:p>
      <w:pPr>
        <w:spacing w:before="240" w:after="240"/>
        <w:rPr>
          <w:lang w:val="el" w:eastAsia="el"/>
        </w:rPr>
      </w:pPr>
      <w:r>
        <w:rPr>
          <w:lang w:val="el" w:eastAsia="el"/>
        </w:rPr>
        <w:t>-τις παραδόσεις που προβλέπουν οι διατάξεις της περίπτωσης γ της παραγράφου 2 του άρθρου 7</w:t>
      </w:r>
    </w:p>
    <w:p>
      <w:pPr>
        <w:pStyle w:val="StructureList1"/>
        <w:spacing w:before="120" w:after="0"/>
        <w:rPr>
          <w:lang w:val="el" w:eastAsia="el"/>
        </w:rPr>
      </w:pPr>
      <w:r>
        <w:rPr>
          <w:lang w:val="el" w:eastAsia="el"/>
        </w:rPr>
        <w:t>β)</w:t>
      </w:r>
      <w:r>
        <w:rPr>
          <w:lang w:val="en" w:eastAsia="en"/>
        </w:rPr>
        <w:tab/>
      </w:r>
      <w:r>
        <w:rPr>
          <w:lang w:val="el" w:eastAsia="el"/>
        </w:rPr>
        <w:t>η παράδοση ακινήτων σε δικαιούχους απαλλαγής από το φόρο μεταβίβασης κατά την απόκτηση πρώτης κατοικίας, καθώς και η παραχώρηση του δικαιώματος αποκλειστικής χρήσης επί κοινόκτητων κύριων, βοηθητικών ή ειδικών χώρων κτισμάτων ή επί κοινόκτητου τμήματος οικοπέδου που συνίσταται υπέρ των ανωτέρω ακινήτων. Η απαλλαγή αυτή από το Φ.Π.Α. κρίνεται οριστικά κατά το χρόνο της παράδοσης του ακινήτου,</w:t>
      </w:r>
      <w:r>
        <w:rPr>
          <w:rStyle w:val="Hyperlink"/>
          <w:color w:val="000000"/>
          <w:sz w:val="20"/>
          <w:szCs w:val="20"/>
          <w:u w:val="none" w:color="0000EE"/>
          <w:vertAlign w:val="superscript"/>
          <w:lang w:val="el" w:eastAsia="el"/>
        </w:rPr>
        <w:footnoteReference w:id="228"/>
      </w:r>
    </w:p>
    <w:p>
      <w:pPr>
        <w:pStyle w:val="StructureList1"/>
        <w:spacing w:before="120" w:after="0"/>
        <w:rPr>
          <w:lang w:val="el" w:eastAsia="el"/>
        </w:rPr>
      </w:pPr>
      <w:r>
        <w:rPr>
          <w:lang w:val="el" w:eastAsia="el"/>
        </w:rPr>
        <w:t>λβ)</w:t>
      </w:r>
      <w:r>
        <w:rPr>
          <w:lang w:val="en" w:eastAsia="en"/>
        </w:rPr>
        <w:tab/>
      </w:r>
      <w:r>
        <w:rPr>
          <w:lang w:val="el" w:eastAsia="el"/>
        </w:rPr>
        <w:t>(…)</w:t>
      </w:r>
      <w:r>
        <w:rPr>
          <w:rStyle w:val="Hyperlink"/>
          <w:color w:val="000000"/>
          <w:sz w:val="20"/>
          <w:szCs w:val="20"/>
          <w:u w:val="none" w:color="0000EE"/>
          <w:vertAlign w:val="superscript"/>
          <w:lang w:val="el" w:eastAsia="el"/>
        </w:rPr>
        <w:footnoteReference w:id="229"/>
      </w:r>
    </w:p>
    <w:p>
      <w:pPr>
        <w:pStyle w:val="StructureList1"/>
        <w:spacing w:before="120" w:after="0"/>
        <w:rPr>
          <w:lang w:val="el" w:eastAsia="el"/>
        </w:rPr>
      </w:pPr>
      <w:r>
        <w:rPr>
          <w:lang w:val="el" w:eastAsia="el"/>
        </w:rPr>
        <w:t>λγ)</w:t>
      </w:r>
      <w:r>
        <w:rPr>
          <w:lang w:val="en" w:eastAsia="en"/>
        </w:rPr>
        <w:tab/>
      </w:r>
      <w:r>
        <w:rPr>
          <w:lang w:val="el" w:eastAsia="el"/>
        </w:rPr>
        <w:t>η παράδοση αγαθών, των οποίων η εισαγωγή απαλλάσσεται από το φόρο προστιθέμενης αξίας, εκτός των περιπτώσεων που ρυθμίζονται διαφορετικά από τις διατάξεις του παρόντος νόμου,</w:t>
      </w:r>
    </w:p>
    <w:p>
      <w:pPr>
        <w:pStyle w:val="StructureList1"/>
        <w:spacing w:before="120" w:after="0"/>
        <w:rPr>
          <w:lang w:val="el" w:eastAsia="el"/>
        </w:rPr>
      </w:pPr>
      <w:r>
        <w:rPr>
          <w:lang w:val="el" w:eastAsia="el"/>
        </w:rPr>
        <w:t>λδ)</w:t>
      </w:r>
      <w:r>
        <w:rPr>
          <w:lang w:val="en" w:eastAsia="en"/>
        </w:rPr>
        <w:tab/>
      </w:r>
      <w:r>
        <w:rPr>
          <w:lang w:val="el" w:eastAsia="el"/>
        </w:rPr>
        <w:t>τα έσοδα που πραγματοποιούν οι επιχειρήσεις του Ν. 2206/1994 (Φ.Ε.Κ. 62 Α΄) από τα παιχνίδια που αναφέρονται στην παράγραφο 7 του άρθρου 3 του ίδιου νόμου και τα οποία διεξάγονται σύμφωνα με τις σχετικές διατάξεις αυτού του νόμου.</w:t>
      </w:r>
    </w:p>
    <w:p>
      <w:pPr>
        <w:pStyle w:val="StructureList1"/>
        <w:spacing w:before="120" w:after="0"/>
        <w:rPr>
          <w:lang w:val="el" w:eastAsia="el"/>
        </w:rPr>
      </w:pPr>
      <w:r>
        <w:rPr>
          <w:lang w:val="el" w:eastAsia="el"/>
        </w:rPr>
        <w:t>λε)</w:t>
      </w:r>
      <w:r>
        <w:rPr>
          <w:lang w:val="en" w:eastAsia="en"/>
        </w:rPr>
        <w:tab/>
      </w:r>
      <w:r>
        <w:rPr>
          <w:lang w:val="el" w:eastAsia="el"/>
        </w:rPr>
        <w:t>η θεωρούμενη ως παράδοση αγαθών στον υποκείμενο στον φόρο ο οποίος θεωρείται ότι έχει παραλάβει και παραδώσει αγαθά, σύμφωνα με την παρ. 2 του άρθρου 5β.</w:t>
      </w:r>
      <w:r>
        <w:rPr>
          <w:rStyle w:val="Hyperlink"/>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 Επίσης, με κοινές αποφάσεις του Υπ. Οικονομικών και του, κατά περίπτωση, αρμόδιου Υπουργού, καθορίζονται οι προϋποθέσεις που πρέπει να πληρούν τα πρόσωπα που υπάγονται στις διατάξεις των περιπτώσεων δ΄, η΄, θ΄, ια΄, ιβ΄, ιδ΄, ιε΄, ιστ΄ και ιζ΄ της παραγράφου 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έχουν ατέλεια,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 φόρο και στο εσωτερικό της χώρας.</w:t>
      </w:r>
    </w:p>
    <w:p>
      <w:pPr>
        <w:spacing w:before="240" w:after="240"/>
        <w:rPr>
          <w:lang w:val="el" w:eastAsia="el"/>
        </w:rPr>
      </w:pPr>
      <w:r>
        <w:rPr>
          <w:lang w:val="el" w:eastAsia="el"/>
        </w:rPr>
        <w:t>Η διάταξη αυτή αφορά και τις εισαγωγές αγαθών που εμπίπτουν στις διατάξεις της περίπτωσης β της παραγράφου 1 του άρθρου 10, οι οποίες θα ετύγχαναν της εν λόγω απαλλαγής αν είχαν πραγματοποιηθεί κατά την έννοια της περίπτωσης ατής παραγράφου 1 του άρθρου 10,</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παράδοση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του και για λογαριασμό του εισαγωγέα σε άλλο κράτος - μέλος και η παράδοση τους απαλλάσσεται κατ' εφαρμογή των διατάξεων της παραγράφου 1 του άρθρου 28. Η απαλλαγή κατά την εισαγωγή στην περίπτωση αυτή ισχύει μόνον εάν, κατά τη στιγμή της εισαγωγής, ο εισαγωγέας έχει παράσχει στις αρμόδιες αρχές τις ακόλουθες τουλάχιστον πληροφορίες:</w:t>
      </w:r>
      <w:r>
        <w:rPr>
          <w:rStyle w:val="Hyperlink"/>
          <w:color w:val="000000"/>
          <w:sz w:val="20"/>
          <w:szCs w:val="20"/>
          <w:u w:val="none" w:color="0000EE"/>
          <w:vertAlign w:val="superscript"/>
          <w:lang w:val="el" w:eastAsia="el"/>
        </w:rPr>
        <w:footnoteReference w:id="231"/>
      </w:r>
    </w:p>
    <w:p>
      <w:pPr>
        <w:pStyle w:val="StructureList1"/>
        <w:spacing w:before="120" w:after="0"/>
        <w:rPr>
          <w:lang w:val="el" w:eastAsia="el"/>
        </w:rPr>
      </w:pPr>
      <w:r>
        <w:rPr>
          <w:lang w:val="el" w:eastAsia="el"/>
        </w:rPr>
        <w:t>i)</w:t>
      </w:r>
      <w:r>
        <w:rPr>
          <w:lang w:val="en" w:eastAsia="en"/>
        </w:rPr>
        <w:tab/>
      </w:r>
      <w:r>
        <w:rPr>
          <w:lang w:val="el" w:eastAsia="el"/>
        </w:rPr>
        <w:t>τον αριθμό φορολογικού μητρώου Φ.Π.Α. που έχει χορηγηθεί στον εισαγωγέα στο εσωτερικό της χώρας, ή μέσω του φορολογικού αντιπροσώπου του, ως υπόχρεου, για την καταβολή του Φ.Π.Α.,</w:t>
      </w:r>
      <w:r>
        <w:rPr>
          <w:rStyle w:val="Hyperlink"/>
          <w:color w:val="000000"/>
          <w:sz w:val="20"/>
          <w:szCs w:val="20"/>
          <w:u w:val="none" w:color="0000EE"/>
          <w:vertAlign w:val="superscript"/>
          <w:lang w:val="el" w:eastAsia="el"/>
        </w:rPr>
        <w:footnoteReference w:id="232"/>
      </w:r>
    </w:p>
    <w:p>
      <w:pPr>
        <w:pStyle w:val="StructureList1"/>
        <w:spacing w:before="120" w:after="0"/>
        <w:rPr>
          <w:lang w:val="el" w:eastAsia="el"/>
        </w:rPr>
      </w:pPr>
      <w:r>
        <w:rPr>
          <w:lang w:val="el" w:eastAsia="el"/>
        </w:rPr>
        <w:t>ii)</w:t>
      </w:r>
      <w:r>
        <w:rPr>
          <w:lang w:val="en" w:eastAsia="en"/>
        </w:rPr>
        <w:tab/>
      </w:r>
      <w:r>
        <w:rPr>
          <w:lang w:val="el" w:eastAsia="el"/>
        </w:rPr>
        <w:t>τον αριθμό φορολογικού μητρώου Φ.Π.Α. του αποκτώντος, στον οποίο παραδίδονται τα αγαθά, που έχει χορηγηθεί σε άλλο κράτος - μέλος ή τον δικό του αριθμό φορολογικού μητρώου Φ.Π.Α. ο οποίος έχει χορηγηθεί στο κράτος - μέλος άφιξης της αποστολής ή της μεταφοράς των αγαθών όταν τα αγαθά αποτελούν αντικείμενο μεταφοράς, κατ' εφαρμογή των διατάξεων της παραγράφου 1 του άρθρου 28,</w:t>
      </w:r>
      <w:r>
        <w:rPr>
          <w:rStyle w:val="Hyperlink"/>
          <w:color w:val="000000"/>
          <w:sz w:val="20"/>
          <w:szCs w:val="20"/>
          <w:u w:val="none" w:color="0000EE"/>
          <w:vertAlign w:val="superscript"/>
          <w:lang w:val="el" w:eastAsia="el"/>
        </w:rPr>
        <w:footnoteReference w:id="233"/>
      </w:r>
    </w:p>
    <w:p>
      <w:pPr>
        <w:pStyle w:val="StructureList1"/>
        <w:spacing w:before="120" w:after="0"/>
        <w:rPr>
          <w:lang w:val="el" w:eastAsia="el"/>
        </w:rPr>
      </w:pPr>
      <w:r>
        <w:rPr>
          <w:lang w:val="el" w:eastAsia="el"/>
        </w:rPr>
        <w:t>iii)</w:t>
      </w:r>
      <w:r>
        <w:rPr>
          <w:lang w:val="en" w:eastAsia="en"/>
        </w:rPr>
        <w:tab/>
      </w:r>
      <w:r>
        <w:rPr>
          <w:lang w:val="el" w:eastAsia="el"/>
        </w:rPr>
        <w:t>την απόδειξη ότι τα εισαγόμενα αγαθά προορίζονται να μεταφερθούν ή να αποσταλούν από τη χώρα μας σε άλλο κράτος - μέλος.</w:t>
      </w:r>
      <w:r>
        <w:rPr>
          <w:rStyle w:val="Hyperlink"/>
          <w:color w:val="000000"/>
          <w:sz w:val="20"/>
          <w:szCs w:val="20"/>
          <w:u w:val="none" w:color="0000EE"/>
          <w:vertAlign w:val="superscript"/>
          <w:lang w:val="el" w:eastAsia="el"/>
        </w:rPr>
        <w:footnoteReference w:id="234"/>
      </w:r>
    </w:p>
    <w:p>
      <w:pPr>
        <w:pStyle w:val="StructureList1"/>
        <w:spacing w:before="120" w:after="0"/>
        <w:rPr>
          <w:lang w:val="el" w:eastAsia="el"/>
        </w:rPr>
      </w:pPr>
      <w:r>
        <w:rPr>
          <w:lang w:val="el" w:eastAsia="el"/>
        </w:rPr>
        <w:t>ε)</w:t>
      </w:r>
      <w:r>
        <w:rPr>
          <w:lang w:val="en" w:eastAsia="en"/>
        </w:rPr>
        <w:tab/>
      </w:r>
      <w:r>
        <w:rPr>
          <w:lang w:val="el" w:eastAsia="el"/>
        </w:rPr>
        <w:t>η εισαγωγή αερίου μέσω συστήματος φυσικού αερίου ή οποιουδήποτε άλλου δικτύου συνδεδεμένου με τέτοιο σύστημα ή που εισάγεται από πλοίο μεταφοράς αερίου σε σύστημα φυσικού αερίου ή σε ανάντη δίκτυο αγωγών, ηλεκτρικής ενέργειας, θερμότητας ή ψύχους μέσω των δικτύων θέρμανσης ή ψύξης.</w:t>
      </w:r>
      <w:r>
        <w:rPr>
          <w:rStyle w:val="Hyperlink"/>
          <w:color w:val="000000"/>
          <w:sz w:val="20"/>
          <w:szCs w:val="20"/>
          <w:u w:val="none" w:color="0000EE"/>
          <w:vertAlign w:val="superscript"/>
          <w:lang w:val="el" w:eastAsia="el"/>
        </w:rPr>
        <w:footnoteReference w:id="235"/>
      </w:r>
    </w:p>
    <w:p>
      <w:pPr>
        <w:pStyle w:val="StructureList1"/>
        <w:spacing w:before="120" w:after="0"/>
        <w:rPr>
          <w:lang w:val="el" w:eastAsia="el"/>
        </w:rPr>
      </w:pPr>
      <w:r>
        <w:rPr>
          <w:lang w:val="el" w:eastAsia="el"/>
        </w:rPr>
        <w:t>στ)</w:t>
      </w:r>
      <w:r>
        <w:rPr>
          <w:lang w:val="en" w:eastAsia="en"/>
        </w:rPr>
        <w:tab/>
      </w:r>
      <w:r>
        <w:rPr>
          <w:lang w:val="el" w:eastAsia="el"/>
        </w:rPr>
        <w:t>η εισαγωγή αγαθών, όταν εφαρμόζεται το ειδικό καθεστώς εισαγωγής του άρθρου 47δ ή αντίστοιχο ειδικό καθεστώς άλλου κράτους μέλους. Η απαλλαγή κατά την εισαγωγή χορηγείται υπό την προϋπόθεση ότι έγκυρος ατομικός αριθμός φορολογικού μητρώου ΦΠΑ του προμηθευτή ή του μεσάζοντος που ενεργεί για λογαριασμό του, όπως έχει χορηγηθεί για την εφαρμογή του ειδικού καθεστώτος δυνάμει των περ. α` ή γ` της παρ. 6 του άρθρου 47δ ή αντίστοιχων διατάξεων που ισχύουν σε άλλα κράτη μέλη, έχει δηλωθεί το αργότερο κατά την υποβολή της διασάφησης εισαγωγής στην αρμόδια τε-λωνειακή αρχή εισαγωγής.</w:t>
      </w:r>
      <w:r>
        <w:rPr>
          <w:rStyle w:val="Hyperlink"/>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Απαλλαγές των πράξεων κατά την εξαγωγή, εκτός Κοινότητας, των εξομοιούμενων προς αυτές πράξεων κοιτών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Κοινότητας,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Κοινότητας από το μη εγκατεστημένο στο εσωτερικό της χώρας αγοραστή ή από άλλο πρόσωπο που ενεργεί για λογαριασμό του αγοραστή. Εξαιρούνται από την απαλλαγή τα αγαθά που μεταφέρονται από τον ίδιο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r>
        <w:rPr>
          <w:rStyle w:val="Hyperlink"/>
          <w:color w:val="000000"/>
          <w:sz w:val="20"/>
          <w:szCs w:val="20"/>
          <w:u w:val="none" w:color="0000EE"/>
          <w:vertAlign w:val="superscript"/>
          <w:lang w:val="el" w:eastAsia="el"/>
        </w:rPr>
        <w:footnoteReference w:id="237"/>
      </w:r>
    </w:p>
    <w:p>
      <w:pPr>
        <w:spacing w:before="240" w:after="240"/>
        <w:rPr>
          <w:lang w:val="el" w:eastAsia="el"/>
        </w:rPr>
      </w:pPr>
      <w:r>
        <w:rPr>
          <w:lang w:val="el" w:eastAsia="el"/>
        </w:rPr>
        <w:t>Κατά την έννοια των διατάξεων του προηγούμενου εδαφίου θεωρούνται:</w:t>
      </w:r>
    </w:p>
    <w:p>
      <w:pPr>
        <w:pStyle w:val="StructureList1"/>
        <w:spacing w:before="120" w:after="0"/>
        <w:rPr>
          <w:lang w:val="el" w:eastAsia="el"/>
        </w:rPr>
      </w:pPr>
      <w:r>
        <w:rPr>
          <w:lang w:val="el" w:eastAsia="el"/>
        </w:rPr>
        <w:t>αα)</w:t>
      </w:r>
      <w:r>
        <w:rPr>
          <w:lang w:val="en" w:eastAsia="en"/>
        </w:rPr>
        <w:tab/>
      </w:r>
      <w:r>
        <w:rPr>
          <w:lang w:val="el" w:eastAsia="el"/>
        </w:rPr>
        <w:t>ως "αγαθά εξοπλισμού",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εφοδιασμού",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αυτή εφαρμόζεται, εφόσον πληρούνται σω</w:t>
      </w:r>
      <w:r>
        <w:rPr>
          <w:lang w:val="el" w:eastAsia="el"/>
        </w:rPr>
        <w:softHyphen/>
        <w:t>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 μέλους της Κοινότητας,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Κοινότητας πριν από την παρέλευση του τρίτου μήνα που ακολουθεί το μήνα κατά τον οποίο πραγματοποιήθηκε η παράδοση. Η εξαγωγή των αγαθών αποδεικνύεται με την προσκόμιση θεωρημένου φορολογικού στοιχείου από την αρμόδια τελωνειακή αρχή της χώρας ή του κράτους - μέλους εξόδου των αγαθών από την Κοινότητα,</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φόρου προστιθέμενης αξίας υπερβαίνει το ποσό που ορίζεται κάθε φορά με απόφαση του Υπουργού Οικονομικών.</w:t>
      </w:r>
    </w:p>
    <w:p>
      <w:pPr>
        <w:spacing w:before="240" w:after="240"/>
        <w:rPr>
          <w:lang w:val="el" w:eastAsia="el"/>
        </w:rPr>
      </w:pPr>
      <w:r>
        <w:rPr>
          <w:lang w:val="el" w:eastAsia="el"/>
        </w:rPr>
        <w:t>Το ποσό αυτό σε εθνικό νόμισμα καθορίζεται σύμφωνα με το άρθρο 7 παράγραφος 2 της Οδηγίας 69169ΕΟΚ, όπως ισχύει κάθε φορά.</w:t>
      </w:r>
    </w:p>
    <w:p>
      <w:pPr>
        <w:spacing w:before="240" w:after="240"/>
        <w:rPr>
          <w:lang w:val="el" w:eastAsia="el"/>
        </w:rPr>
      </w:pPr>
      <w:r>
        <w:rPr>
          <w:lang w:val="el" w:eastAsia="el"/>
        </w:rPr>
        <w:t>Για την εφαρμογή των δύο προηγούμενων εδαφίων που αναφέρονται στις λιανικές πωλήσεις αγαθών σε ταξιδιώτες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Κοινότητας", ο ταξιδιώτης του οποίου η κατοικία ή η συνήθης διαμονή δεν βρίσκεται στο εσωτερικό της Κοινότητας.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Κοινότητας,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 σκοπό αυτόν στο εσωτερικό της χώρας και στη συνέχεια εξάγονται, εκτός της Κοινότητας, από αυτόν που παρέχει τις υπηρεσίες ή από τον εγκαταστημένο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Κοινότητας, από τα πρόσωπα αυτά, στα πλαίσια των φιλανθρωπικών, ανθρωπιστικών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στις διατάξεις της παραγράφου 3 του άρθρου 10 και της περίπτωσης α της παραγράφου 1 του άρθρου 25. Ως μεταφορές για την εφαρμογή του προηγούμενου εδαφίου νοούνται και οι μεταφορές αγαθών μέσω αγωγών ή η παροχή πρόσβασης σε τέτοιους αγωγούς. Στις υπηρεσίες αυτές δεν περιλαμβάνονται οι προβλεπόμενες από τις διατάξεις του άρθρου 22,</w:t>
      </w:r>
      <w:r>
        <w:rPr>
          <w:rStyle w:val="Hyperlink"/>
          <w:color w:val="000000"/>
          <w:sz w:val="20"/>
          <w:szCs w:val="20"/>
          <w:u w:val="none" w:color="0000EE"/>
          <w:vertAlign w:val="superscript"/>
          <w:lang w:val="el" w:eastAsia="el"/>
        </w:rPr>
        <w:footnoteReference w:id="238"/>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τις πράξεις που προβλέπουν οι διατάξεις του άρθρου αυτού και του άρθρου 27 ή πράξεις που πραγματοποιούνται εκτός της Κοινότητας.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 μέλος της Κοινότητας,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 φόρο, καθώς και η παράδοση αγαθών προς υποκείμενο στο φόρο, με σκοπό να εξαχθούν εκτός της Κοινότητας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 φόρο κατά την προηγούμενη δωδεκάμηνη χρονική ή δωδεκάμηνη διαχειριστική περίοδο.</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εισαγωγή αγαθών που τίθενται σε καθεστώς εναποθήκευσης,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τα οποία προορίζονται:</w:t>
      </w:r>
    </w:p>
    <w:p>
      <w:pPr>
        <w:pStyle w:val="StructureList1"/>
        <w:spacing w:before="120" w:after="0"/>
        <w:rPr>
          <w:lang w:val="el" w:eastAsia="el"/>
        </w:rPr>
      </w:pPr>
      <w:r>
        <w:rPr>
          <w:lang w:val="el" w:eastAsia="el"/>
        </w:rPr>
        <w:t>αα)</w:t>
      </w:r>
      <w:r>
        <w:rPr>
          <w:lang w:val="en" w:eastAsia="en"/>
        </w:rPr>
        <w:tab/>
      </w:r>
      <w:r>
        <w:rPr>
          <w:lang w:val="el" w:eastAsia="el"/>
        </w:rPr>
        <w:t>να προσκομιστούν στο τελωνείο και να τεθούν σε καθεστώς τελωνειακής αποθήκευσης, ελεύθερης αποθήκης, ελεύθερης ζώνης, τελωνειακής αποταμίευσης ή ενεργητικής τελειοποίησης,</w:t>
      </w:r>
    </w:p>
    <w:p>
      <w:pPr>
        <w:pStyle w:val="StructureList1"/>
        <w:spacing w:before="120" w:after="0"/>
        <w:rPr>
          <w:lang w:val="el" w:eastAsia="el"/>
        </w:rPr>
      </w:pPr>
      <w:r>
        <w:rPr>
          <w:lang w:val="el" w:eastAsia="el"/>
        </w:rPr>
        <w:t>ββ)</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εξέδρων αυτών με την ξηρά, καθώς και για τον ανεφοδιασμό αυτών των εξέδρων γεωτρήσεων ή εκμετάλλευσης,</w:t>
      </w:r>
    </w:p>
    <w:p>
      <w:pPr>
        <w:pStyle w:val="StructureList1"/>
        <w:spacing w:before="120" w:after="0"/>
        <w:rPr>
          <w:lang w:val="el" w:eastAsia="el"/>
        </w:rPr>
      </w:pPr>
      <w:r>
        <w:rPr>
          <w:lang w:val="el" w:eastAsia="el"/>
        </w:rPr>
        <w:t>γγ)</w:t>
      </w:r>
      <w:r>
        <w:rPr>
          <w:lang w:val="en" w:eastAsia="en"/>
        </w:rPr>
        <w:tab/>
      </w:r>
      <w:r>
        <w:rPr>
          <w:lang w:val="el" w:eastAsia="el"/>
        </w:rPr>
        <w:t>να τεθούν σε καθεστώς φορολογικής αποθήκης του Ν. 2960/2001 (ΦΕΚ 265 Α), εφόσον πρόκειται για προϊόντα του άρθρου 53 του ίδιου νόμου για τα οποία οι κοινοτικές διατάξεις προβλέπουν ότι υπάγονται στο καθεστώς των φορολογικών αποθηκών της Οδηγίας 92/12/Ε.Ο.Κ. ή για άλλα προϊόντα που είχαν υπαχθεί στις διατάξεις του νόμου αυτού,</w:t>
      </w:r>
      <w:r>
        <w:rPr>
          <w:rStyle w:val="Hyperlink"/>
          <w:color w:val="000000"/>
          <w:sz w:val="20"/>
          <w:szCs w:val="20"/>
          <w:u w:val="none" w:color="0000EE"/>
          <w:vertAlign w:val="superscript"/>
          <w:lang w:val="el" w:eastAsia="el"/>
        </w:rPr>
        <w:footnoteReference w:id="239"/>
      </w:r>
    </w:p>
    <w:p>
      <w:pPr>
        <w:pStyle w:val="StructureList1"/>
        <w:spacing w:before="120" w:after="0"/>
        <w:rPr>
          <w:lang w:val="el" w:eastAsia="el"/>
        </w:rPr>
      </w:pPr>
      <w:r>
        <w:rPr>
          <w:lang w:val="el" w:eastAsia="el"/>
        </w:rPr>
        <w:t>δδ)</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αποθηκών ανεφοδιασμού Κανονισμού (Ε.Ο.Κ.) 3665/87 ως κάθε φορά ισχύει, Καταστημάτων Αφορολόγητων Ειδών.</w:t>
      </w:r>
    </w:p>
    <w:p>
      <w:pPr>
        <w:spacing w:before="240" w:after="240"/>
        <w:rPr>
          <w:lang w:val="el" w:eastAsia="el"/>
        </w:rPr>
      </w:pPr>
      <w:r>
        <w:rPr>
          <w:lang w:val="el" w:eastAsia="el"/>
        </w:rPr>
        <w:t>Τα αναφερόμενα στις περιπτώσεις αα΄ και ββ΄ καθεστώτα νοούνται όπως αυτά ορίζονται από τις ισχύουσες κοινοτικές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περίπτωση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 διατάξεις:</w:t>
      </w:r>
    </w:p>
    <w:p>
      <w:pPr>
        <w:pStyle w:val="StructureList1"/>
        <w:spacing w:before="120" w:after="0"/>
        <w:rPr>
          <w:lang w:val="el" w:eastAsia="el"/>
        </w:rPr>
      </w:pPr>
      <w:r>
        <w:rPr>
          <w:lang w:val="el" w:eastAsia="el"/>
        </w:rPr>
        <w:t>αα)</w:t>
      </w:r>
      <w:r>
        <w:rPr>
          <w:lang w:val="en" w:eastAsia="en"/>
        </w:rPr>
        <w:tab/>
      </w:r>
      <w:r>
        <w:rPr>
          <w:lang w:val="el" w:eastAsia="el"/>
        </w:rPr>
        <w:t>της περίπτωσης α΄ της παραγράφου 1 του άρθρου 10, με διατήρηση των καθεστώτων προσωρινής εισαγωγής, με πλήρη απαλλαγή από εισαγωγικούς δασμούς ή ε</w:t>
      </w:r>
      <w:r>
        <w:rPr>
          <w:lang w:val="el" w:eastAsia="el"/>
        </w:rPr>
        <w:softHyphen/>
        <w:t>ξωτερικής διαμετακόμισης,</w:t>
      </w:r>
    </w:p>
    <w:p>
      <w:pPr>
        <w:pStyle w:val="StructureList1"/>
        <w:spacing w:before="120" w:after="0"/>
        <w:rPr>
          <w:lang w:val="el" w:eastAsia="el"/>
        </w:rPr>
      </w:pPr>
      <w:r>
        <w:rPr>
          <w:lang w:val="el" w:eastAsia="el"/>
        </w:rPr>
        <w:t>ββ)</w:t>
      </w:r>
      <w:r>
        <w:rPr>
          <w:lang w:val="en" w:eastAsia="en"/>
        </w:rPr>
        <w:tab/>
      </w:r>
      <w:r>
        <w:rPr>
          <w:lang w:val="el" w:eastAsia="el"/>
        </w:rPr>
        <w:t>της περίπτωσης β΄της παραγράφου 1 του άρθρου 10, με διατήρηση της διαδικασίας της εσωτερικής κοινοτικής διαμετακόμισης, που προβλέπεται από το άρθρο 61,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Απαλλαγές στο καθεστώς των φορολογικών αποθηκών, άλλων από αυτές του Ν. 2960/2001</w:t>
      </w:r>
      <w:r>
        <w:rPr>
          <w:rStyle w:val="Hyperlink"/>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1.</w:t>
      </w:r>
      <w:r>
        <w:rPr>
          <w:lang w:val="el" w:eastAsia="el"/>
        </w:rPr>
        <w:t xml:space="preserve"> Με τις διατάξεις του παρόντος άρθρου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όπου αποθηκεύονται αγαθά από τον εκμεταλλευτή φορολογικής αποθήκης κατά την άσκηση της δραστηριότητας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w:t>
      </w:r>
      <w:r>
        <w:rPr>
          <w:lang w:val="el" w:eastAsia="el"/>
        </w:rPr>
        <w:softHyphen/>
        <w:t>βάνει κατά την άσκηση της δραστηριότητας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Φ.Π.Α., μετά από αίτηση του ενδιαφερομένου, εφόσον πληρούνται οι προϋποθέσεις που έχουν ορισθεί με απόφαση του Υπ. Οικονομικών. Η άδεια αυτή ανακαλείται από την ίδια αρχή με τις προϋποθέσεις που ορίζονται στη σχετική Υπουργική απόφαση.</w:t>
      </w:r>
    </w:p>
    <w:p>
      <w:pPr>
        <w:pStyle w:val="MainText"/>
        <w:spacing w:before="120" w:after="0"/>
        <w:rPr>
          <w:lang w:val="el" w:eastAsia="el"/>
        </w:rPr>
      </w:pPr>
      <w:r>
        <w:rPr>
          <w:b/>
          <w:bCs/>
          <w:lang w:val="el" w:eastAsia="el"/>
        </w:rPr>
        <w:t>4.</w:t>
      </w:r>
      <w:r>
        <w:rPr>
          <w:lang w:val="el" w:eastAsia="el"/>
        </w:rPr>
        <w:t xml:space="preserve"> Αρμόδια αρχή για την εποπτεία, έλεγχο και γενικά για την παρακολούθηση του καθεστώτος φορολογικής αποθήκευσης είναι ο Προϊστάμενος της ΔΟΥ στη χωρική αρμοδιότητα της οποίας βρίσκεται η έδρα ή το κεντρικό κατάστημα του εκμεταλλευτή φορολογικής αποθήκης.</w:t>
      </w:r>
    </w:p>
    <w:p>
      <w:pPr>
        <w:spacing w:before="240" w:after="240"/>
        <w:rPr>
          <w:lang w:val="el" w:eastAsia="el"/>
        </w:rPr>
      </w:pPr>
      <w:r>
        <w:rPr>
          <w:lang w:val="el" w:eastAsia="el"/>
        </w:rPr>
        <w:t>Εξαιρετικά, προκειμένου για φορολογικές αποθήκες του ίδιου εκμεταλλευτή που βρίσκονται στη χωρική αρμοδιότητα άλλων Δ.Ο.Υ., ως αρμόδια αρχή μπορεί να ορίζεται ο Προϊστάμενος της χωρικά αρμοδίας ΔΟΥ.</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παραγράφου 3 του παρόντος άρθρου.</w:t>
      </w:r>
    </w:p>
    <w:p>
      <w:pPr>
        <w:pStyle w:val="MainText"/>
        <w:spacing w:before="120" w:after="0"/>
        <w:rPr>
          <w:lang w:val="el" w:eastAsia="el"/>
        </w:rPr>
      </w:pPr>
      <w:r>
        <w:rPr>
          <w:b/>
          <w:bCs/>
          <w:lang w:val="el" w:eastAsia="el"/>
        </w:rPr>
        <w:t>6.</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Ν. 2960/2001 (ΦΕΚ265Α'),</w:t>
      </w:r>
      <w:r>
        <w:rPr>
          <w:rStyle w:val="Hyperlink"/>
          <w:color w:val="000000"/>
          <w:sz w:val="20"/>
          <w:szCs w:val="20"/>
          <w:u w:val="none" w:color="0000EE"/>
          <w:vertAlign w:val="superscript"/>
          <w:lang w:val="el" w:eastAsia="el"/>
        </w:rPr>
        <w:footnoteReference w:id="241"/>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παραγωγή ή κατασκευή των αγαθών, οι οποίες πραγματοποιούνται στους χώρους που προβλέπονται στην περίπτωση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εφόσον αυτά δεν προορίζονται να παραδοθούν στο στάδιο του λιανικού εμπορίου.</w:t>
      </w:r>
    </w:p>
    <w:p>
      <w:pPr>
        <w:spacing w:before="240" w:after="240"/>
        <w:rPr>
          <w:lang w:val="el" w:eastAsia="el"/>
        </w:rPr>
      </w:pPr>
      <w:r>
        <w:rPr>
          <w:lang w:val="el" w:eastAsia="el"/>
        </w:rPr>
        <w:t>Στο Παράρτημα VI μπορεί να εντάσσονται και άλλα αγαθά με απόφαση του Υπουργού Οικονομικών.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που απαλλάσσονται από το φόρο σύμφωνα με τις διατάξεις του άρθρου 24,</w:t>
      </w:r>
    </w:p>
    <w:p>
      <w:pPr>
        <w:pStyle w:val="StructureList1"/>
        <w:spacing w:before="120" w:after="0"/>
        <w:rPr>
          <w:lang w:val="el" w:eastAsia="el"/>
        </w:rPr>
      </w:pPr>
      <w:r>
        <w:rPr>
          <w:lang w:val="el" w:eastAsia="el"/>
        </w:rPr>
        <w:t>β)</w:t>
      </w:r>
      <w:r>
        <w:rPr>
          <w:lang w:val="en" w:eastAsia="en"/>
        </w:rPr>
        <w:tab/>
      </w:r>
      <w:r>
        <w:rPr>
          <w:lang w:val="el" w:eastAsia="el"/>
        </w:rPr>
        <w:t>υποκειμένους στο φόρο για τις ανάγκες παραδόσεων που πραγματοποιούν προς επιβάτες πάνω σε πλοίο ή αεροπλάνο κατά τη διάρκεια μεταφοράς της οποίας ο τόπος άφιξης ευρίσκεται εκτός της Κοινότητας,</w:t>
      </w:r>
    </w:p>
    <w:p>
      <w:pPr>
        <w:pStyle w:val="StructureList1"/>
        <w:spacing w:before="120" w:after="0"/>
        <w:rPr>
          <w:lang w:val="el" w:eastAsia="el"/>
        </w:rPr>
      </w:pPr>
      <w:r>
        <w:rPr>
          <w:lang w:val="el" w:eastAsia="el"/>
        </w:rPr>
        <w:t>γ)</w:t>
      </w:r>
      <w:r>
        <w:rPr>
          <w:lang w:val="en" w:eastAsia="en"/>
        </w:rPr>
        <w:tab/>
      </w:r>
      <w:r>
        <w:rPr>
          <w:lang w:val="el" w:eastAsia="el"/>
        </w:rPr>
        <w:t>υποκειμένους στο φόρο για τις ανάγκες παραδόσεων που πραγματοποιούν με απαλλαγή από το φόρο σύμφωνα με τις διατάξεις των περιπτώσεων στ΄ και ζ΄ της παρ. 1 του άρθρου 27.</w:t>
      </w:r>
    </w:p>
    <w:p>
      <w:pPr>
        <w:spacing w:before="240" w:after="240"/>
        <w:rPr>
          <w:lang w:val="el" w:eastAsia="el"/>
        </w:rPr>
      </w:pPr>
      <w:r>
        <w:rPr>
          <w:lang w:val="el" w:eastAsia="el"/>
        </w:rPr>
        <w:t>Δεν υπάγονται στο καθεστώς φορολογικής αποθήκευσης του άρθρου αυτού τα είδη που καλύπτονται από τις διατάξεις της υποπερίπτωσης γγ΄ της περίπτωσης β΄ της παραγράφου 1 του άρθρου 25.</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άρθρου αυτού υποβάλλονται από τον κατά περίπτωση υπόχρεο στο φόρο όπως αυτός ορίζεται με τις διατάξεις της παραγράφου 12 του παρόντος, στην αρμόδια αρχή που ορίζεται με τις διατάξεις της παραγράφου 4 του παρόντος:</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ύφος των σχετικών εγγυήσεων, καθώς και τυχόν άλλες λεπτομέρειες,</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προηγούμενη περίπτωση α΄ στοιχεία, τα πλήρη στοιχεία του παραλήπτη των αγαθών, ο προορισμός των αγαθών, όπως αυτός αναφέρεται στην παράγραφο 10 του παρόντος και σε ειδικό χώρο γίνεται η εκκαθάριση του καθεστώτος φορολογικής αποθήκευσης, υπολογίζεται ο φόρος που αναλογεί σύμφωνα με την παράγραφο 13 του παρόντος και αναγράφονται ο χρόνος παραμονής των αγαθών στην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την κατά περίπτωση αρμόδια αρχή, όπως αυτή ορίζεται στην παρ. 4 του παρόντος.</w:t>
      </w:r>
    </w:p>
    <w:p>
      <w:pPr>
        <w:spacing w:before="240" w:after="240"/>
        <w:rPr>
          <w:lang w:val="el" w:eastAsia="el"/>
        </w:rPr>
      </w:pPr>
      <w:r>
        <w:rPr>
          <w:lang w:val="el" w:eastAsia="el"/>
        </w:rPr>
        <w:t>Οι δηλώσεις αυτές καταχωρούνται σε ειδικό βιβλίο στην αρμόδια ΔΟΥ.</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όπως:</w:t>
      </w:r>
    </w:p>
    <w:p>
      <w:pPr>
        <w:pStyle w:val="StructureList1"/>
        <w:spacing w:before="120" w:after="0"/>
        <w:rPr>
          <w:lang w:val="el" w:eastAsia="el"/>
        </w:rPr>
      </w:pPr>
      <w:r>
        <w:rPr>
          <w:lang w:val="el" w:eastAsia="el"/>
        </w:rPr>
        <w:t>-</w:t>
      </w:r>
      <w:r>
        <w:rPr>
          <w:lang w:val="en" w:eastAsia="en"/>
        </w:rPr>
        <w:tab/>
      </w:r>
      <w:r>
        <w:rPr>
          <w:lang w:val="el" w:eastAsia="el"/>
        </w:rPr>
        <w:t>τηρεί για κάθε αποθήκη ειδικό θεωρημένο βιβλίο φορολογικής αποθήκης για την παρακολούθηση των εργασιών του, στο οποίο καταχωρούνται τόσο τα αγαθά κυριότητας του όσο και κατά εναποθέτη όλα τα αγαθά που εισέρχονται και εξέρχονται από αυτήν.</w:t>
      </w:r>
    </w:p>
    <w:p>
      <w:pPr>
        <w:spacing w:before="240" w:after="240"/>
        <w:rPr>
          <w:lang w:val="el" w:eastAsia="el"/>
        </w:rPr>
      </w:pPr>
      <w:r>
        <w:rPr>
          <w:lang w:val="el" w:eastAsia="el"/>
        </w:rPr>
        <w:t>Οι ενδείξεις αυτού του ειδικού βιβλίου μπορούν να καταχωρούνται αντί στο ειδικό θεωρημένο βιβλίο σε ειδικές στήλες στο προβλεπόμενο από τις διατάξεις του Κ.Β.Σ. βιβλίο αποθήκης,</w:t>
      </w:r>
    </w:p>
    <w:p>
      <w:pPr>
        <w:pStyle w:val="StructureList1"/>
        <w:spacing w:before="120" w:after="0"/>
        <w:rPr>
          <w:lang w:val="el" w:eastAsia="el"/>
        </w:rPr>
      </w:pPr>
      <w:r>
        <w:rPr>
          <w:lang w:val="el" w:eastAsia="el"/>
        </w:rPr>
        <w:t>-</w:t>
      </w:r>
      <w:r>
        <w:rPr>
          <w:lang w:val="en" w:eastAsia="en"/>
        </w:rPr>
        <w:tab/>
      </w:r>
      <w:r>
        <w:rPr>
          <w:lang w:val="el" w:eastAsia="el"/>
        </w:rPr>
        <w:t>επιδεικνύει τα προϊόντα σε κάθε ζήτηση της αρμόδιας αρχής.</w:t>
      </w:r>
    </w:p>
    <w:p>
      <w:pPr>
        <w:pStyle w:val="StructureList1"/>
        <w:spacing w:before="120" w:after="0"/>
        <w:rPr>
          <w:lang w:val="el" w:eastAsia="el"/>
        </w:rPr>
      </w:pPr>
      <w:r>
        <w:rPr>
          <w:lang w:val="el" w:eastAsia="el"/>
        </w:rPr>
        <w:t>-</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w:t>
      </w:r>
      <w:r>
        <w:rPr>
          <w:lang w:val="en" w:eastAsia="en"/>
        </w:rPr>
        <w:tab/>
      </w:r>
      <w:r>
        <w:rPr>
          <w:lang w:val="el" w:eastAsia="el"/>
        </w:rPr>
        <w:t>παρέχει εγγύηση προς το Δημόσιο για τη διασφάλιση των συμφερόντων του.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w:t>
      </w:r>
      <w:r>
        <w:rPr>
          <w:lang w:val="en" w:eastAsia="en"/>
        </w:rPr>
        <w:tab/>
      </w:r>
      <w:r>
        <w:rPr>
          <w:lang w:val="el" w:eastAsia="el"/>
        </w:rPr>
        <w:t>συμμορφώνεται με άλλες υποχρεώσεις που επιβάλλει ο Υπουργός Οικονομικών και οι αρμόδιες αρχές,</w:t>
      </w:r>
    </w:p>
    <w:p>
      <w:pPr>
        <w:pStyle w:val="StructureList1"/>
        <w:spacing w:before="120" w:after="0"/>
        <w:rPr>
          <w:lang w:val="el" w:eastAsia="el"/>
        </w:rPr>
      </w:pPr>
      <w:r>
        <w:rPr>
          <w:lang w:val="el" w:eastAsia="el"/>
        </w:rPr>
        <w:t>-</w:t>
      </w:r>
      <w:r>
        <w:rPr>
          <w:lang w:val="en" w:eastAsia="en"/>
        </w:rPr>
        <w:tab/>
      </w:r>
      <w:r>
        <w:rPr>
          <w:lang w:val="el" w:eastAsia="el"/>
        </w:rPr>
        <w:t>διαθέτει μέσα στις φορολογικές αποθήκες και χωρίς δαπάνη για το Δημόσιο κατάλληλο και ασφαλή εστεγασμένο χώρο για την εγκατάσταση των αρμόδιων 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25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Κοινότητας.</w:t>
      </w:r>
    </w:p>
    <w:p>
      <w:pPr>
        <w:pStyle w:val="MainText"/>
        <w:spacing w:before="120" w:after="0"/>
        <w:rPr>
          <w:lang w:val="el" w:eastAsia="el"/>
        </w:rPr>
      </w:pPr>
      <w:r>
        <w:rPr>
          <w:b/>
          <w:bCs/>
          <w:lang w:val="el" w:eastAsia="el"/>
        </w:rPr>
        <w:t>11.</w:t>
      </w:r>
      <w:r>
        <w:rPr>
          <w:lang w:val="el" w:eastAsia="el"/>
        </w:rPr>
        <w:t xml:space="preserve"> Ο φόρος που αναλογεί καταβάλλεται με έκτακτη περιοδική δήλωση στην εποπτεύουσα τη φορολογική αποθήκη αρχή, κατά το χρόνο εξόδου των αγαθών από το καθεστώς φορολογικής αποθήκευσης.</w:t>
      </w:r>
    </w:p>
    <w:p>
      <w:pPr>
        <w:spacing w:before="240" w:after="240"/>
        <w:rPr>
          <w:lang w:val="el" w:eastAsia="el"/>
        </w:rPr>
      </w:pPr>
      <w:r>
        <w:rPr>
          <w:lang w:val="el" w:eastAsia="el"/>
        </w:rPr>
        <w:t>Με απόφαση του Υπ.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τις διατάξεις των άρθρων 24, 25 και 28.</w:t>
      </w:r>
    </w:p>
    <w:p>
      <w:pPr>
        <w:pStyle w:val="MainText"/>
        <w:spacing w:before="120" w:after="0"/>
        <w:rPr>
          <w:lang w:val="el" w:eastAsia="el"/>
        </w:rPr>
      </w:pPr>
      <w:r>
        <w:rPr>
          <w:b/>
          <w:bCs/>
          <w:lang w:val="el" w:eastAsia="el"/>
        </w:rPr>
        <w:t>12.</w:t>
      </w:r>
      <w:r>
        <w:rPr>
          <w:lang w:val="el" w:eastAsia="el"/>
        </w:rPr>
        <w:t xml:space="preserve"> Με την επιφύλαξη των οριζομένων στο άρθρο 36, υπόχρεος στο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 γίνεται από τα πρόσωπα αυτά. υπόχρεο στο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 </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από τις διατάξεις του άρθρ. 19, ο δε φόρος που προκύπτει με την εφαρμογή του οικείου συντελεστή δεν μπορεί να είναι μικρότερος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ήτοι η παράδοση ή ενδοκοινοτική απόκτηση που πραγματοποιήθηκε με απαλλαγή από το φόρο σύμφωνα με την περίπτωση α της παραγράφου 6 του παρόντος άρθρου και η οποία οδήγησε στην υπαγωγή των αγαθών στο καθεστώς αυτό, προσαυξημένο με το ποσό του φόρου που θα είχε επιβληθεί σε κάθε παροχή υπηρεσιών που απαλλάσσεται σύμφωνα με τις περιπτώσεις β΄ και γ΄ της παραγράφου 6 του παρόντος άρθρου,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περιπτώσεις β΄ και γ΄ της παραγράφου 6 του παρόντος άρθρου,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Οι διατάξεις του προηγούμενου εδαφίου δεν εφαρμόζονται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r>
        <w:rPr>
          <w:rStyle w:val="Hyperlink"/>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του παρόντος άρθρου,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ειδικού βιβλίου φορολογικής αποθήκης,</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αυτή ταύτη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περιπτώσεων α΄, β΄, και γ΄ της παραγράφου 7 του παρόντος άρθρου,</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παραγράφου 8 του παρόντος άρθρου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 φόρο: </w:t>
      </w:r>
    </w:p>
    <w:p>
      <w:pPr>
        <w:pStyle w:val="StructureList1"/>
        <w:spacing w:before="120" w:after="0"/>
        <w:rPr>
          <w:lang w:val="el" w:eastAsia="el"/>
        </w:rPr>
      </w:pPr>
      <w:r>
        <w:rPr>
          <w:lang w:val="el" w:eastAsia="el"/>
        </w:rPr>
        <w:t>α)</w:t>
      </w:r>
      <w:r>
        <w:rPr>
          <w:lang w:val="en" w:eastAsia="en"/>
        </w:rPr>
        <w:tab/>
      </w:r>
      <w:r>
        <w:rPr>
          <w:lang w:val="el" w:eastAsia="el"/>
        </w:rPr>
        <w:t>H παράδοση και η εισαγωγή πλοίων που εμπίπτουν στις ακόλουθες κατηγορίες:</w:t>
      </w:r>
      <w:r>
        <w:rPr>
          <w:rStyle w:val="Hyperlink"/>
          <w:color w:val="000000"/>
          <w:sz w:val="20"/>
          <w:szCs w:val="20"/>
          <w:u w:val="none" w:color="0000EE"/>
          <w:vertAlign w:val="superscript"/>
          <w:lang w:val="el" w:eastAsia="el"/>
        </w:rPr>
        <w:footnoteReference w:id="243"/>
      </w:r>
    </w:p>
    <w:p>
      <w:pPr>
        <w:pStyle w:val="StructureList1"/>
        <w:spacing w:before="120" w:after="0"/>
        <w:rPr>
          <w:lang w:val="el" w:eastAsia="el"/>
        </w:rPr>
      </w:pPr>
      <w:r>
        <w:rPr>
          <w:lang w:val="el" w:eastAsia="el"/>
        </w:rPr>
        <w:t>αα)</w:t>
      </w:r>
      <w:r>
        <w:rPr>
          <w:lang w:val="en" w:eastAsia="en"/>
        </w:rPr>
        <w:tab/>
      </w:r>
      <w:r>
        <w:rPr>
          <w:lang w:val="el" w:eastAsia="el"/>
        </w:rPr>
        <w:t>πλοία που προορίζονται να χρησιμοποιηθούν στη ναυσιπλοΐα ανοικτής θαλάσσης και τα οποία εκτελούν μεταφορά επιβατών με κόμιστρο ή με τα οποία ασκείται εμπορική, βιομηχανική ή αλιευτική δραστηριότητα,</w:t>
      </w:r>
      <w:r>
        <w:rPr>
          <w:rStyle w:val="Hyperlink"/>
          <w:color w:val="000000"/>
          <w:sz w:val="20"/>
          <w:szCs w:val="20"/>
          <w:u w:val="none" w:color="0000EE"/>
          <w:vertAlign w:val="superscript"/>
          <w:lang w:val="el" w:eastAsia="el"/>
        </w:rPr>
        <w:footnoteReference w:id="244"/>
      </w:r>
    </w:p>
    <w:p>
      <w:pPr>
        <w:pStyle w:val="StructureList1"/>
        <w:spacing w:before="120" w:after="0"/>
        <w:rPr>
          <w:lang w:val="el" w:eastAsia="el"/>
        </w:rPr>
      </w:pPr>
      <w:r>
        <w:rPr>
          <w:lang w:val="el" w:eastAsia="el"/>
        </w:rPr>
        <w:t>ββ)</w:t>
      </w:r>
      <w:r>
        <w:rPr>
          <w:lang w:val="en" w:eastAsia="en"/>
        </w:rPr>
        <w:tab/>
      </w:r>
      <w:r>
        <w:rPr>
          <w:lang w:val="el" w:eastAsia="el"/>
        </w:rPr>
        <w:t>πλοία παράκτιας αλιείας,</w:t>
      </w:r>
      <w:r>
        <w:rPr>
          <w:rStyle w:val="Hyperlink"/>
          <w:color w:val="000000"/>
          <w:sz w:val="20"/>
          <w:szCs w:val="20"/>
          <w:u w:val="none" w:color="0000EE"/>
          <w:vertAlign w:val="superscript"/>
          <w:lang w:val="el" w:eastAsia="el"/>
        </w:rPr>
        <w:footnoteReference w:id="245"/>
      </w:r>
    </w:p>
    <w:p>
      <w:pPr>
        <w:pStyle w:val="StructureList1"/>
        <w:spacing w:before="120" w:after="0"/>
        <w:rPr>
          <w:lang w:val="el" w:eastAsia="el"/>
        </w:rPr>
      </w:pPr>
      <w:r>
        <w:rPr>
          <w:lang w:val="el" w:eastAsia="el"/>
        </w:rPr>
        <w:t>γγ)</w:t>
      </w:r>
      <w:r>
        <w:rPr>
          <w:lang w:val="en" w:eastAsia="en"/>
        </w:rPr>
        <w:tab/>
      </w:r>
      <w:r>
        <w:rPr>
          <w:lang w:val="el" w:eastAsia="el"/>
        </w:rPr>
        <w:t>πλοία που προορίζονται για διάλυση,</w:t>
      </w:r>
      <w:r>
        <w:rPr>
          <w:rStyle w:val="Hyperlink"/>
          <w:color w:val="000000"/>
          <w:sz w:val="20"/>
          <w:szCs w:val="20"/>
          <w:u w:val="none" w:color="0000EE"/>
          <w:vertAlign w:val="superscript"/>
          <w:lang w:val="el" w:eastAsia="el"/>
        </w:rPr>
        <w:footnoteReference w:id="246"/>
      </w:r>
    </w:p>
    <w:p>
      <w:pPr>
        <w:pStyle w:val="StructureList1"/>
        <w:spacing w:before="120" w:after="0"/>
        <w:rPr>
          <w:lang w:val="el" w:eastAsia="el"/>
        </w:rPr>
      </w:pPr>
      <w:r>
        <w:rPr>
          <w:lang w:val="el" w:eastAsia="el"/>
        </w:rPr>
        <w:t>δδ)</w:t>
      </w:r>
      <w:r>
        <w:rPr>
          <w:lang w:val="en" w:eastAsia="en"/>
        </w:rPr>
        <w:tab/>
      </w:r>
      <w:r>
        <w:rPr>
          <w:lang w:val="el" w:eastAsia="el"/>
        </w:rPr>
        <w:t>πολεμικά πλοία και πλοία του Δημοσίου,</w:t>
      </w:r>
      <w:r>
        <w:rPr>
          <w:rStyle w:val="Hyperlink"/>
          <w:color w:val="000000"/>
          <w:sz w:val="20"/>
          <w:szCs w:val="20"/>
          <w:u w:val="none" w:color="0000EE"/>
          <w:vertAlign w:val="superscript"/>
          <w:lang w:val="el" w:eastAsia="el"/>
        </w:rPr>
        <w:footnoteReference w:id="247"/>
      </w:r>
    </w:p>
    <w:p>
      <w:pPr>
        <w:pStyle w:val="StructureList1"/>
        <w:spacing w:before="120" w:after="0"/>
        <w:rPr>
          <w:lang w:val="el" w:eastAsia="el"/>
        </w:rPr>
      </w:pPr>
      <w:r>
        <w:rPr>
          <w:lang w:val="el" w:eastAsia="el"/>
        </w:rPr>
        <w:t>εε)</w:t>
      </w:r>
      <w:r>
        <w:rPr>
          <w:lang w:val="en" w:eastAsia="en"/>
        </w:rPr>
        <w:tab/>
      </w:r>
      <w:r>
        <w:rPr>
          <w:lang w:val="el" w:eastAsia="el"/>
        </w:rPr>
        <w:t>ναυαγοσωστικά και άλλα πλοία επιθαλάσσιας αρωγής.</w:t>
      </w:r>
      <w:r>
        <w:rPr>
          <w:rStyle w:val="Hyperlink"/>
          <w:color w:val="000000"/>
          <w:sz w:val="20"/>
          <w:szCs w:val="20"/>
          <w:u w:val="none" w:color="0000EE"/>
          <w:vertAlign w:val="superscript"/>
          <w:lang w:val="el" w:eastAsia="el"/>
        </w:rPr>
        <w:footnoteReference w:id="248"/>
      </w:r>
    </w:p>
    <w:p>
      <w:pPr>
        <w:spacing w:before="240" w:after="240"/>
        <w:rPr>
          <w:lang w:val="el" w:eastAsia="el"/>
        </w:rPr>
      </w:pPr>
      <w:r>
        <w:rPr>
          <w:lang w:val="el" w:eastAsia="el"/>
        </w:rPr>
        <w:t>Εξαιρούνται τα πλοία ιδιωτικής χρήσης που προορίζονται για αναψυχή ή αθλητισμό.</w:t>
      </w:r>
    </w:p>
    <w:p>
      <w:pPr>
        <w:spacing w:before="240" w:after="240"/>
        <w:rPr>
          <w:lang w:val="el" w:eastAsia="el"/>
        </w:rPr>
      </w:pPr>
      <w:r>
        <w:rPr>
          <w:lang w:val="el" w:eastAsia="el"/>
        </w:rPr>
        <w:t>Απαλλάσσονται επίσης η παράδοση και εισαγωγή αντικειμένων και υλικών, εφόσον προορίζονται να ενσωματωθούν ή να χρησιμοποιηθούν στα πλοία και πλωτά μέσα της περίπτωσης αυτής. Για την εφαρμογή της απαλλαγής της υποπερίπτωσης αα`, ως πλοία που προορίζονται για τη ναυσιπλοΐα ανοικτής θαλάσσης θεωρούνται τα πλοία που πληρούν σωρευτικά τις ακόλουθες προϋποθέσεις:</w:t>
      </w:r>
    </w:p>
    <w:p>
      <w:pPr>
        <w:spacing w:before="240" w:after="240"/>
        <w:rPr>
          <w:lang w:val="el" w:eastAsia="el"/>
        </w:rPr>
      </w:pPr>
      <w:r>
        <w:rPr>
          <w:lang w:val="el" w:eastAsia="el"/>
        </w:rPr>
        <w:t>(i) έχουν ναυπηγηθεί για την ανοικτή θάλασσα, ήτοι στα οποία το μέγιστο εξωτερικό μήκος του κύτους είναι ίσο ή ανώτερο των 12 μέτρων και τα οποία υπάγονται στις δασμολογικές διακρίσεις 8901 10 10, 8901 20 10, 8901 30 10, 8901 90 10, 8902 00 10, 8903 91 10, 8903 92 10, 8904 00 91 και 8906 90 10 του Κοινού Δασμολογίου της Ε.Ε. [Καν. (ΕΟΚ) αριθμ. 2658/87 του Συμβουλίου, όπως ισχύει] και</w:t>
      </w:r>
      <w:r>
        <w:rPr>
          <w:rStyle w:val="Hyperlink"/>
          <w:color w:val="000000"/>
          <w:sz w:val="20"/>
          <w:szCs w:val="20"/>
          <w:u w:val="none" w:color="0000EE"/>
          <w:vertAlign w:val="superscript"/>
          <w:lang w:val="el" w:eastAsia="el"/>
        </w:rPr>
        <w:footnoteReference w:id="249"/>
      </w:r>
    </w:p>
    <w:p>
      <w:pPr>
        <w:spacing w:before="240" w:after="240"/>
        <w:rPr>
          <w:lang w:val="el" w:eastAsia="el"/>
        </w:rPr>
      </w:pPr>
      <w:r>
        <w:rPr>
          <w:lang w:val="el" w:eastAsia="el"/>
        </w:rPr>
        <w:t>(ii) διενεργούν δραστηριότητα κυρίως στην ανοικτή θάλασσα.</w:t>
      </w:r>
    </w:p>
    <w:p>
      <w:pPr>
        <w:spacing w:before="240" w:after="240"/>
        <w:rPr>
          <w:lang w:val="el" w:eastAsia="el"/>
        </w:rPr>
      </w:pPr>
      <w:r>
        <w:rPr>
          <w:lang w:val="el" w:eastAsia="el"/>
        </w:rPr>
        <w:t>Με κοινές αποφάσεις των Υπουργών Οικονομικών και Ναυτιλίας και Νησιωτικής Πολιτικής ορίζονται οι όροι και οι προϋποθέσεις και κάθε αναγκαία λεπτομέρεια για την εφαρμογή των διατάξεων της ανωτέρω υποπερίπτωσης (ii).</w:t>
      </w:r>
      <w:r>
        <w:rPr>
          <w:rStyle w:val="Hyperlink"/>
          <w:color w:val="000000"/>
          <w:sz w:val="20"/>
          <w:szCs w:val="20"/>
          <w:u w:val="none" w:color="0000EE"/>
          <w:vertAlign w:val="superscript"/>
          <w:lang w:val="el" w:eastAsia="el"/>
        </w:rPr>
        <w:footnoteReference w:id="250"/>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 Ως κυρίως διεθνείς μεταφορές θεωρούνται αυτές που εκτελούν οι αεροπορικές εταιρείες από και προς το εξωτερικό, εφόσον τα έσοδα από τις διεθνείς μεταφορές υπερβαίνουν το πενήντα τοις εκατό (50%) των συνολικών ετήσιων ακαθάριστων εσόδων τους από αεροπορικές μεταφορές κατά την προηγούμενη της παράδοσης ή εισαγωγής, διαχειριστική περίοδο. Εξαιρετικά για νεοσύστατες εταιρείες, για τις οποίες δεν μπορεί να εφαρμοστεί η περίπτωση του προηγούμενου εδαφίου, αυτές, κατά το πρώτο έτος της λειτουργίας τους, θεωρείται ότι εκτελούν διεθνείς μεταφορές, εφόσον το πιστοποιητικό του αερομεταφορέα και η σχετική άδεια εκμετάλλευσης προβλέπουν την διενέργεια αερομεταφορών παγκοσμίως. Η παραπάνω διάταξη εφαρμόζεται και ισχύει από 1.1.2013.</w:t>
      </w:r>
      <w:r>
        <w:rPr>
          <w:rStyle w:val="Hyperlink"/>
          <w:color w:val="000000"/>
          <w:sz w:val="20"/>
          <w:szCs w:val="20"/>
          <w:u w:val="none" w:color="0000EE"/>
          <w:vertAlign w:val="superscript"/>
          <w:lang w:val="el" w:eastAsia="el"/>
        </w:rPr>
        <w:footnoteReference w:id="251"/>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τροφοεφοδίων, λιπαντικών και λοιπών αγαθών που προορίζονται για τον εφοδιασμό των πλοίων, πλωτών μέσων και αεροσκαφών, τα οποία απαλλάσσονται σύμφωνα με τις διατάξεις των περιπτώσεων α΄ και β΄.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τα οποία απαλλάσσονται σύμφωνα με τις διατάξεις των περιπτώσεων α΄ και β΄, εφόσον προορίζονται για την περαιτέρω ενέργεια φορολογητέων πράξεων ή πράξεων απαλλασσόμενων με δικαίωμα έκπτωσης του φόρου των εισροών.</w:t>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πλοίων αναψυχής του ν. 2743/1999 απαλλάσσεται, εφόσον αυτά προσεγγίζουν κατά την πραγματοποίηση των πλόων τους και σε λιμένες εκτός Ελλάδας.</w:t>
      </w:r>
      <w:r>
        <w:rPr>
          <w:rStyle w:val="Hyperlink"/>
          <w:color w:val="000000"/>
          <w:sz w:val="20"/>
          <w:szCs w:val="20"/>
          <w:u w:val="none" w:color="0000EE"/>
          <w:vertAlign w:val="superscript"/>
          <w:lang w:val="el" w:eastAsia="el"/>
        </w:rPr>
        <w:footnoteReference w:id="252"/>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περιπτώσεις α΄ και β΄ της παραγράφου αυτής, καθώς και των αντικειμένων που είναι ενσωματωμένα σε αυτά ή χρησιμοποιούνται για την εκμετάλλευση τους.</w:t>
      </w:r>
    </w:p>
    <w:p>
      <w:pPr>
        <w:spacing w:before="240" w:after="240"/>
        <w:rPr>
          <w:lang w:val="el" w:eastAsia="el"/>
        </w:rPr>
      </w:pPr>
      <w:r>
        <w:rPr>
          <w:lang w:val="el" w:eastAsia="el"/>
        </w:rPr>
        <w:t>Οι διατάξεις αυτής της περίπτωσης που αφορούν στα πλοία του ν. 2743/1999 εφαρμόζονται και για τα λοιπά επαγγελματικά πλοία,</w:t>
      </w:r>
      <w:r>
        <w:rPr>
          <w:rStyle w:val="Hyperlink"/>
          <w:color w:val="000000"/>
          <w:sz w:val="20"/>
          <w:szCs w:val="20"/>
          <w:u w:val="none" w:color="0000EE"/>
          <w:vertAlign w:val="superscript"/>
          <w:lang w:val="el" w:eastAsia="el"/>
        </w:rPr>
        <w:footnoteReference w:id="253"/>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περιπτώσεις α΄ και β΄ της παραγράφου αυτής,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αα)</w:t>
      </w:r>
      <w:r>
        <w:rPr>
          <w:lang w:val="en" w:eastAsia="en"/>
        </w:rPr>
        <w:tab/>
      </w:r>
      <w:r>
        <w:rPr>
          <w:lang w:val="el" w:eastAsia="el"/>
        </w:rPr>
        <w:t>στα πλαίσια των ρυθμίσεων των διπλωματικών και προξενικών σχέσεων,</w:t>
      </w:r>
    </w:p>
    <w:p>
      <w:pPr>
        <w:pStyle w:val="StructureList1"/>
        <w:spacing w:before="120" w:after="0"/>
        <w:rPr>
          <w:lang w:val="el" w:eastAsia="el"/>
        </w:rPr>
      </w:pPr>
      <w:r>
        <w:rPr>
          <w:lang w:val="el" w:eastAsia="el"/>
        </w:rPr>
        <w:t>ββ)</w:t>
      </w:r>
      <w:r>
        <w:rPr>
          <w:lang w:val="en" w:eastAsia="en"/>
        </w:rPr>
        <w:tab/>
      </w:r>
      <w:r>
        <w:rPr>
          <w:lang w:val="el" w:eastAsia="el"/>
        </w:rPr>
        <w:t>για τις ανάγκες αναγνωρισμένων από την Ελλάδα διεθνών οργανισμών άλλων από αυτούς που αναφέρονται στην υποπερίπτωση δδ' της περίπτωσης αυτής, ή των μελών τους, με τις προϋποθέσεις και μέσα στα όρια που καθορίζονται από τις ιδρυτικές τους συμβάσεις ή τις συμφωνίες για την εγκατάστασή τους στην Ελλάδα,</w:t>
      </w:r>
      <w:r>
        <w:rPr>
          <w:rStyle w:val="Hyperlink"/>
          <w:color w:val="000000"/>
          <w:sz w:val="20"/>
          <w:szCs w:val="20"/>
          <w:u w:val="none" w:color="0000EE"/>
          <w:vertAlign w:val="superscript"/>
          <w:lang w:val="el" w:eastAsia="el"/>
        </w:rPr>
        <w:footnoteReference w:id="254"/>
      </w:r>
    </w:p>
    <w:p>
      <w:pPr>
        <w:spacing w:before="240" w:after="240"/>
        <w:rPr>
          <w:lang w:val="el" w:eastAsia="el"/>
        </w:rPr>
      </w:pPr>
      <w:r>
        <w:rPr>
          <w:lang w:val="el" w:eastAsia="el"/>
        </w:rPr>
        <w:t>(γγ) στα πλαίσια της Συνθήκης της Βορειοατλαντικής Συμμαχίας, για χρήση από τις ένοπλες δυνάμεις των άλλων κρατών - μελών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δδ)</w:t>
      </w:r>
      <w:r>
        <w:rPr>
          <w:lang w:val="en" w:eastAsia="en"/>
        </w:rPr>
        <w:tab/>
      </w:r>
      <w:r>
        <w:rPr>
          <w:lang w:val="el" w:eastAsia="el"/>
        </w:rPr>
        <w:t>για τις ανάγκες της Ευρωπαϊκής Κοινότητας, της Ευρωπαϊκής Κοινότητας Ατομικής Ενέργειας, της Ευρωπαϊκής Κεντρικής Τράπεζας ή της Ευρωπαϊκής Τράπεζας Επενδύσεων, ή των οργανισμών που έχουν συσταθεί από τις Κοινότητες, για τους οποίους ισχύει το πρωτόκολλο της 8ης Απριλίου 1965 περί προνομίων και ασυλιών των Ευρωπαϊκών Κοινοτήτων και οι συμφωνίες για την εφαρμογή του ή οι συμφωνίες για την έδρα τους, ιδίως στο μέτρο που αυτό δεν προκαλεί στρεβλώσεις του ανταγωνισμού,</w:t>
      </w:r>
      <w:r>
        <w:rPr>
          <w:rStyle w:val="Hyperlink"/>
          <w:color w:val="000000"/>
          <w:sz w:val="20"/>
          <w:szCs w:val="20"/>
          <w:u w:val="none" w:color="0000EE"/>
          <w:vertAlign w:val="superscript"/>
          <w:lang w:val="el" w:eastAsia="el"/>
        </w:rPr>
        <w:footnoteReference w:id="255"/>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υπηρετούνταν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της Μαδέρας και των Αζόρων,</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Ελλάδος,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w:t>
      </w:r>
      <w:r>
        <w:rPr>
          <w:lang w:val="el" w:eastAsia="el"/>
        </w:rPr>
        <w:softHyphen/>
        <w:t>στροφα, καθώς και οι στενά συνδεόμενες με αυτές βοηθητικές υπηρεσίες,</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256"/>
      </w:r>
    </w:p>
    <w:p>
      <w:pPr>
        <w:pStyle w:val="StructureList1"/>
        <w:spacing w:before="120" w:after="0"/>
        <w:rPr>
          <w:lang w:val="el" w:eastAsia="el"/>
        </w:rPr>
      </w:pPr>
      <w:r>
        <w:rPr>
          <w:lang w:val="el" w:eastAsia="el"/>
        </w:rPr>
        <w:t>ιβ)</w:t>
      </w:r>
      <w:r>
        <w:rPr>
          <w:lang w:val="en" w:eastAsia="en"/>
        </w:rPr>
        <w:tab/>
      </w:r>
      <w:r>
        <w:rPr>
          <w:lang w:val="el" w:eastAsia="el"/>
        </w:rPr>
        <w:t>Η παράδοση αγαθών και η παροχή υπηρεσιών σε υποκείμενο στο φόρο, ο οποίος έχει σκοπό να τα διαθέσει περαιτέρω άνευ ανταλλάγματος στους φορείς του τελευταίου εδαφίου της περίπτωσης β της παραγράφου 2 του άρθρου 7 του ιδίου νόμου, για την κάλυψη των αναγκών των προσφύγων.</w:t>
      </w:r>
      <w:r>
        <w:rPr>
          <w:rStyle w:val="Hyperlink"/>
          <w:color w:val="000000"/>
          <w:sz w:val="20"/>
          <w:szCs w:val="20"/>
          <w:u w:val="none" w:color="0000EE"/>
          <w:vertAlign w:val="superscript"/>
          <w:lang w:val="el" w:eastAsia="el"/>
        </w:rPr>
        <w:footnoteReference w:id="257"/>
      </w:r>
    </w:p>
    <w:p>
      <w:pPr>
        <w:pStyle w:val="StructureList1"/>
        <w:spacing w:before="120" w:after="0"/>
        <w:rPr>
          <w:lang w:val="el" w:eastAsia="el"/>
        </w:rPr>
      </w:pPr>
      <w:r>
        <w:rPr>
          <w:lang w:val="el" w:eastAsia="el"/>
        </w:rPr>
        <w:t>ιγ)</w:t>
      </w:r>
      <w:r>
        <w:rPr>
          <w:lang w:val="en" w:eastAsia="en"/>
        </w:rPr>
        <w:tab/>
      </w:r>
      <w:r>
        <w:rPr>
          <w:lang w:val="el" w:eastAsia="el"/>
        </w:rPr>
        <w:t>Η παράδοση αγαθών σε πλοία και πλωτά μέσα του ελληνικού Δημοσίου και σε πολεμικά πλοία των κρατών-μελών της Ευρωπαϊκής Ενωσης και του ΝΑΤΟ, για την κάλυψη αναγκών των προσφύγων που περισυλλέγουν.</w:t>
      </w:r>
      <w:r>
        <w:rPr>
          <w:rStyle w:val="Hyperlink"/>
          <w:color w:val="000000"/>
          <w:sz w:val="20"/>
          <w:szCs w:val="20"/>
          <w:u w:val="none" w:color="0000EE"/>
          <w:vertAlign w:val="superscript"/>
          <w:lang w:val="el" w:eastAsia="el"/>
        </w:rPr>
        <w:footnoteReference w:id="258"/>
      </w:r>
    </w:p>
    <w:p>
      <w:pPr>
        <w:pStyle w:val="StructureList1"/>
        <w:spacing w:before="120" w:after="0"/>
        <w:rPr>
          <w:lang w:val="el" w:eastAsia="el"/>
        </w:rPr>
      </w:pPr>
      <w:r>
        <w:rPr>
          <w:lang w:val="el" w:eastAsia="el"/>
        </w:rPr>
        <w:t>ιδ)</w:t>
      </w:r>
      <w:r>
        <w:rPr>
          <w:lang w:val="en" w:eastAsia="en"/>
        </w:rPr>
        <w:tab/>
      </w:r>
      <w:r>
        <w:rPr>
          <w:lang w:val="el" w:eastAsia="el"/>
        </w:rPr>
        <w:t>Η παράδοση αγαθών και η παροχή υπηρεσιών σε ευρωπαϊκούς και διεθνείς οργανισμούς, σε φιλανθρωπικούς οργανισμούς εγχώριους ή άλλων χωρών, καθώς και σε πρεσβείες κρατών με σκοπό να διατεθούν περαιτέρω άνευ ανταλλάγματος στους φορείς του τελευταίου εδαφίου της περίπτωσης β` της παραγράφου 2 του άρθρου 7, για την κάλυψη των αναγκών των προσφύγων.</w:t>
      </w:r>
      <w:r>
        <w:rPr>
          <w:rStyle w:val="Hyperlink"/>
          <w:color w:val="000000"/>
          <w:sz w:val="20"/>
          <w:szCs w:val="20"/>
          <w:u w:val="none" w:color="0000EE"/>
          <w:vertAlign w:val="superscript"/>
          <w:lang w:val="el" w:eastAsia="el"/>
        </w:rPr>
        <w:footnoteReference w:id="259"/>
      </w:r>
    </w:p>
    <w:p>
      <w:pPr>
        <w:pStyle w:val="StructureList1"/>
        <w:spacing w:before="120" w:after="0"/>
        <w:rPr>
          <w:lang w:val="el" w:eastAsia="el"/>
        </w:rPr>
      </w:pPr>
      <w:r>
        <w:rPr>
          <w:lang w:val="el" w:eastAsia="el"/>
        </w:rPr>
        <w:t>ιε)</w:t>
      </w:r>
      <w:r>
        <w:rPr>
          <w:lang w:val="en" w:eastAsia="en"/>
        </w:rPr>
        <w:tab/>
      </w:r>
      <w:r>
        <w:rPr>
          <w:lang w:val="el" w:eastAsia="el"/>
        </w:rPr>
        <w:t>Η παράδοση αγαθών και η παροχή υπηρεσιών σε υποκείμενο στο φόρο, ο οποίος έχει σκοπό να τα διαθέσει περαιτέρω άνευ ανταλλάγματος στους φορείς της υποπερίπτωσης δδ' της περίπτωσης β' της παραγράφου 2 του άρθρου 7 του ιδίου νόμου, για την κάλυψη των αναγκών των πληγέντων από ακραία φυσικά φαινόμενα.</w:t>
      </w:r>
      <w:r>
        <w:rPr>
          <w:rStyle w:val="Hyperlink"/>
          <w:color w:val="000000"/>
          <w:sz w:val="20"/>
          <w:szCs w:val="20"/>
          <w:u w:val="none" w:color="0000EE"/>
          <w:vertAlign w:val="superscript"/>
          <w:lang w:val="el" w:eastAsia="el"/>
        </w:rPr>
        <w:footnoteReference w:id="260"/>
      </w:r>
    </w:p>
    <w:p>
      <w:pPr>
        <w:pStyle w:val="StructureList1"/>
        <w:spacing w:before="120" w:after="0"/>
        <w:rPr>
          <w:lang w:val="el" w:eastAsia="el"/>
        </w:rPr>
      </w:pPr>
      <w:r>
        <w:rPr>
          <w:lang w:val="el" w:eastAsia="el"/>
        </w:rPr>
        <w:t>ιστ)</w:t>
      </w:r>
      <w:r>
        <w:rPr>
          <w:lang w:val="en" w:eastAsia="en"/>
        </w:rPr>
        <w:tab/>
      </w:r>
      <w:r>
        <w:rPr>
          <w:lang w:val="el" w:eastAsia="el"/>
        </w:rPr>
        <w:t>Η παράδοση αγαθών και η παροχή υπηρεσιών από υποκείμενο στον φόρο προμηθευτή προς δωρητή, ο οποίος τα χρησιμοποιεί στο πλαίσιο σύμβασης δωρεάς που συνάπτει με φορέα του Δημοσίου Τομέα, όπως αυτός ορίζεται στο άρθρο 14 του ν. 4270/2014 (Α` 143), ή με Ν.Π.Ι.Δ. που έχουν συσταθεί με ειδικό νόμο για το δημόσιο συμφέρον ή με άλλες οντότητες που εποπτεύονται από τους παραπάνω φορείς, εφόσον: (α) η σύμβαση δωρεάς κυρώνεται με νόμο ή εγκρίνεται από τον Υπουργό Οικονομικών και τον καθ` ύλην αρμόδιο Υπουργό με βάση τις διατάξεις της κείμενης νομοθεσίας και (β) το συνολικό ποσό της παράδοσης αγαθών και της παροχής υπηρεσιών ανέρχεται έως του ποσού της δωρεάς. Ο υποκείμενος στον φόρο προμηθευτής έχει δικαίωμα έκπτωσης του Φ.Π.Α. εισροών σχετικά με τις εν λόγω πράξεις, δεν χρεώνει φόρο στα εκδιδόμενα φορολογικά στοιχεία και υποχρεούται να αναγράφει σε αυτά τη σχετική απαλλακτική διάταξη, την ημερομηνία υπογραφής της σύμβασης δωρεάς και τα συμβαλλόμενα μέρη, καθώς και την ημερομηνία έγκρισής της.</w:t>
      </w:r>
      <w:r>
        <w:rPr>
          <w:rStyle w:val="Hyperlink"/>
          <w:color w:val="000000"/>
          <w:sz w:val="20"/>
          <w:szCs w:val="20"/>
          <w:u w:val="none" w:color="0000EE"/>
          <w:vertAlign w:val="superscript"/>
          <w:lang w:val="el" w:eastAsia="el"/>
        </w:rPr>
        <w:footnoteReference w:id="261"/>
      </w:r>
    </w:p>
    <w:p>
      <w:pPr>
        <w:pStyle w:val="StructureList1"/>
        <w:spacing w:before="120" w:after="0"/>
        <w:rPr>
          <w:lang w:val="el" w:eastAsia="el"/>
        </w:rPr>
      </w:pPr>
      <w:r>
        <w:rPr>
          <w:lang w:val="el" w:eastAsia="el"/>
        </w:rPr>
        <w:t>ιζ)</w:t>
      </w:r>
      <w:r>
        <w:rPr>
          <w:lang w:val="en" w:eastAsia="en"/>
        </w:rPr>
        <w:tab/>
      </w:r>
      <w:r>
        <w:rPr>
          <w:lang w:val="el" w:eastAsia="el"/>
        </w:rPr>
        <w:t>Η ναύλωση και η μίσθωση, πλοίων ή αεροσκαφών, που πραγματοποιούνται για τη μεταφορά ή φιλοξενία ή οποιαδήποτε άλλη χρήση με σκοπό την αντιμετώπιση των μεταναστευτικών ροών, ή στο πλαίσιο εκτάκτων και επειγουσών αναγκών, στο Δημόσιο, ή κατ` εντολή του Δημοσίου σε φορείς της υποπερίπτωσης ββ` της περίπτωσης β` της παραγράφου 2 του άρθρου 7 του παρόντος νόμου, καθώς και η παράδοση και η εισαγωγή καυσίμων, λιπαντικών, τροφοεφοδίων και λοιπών αγαθών, που προορίζονται για τον εφοδιασμό των πλοίων και αεροσκαφών αυτών.</w:t>
      </w:r>
      <w:r>
        <w:rPr>
          <w:rStyle w:val="Hyperlink"/>
          <w:color w:val="000000"/>
          <w:sz w:val="20"/>
          <w:szCs w:val="20"/>
          <w:u w:val="none" w:color="0000EE"/>
          <w:vertAlign w:val="superscript"/>
          <w:lang w:val="el" w:eastAsia="el"/>
        </w:rPr>
        <w:footnoteReference w:id="262"/>
      </w:r>
    </w:p>
    <w:p>
      <w:pPr>
        <w:pStyle w:val="StructureList1"/>
        <w:spacing w:before="120" w:after="0"/>
        <w:rPr>
          <w:lang w:val="el" w:eastAsia="el"/>
        </w:rPr>
      </w:pPr>
      <w:r>
        <w:rPr>
          <w:lang w:val="el" w:eastAsia="el"/>
        </w:rPr>
        <w:t>ιη)</w:t>
      </w:r>
      <w:r>
        <w:rPr>
          <w:lang w:val="en" w:eastAsia="en"/>
        </w:rPr>
        <w:tab/>
      </w:r>
      <w:r>
        <w:rPr>
          <w:lang w:val="el" w:eastAsia="el"/>
        </w:rPr>
        <w:t>Η παράδοση ή εισαγωγή αγαθών καθώς και η παροχή υπηρεσιών προς το Δημόσιο ή κατ` εντολή του Δημοσίου σε φορείς της υποπερίπτωσης ββ` της περίπτωσης β` της παραγράφου 2 του άρθρου 7 του παρόντος νόμου, με σκοπό την αντιμετώπιση των μεταναστευτικών ροών ή στο πλαίσιο εκτάκτων και επειγουσών αναγκών.</w:t>
      </w:r>
      <w:r>
        <w:rPr>
          <w:rStyle w:val="Hyperlink"/>
          <w:color w:val="000000"/>
          <w:sz w:val="20"/>
          <w:szCs w:val="20"/>
          <w:u w:val="none" w:color="0000EE"/>
          <w:vertAlign w:val="superscript"/>
          <w:lang w:val="el" w:eastAsia="el"/>
        </w:rPr>
        <w:footnoteReference w:id="263"/>
      </w:r>
    </w:p>
    <w:p>
      <w:pPr>
        <w:pStyle w:val="StructureList1"/>
        <w:spacing w:before="120" w:after="0"/>
        <w:rPr>
          <w:lang w:val="el" w:eastAsia="el"/>
        </w:rPr>
      </w:pPr>
      <w:r>
        <w:rPr>
          <w:lang w:val="el" w:eastAsia="el"/>
        </w:rPr>
        <w:t>ιθ)</w:t>
      </w:r>
      <w:r>
        <w:rPr>
          <w:lang w:val="en" w:eastAsia="en"/>
        </w:rPr>
        <w:tab/>
      </w:r>
      <w:r>
        <w:rPr>
          <w:lang w:val="el" w:eastAsia="el"/>
        </w:rPr>
        <w:t>Η παράδοση αγαθών και η συνδεόμενη με αυτά παροχή υπηρεσιών στον Διεθνή Οργανισμό Μετανάστευσης (ΔΟΜ), καθώς και η εισαγωγή και ενδοκοινοτική απόκτηση αγαθών από τον οργανισμό και η συνδεόμενη με αυτά παροχή υπηρεσιών προς αυτόν, με σκοπό τα αγαθά αυτά και οι υπηρεσίες να διατεθούν περαιτέρω άνευ ανταλλάγματος προς το Δημόσιο, τους Ο.Τ.Α., τα ν.π.δ.δ., όπως προσδιορίζονται στο άρθρο 14 του ν. 4270/2014 (Α` 143), σε δημόσιες δομές πρωτοβάθμιας φροντίδας ή δομές δημόσιας υγείας, καθώς και την Ανώνυμη Εταιρεία Μονάδων Υγείας (Α.Ε.Μ.Υ. Α.Ε.), στο πλαίσιο υλοποίησης προγραμμάτων που χρηματοδοτούνται αποκλειστικά μέσω του Εργαλείου Υποστήριξης Έκτακτης Ανάγκης (Emergency Support Instrument - ESI), προκειμένου να καλυφθούν οι ανάγκες των Ελλήνων πολιτών και των πολιτών τρίτων χωρών αιτούντων διεθνή προστασία, οι οποίες προέκυψαν λόγω της πανδημίας του κορωνοϊού COVID-19.</w:t>
      </w:r>
      <w:r>
        <w:rPr>
          <w:rStyle w:val="Hyperlink"/>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2.</w:t>
      </w:r>
      <w:r>
        <w:rPr>
          <w:lang w:val="el" w:eastAsia="el"/>
        </w:rPr>
        <w:t xml:space="preserve"> Με κοινή απόφαση του Υπουργού Οικονομικών και του Διοικητή της Α.Α.Δ.Ε. μπορεί να καθορίζονται οι λεπτομέρειες εφαρμογής των ανά περίπτωση απαλλαγών, οι διαδικασίες και τα δικαιολογητικά για την εφαρμογή των απαλλαγών από τον Φ.Π.Α., καθώς και κάθε άλλο σχετικό θέμα για την εφαρμογή του παρόντος άρθρου.</w:t>
      </w:r>
      <w:r>
        <w:rPr>
          <w:rStyle w:val="Hyperlink"/>
          <w:color w:val="000000"/>
          <w:sz w:val="20"/>
          <w:szCs w:val="20"/>
          <w:u w:val="none" w:color="0000EE"/>
          <w:vertAlign w:val="superscript"/>
          <w:lang w:val="el" w:eastAsia="el"/>
        </w:rPr>
        <w:footnoteReference w:id="265"/>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παράδοση αγαθών σε άλλο κράτος-μέλος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κράτος-μέλος από τον πωλητή ή τον αποκτώντα ή από άλλον που ενεργεί για λογαριασμό τους, προς άλλον υποκείμενο στο φόρο ή προς μη υποκείμενο νομικό πρόσωπο, που ενεργεί με την ιδιότητα του αυτή σε άλλο κράτος-μέλος.</w:t>
      </w:r>
    </w:p>
    <w:p>
      <w:pPr>
        <w:pStyle w:val="StructureList1"/>
        <w:spacing w:before="120" w:after="0"/>
        <w:rPr>
          <w:lang w:val="el" w:eastAsia="el"/>
        </w:rPr>
      </w:pPr>
      <w:r>
        <w:rPr>
          <w:lang w:val="el" w:eastAsia="el"/>
        </w:rPr>
        <w:t>αα)</w:t>
      </w:r>
      <w:r>
        <w:rPr>
          <w:lang w:val="en" w:eastAsia="en"/>
        </w:rPr>
        <w:tab/>
      </w:r>
      <w:r>
        <w:rPr>
          <w:lang w:val="el" w:eastAsia="el"/>
        </w:rPr>
        <w:t>τα αγαθά παραδίδονται σε άλλον υποκείμενο στον φόρο ή σε νομικό πρόσωπο μη υποκείμενο στον φόρο που ενεργεί με αυτή την ιδιότητα σε άλλο κράτος-μέλος,</w:t>
      </w:r>
      <w:r>
        <w:rPr>
          <w:rStyle w:val="Hyperlink"/>
          <w:color w:val="000000"/>
          <w:sz w:val="20"/>
          <w:szCs w:val="20"/>
          <w:u w:val="none" w:color="0000EE"/>
          <w:vertAlign w:val="superscript"/>
          <w:lang w:val="el" w:eastAsia="el"/>
        </w:rPr>
        <w:footnoteReference w:id="266"/>
      </w:r>
    </w:p>
    <w:p>
      <w:pPr>
        <w:pStyle w:val="StructureList1"/>
        <w:spacing w:before="120" w:after="0"/>
        <w:rPr>
          <w:lang w:val="el" w:eastAsia="el"/>
        </w:rPr>
      </w:pPr>
      <w:r>
        <w:rPr>
          <w:lang w:val="el" w:eastAsia="el"/>
        </w:rPr>
        <w:t>αβ)</w:t>
      </w:r>
      <w:r>
        <w:rPr>
          <w:lang w:val="en" w:eastAsia="en"/>
        </w:rPr>
        <w:tab/>
      </w:r>
      <w:r>
        <w:rPr>
          <w:lang w:val="el" w:eastAsia="el"/>
        </w:rPr>
        <w:t>ο υποκείμενος στον φόρο ή το μη υποκείμενο στον φόρο νομικό πρόσωπο για τους οποίους πραγματοποιείται η παράδοση, διαθέτει αριθμό φορολογικού μητρώου Φ.Π.Α. σε άλλο κράτος-μέλος και έχει γνωστοποιήσει αυτόν τον αριθμό φορολογικού μητρώου στον προμηθευτή.</w:t>
      </w:r>
      <w:r>
        <w:rPr>
          <w:rStyle w:val="Hyperlink"/>
          <w:color w:val="000000"/>
          <w:sz w:val="20"/>
          <w:szCs w:val="20"/>
          <w:u w:val="none" w:color="0000EE"/>
          <w:vertAlign w:val="superscript"/>
          <w:lang w:val="el" w:eastAsia="el"/>
        </w:rPr>
        <w:footnoteReference w:id="267"/>
      </w:r>
    </w:p>
    <w:p>
      <w:pPr>
        <w:spacing w:before="240" w:after="240"/>
        <w:rPr>
          <w:lang w:val="el" w:eastAsia="el"/>
        </w:rPr>
      </w:pPr>
      <w:r>
        <w:rPr>
          <w:lang w:val="el" w:eastAsia="el"/>
        </w:rPr>
        <w:t>Η διάταξη αυτή δεν ισχύει για παράδοση αγαθών που πραγματοποιείται προς:</w:t>
      </w:r>
    </w:p>
    <w:p>
      <w:pPr>
        <w:pStyle w:val="StructureList1"/>
        <w:spacing w:before="120" w:after="0"/>
        <w:rPr>
          <w:lang w:val="el" w:eastAsia="el"/>
        </w:rPr>
      </w:pPr>
      <w:r>
        <w:rPr>
          <w:lang w:val="el" w:eastAsia="el"/>
        </w:rPr>
        <w:t>αα)</w:t>
      </w:r>
      <w:r>
        <w:rPr>
          <w:lang w:val="en" w:eastAsia="en"/>
        </w:rPr>
        <w:tab/>
      </w:r>
      <w:r>
        <w:rPr>
          <w:lang w:val="el" w:eastAsia="el"/>
        </w:rPr>
        <w:t>αγρότες του ειδικού καθεστώτος,</w:t>
      </w:r>
    </w:p>
    <w:p>
      <w:pPr>
        <w:pStyle w:val="StructureList1"/>
        <w:spacing w:before="120" w:after="0"/>
        <w:rPr>
          <w:lang w:val="el" w:eastAsia="el"/>
        </w:rPr>
      </w:pPr>
      <w:r>
        <w:rPr>
          <w:lang w:val="el" w:eastAsia="el"/>
        </w:rPr>
        <w:t>ββ)</w:t>
      </w:r>
      <w:r>
        <w:rPr>
          <w:lang w:val="en" w:eastAsia="en"/>
        </w:rPr>
        <w:tab/>
      </w:r>
      <w:r>
        <w:rPr>
          <w:lang w:val="el" w:eastAsia="el"/>
        </w:rPr>
        <w:t>υποκειμένους που διενεργούν μόνο απαλλασσόμενες πράξεις χωρίς δικαίωμα έκπτωσης του φόρου εισροών και</w:t>
      </w:r>
    </w:p>
    <w:p>
      <w:pPr>
        <w:pStyle w:val="StructureList1"/>
        <w:spacing w:before="120" w:after="0"/>
        <w:rPr>
          <w:lang w:val="el" w:eastAsia="el"/>
        </w:rPr>
      </w:pPr>
      <w:r>
        <w:rPr>
          <w:lang w:val="el" w:eastAsia="el"/>
        </w:rPr>
        <w:t>γγ)</w:t>
      </w:r>
      <w:r>
        <w:rPr>
          <w:lang w:val="en" w:eastAsia="en"/>
        </w:rPr>
        <w:tab/>
      </w:r>
      <w:r>
        <w:rPr>
          <w:lang w:val="el" w:eastAsia="el"/>
        </w:rPr>
        <w:t>νομικά πρόσωπα μη υποκείμενα στο φόρο, εφόσον το ύψος των συνολικών ενδοκοινοτικών τους αποκτήσεων αγαθών, χωρίς φόρο προστιθέμενης αξίας, δεν υπερβαίνει κατά την προηγούμενη διαχειριστική περίοδο το ποσό των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268"/>
      </w:r>
    </w:p>
    <w:p>
      <w:pPr>
        <w:spacing w:before="240" w:after="240"/>
        <w:rPr>
          <w:lang w:val="el" w:eastAsia="el"/>
        </w:rPr>
      </w:pPr>
      <w:r>
        <w:rPr>
          <w:lang w:val="el" w:eastAsia="el"/>
        </w:rPr>
        <w:t>Η εξαίρεση αυτή δεν ισχύει για καινούργια μεταφορικά μέσα και προϊόντα που υπάγονται σε ειδικούς φόρους κατανάλωσης,</w:t>
      </w:r>
    </w:p>
    <w:p>
      <w:pPr>
        <w:pStyle w:val="StructureList1"/>
        <w:spacing w:before="120" w:after="0"/>
        <w:rPr>
          <w:lang w:val="el" w:eastAsia="el"/>
        </w:rPr>
      </w:pPr>
      <w:r>
        <w:rPr>
          <w:lang w:val="el" w:eastAsia="el"/>
        </w:rPr>
        <w:t>β)</w:t>
      </w:r>
      <w:r>
        <w:rPr>
          <w:lang w:val="en" w:eastAsia="en"/>
        </w:rPr>
        <w:tab/>
      </w:r>
      <w:r>
        <w:rPr>
          <w:lang w:val="el" w:eastAsia="el"/>
        </w:rPr>
        <w:t>η περιστασιακή παράδοση καινούργιων μεταφορικών μέσων, που αποστέλλονται ή μεταφέρονται προς άλλο κράτος - μέλος. Επίσης η παράδοση αγαθών που υπόκεινται σε ειδικούς φόρους κατανάλωσης, τα οποία αποστέλλονται ή μεταφέρονται προς άλλο κράτος - μέλος, εφόσον ο αγοραστής είναι πρόσωπο που εμπίπτει στις διατάξεις του δεύτερου εδαφίου της προηγούμενης περίπτωσης α΄ και τα αγαθά αυτά διακινούνται υπό καθεστώς αναστολής καταβολής του ειδικού φόρου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παραγράφου 3 του άρθρου 7, οι οποίες θα καλύπτονταν από την προβλεπόμενη στην περίπτωση α΄ απαλλαγή, αν είχαν πραγματοποιηθεί προς άλλον υποκείμενο στο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 φόρο και η παράδοση αγαθών προς υποκείμενο στο φόρο, με σκοπό την παράδοση τους με τους όρους της παραπάνω περίπτωσης α΄, καθώς και η παροχή υπηρεσιών που αφορούν αυτές πς παραδόσεις αγαθών με προορισμό ένα άλλο κράτος-μέλος, μέχρι του ποσού των παραδόσεων αυτών, που πραγματοποίησε ο υποκείμενος στο φόρο, κατά την προηγούμενη δωδεκάμηνη χρονική ή δωδεκάμηνη διαχειριστική περίοδο.</w:t>
      </w:r>
    </w:p>
    <w:p>
      <w:pPr>
        <w:spacing w:before="240" w:after="240"/>
        <w:rPr>
          <w:lang w:val="el" w:eastAsia="el"/>
        </w:rPr>
      </w:pPr>
      <w:r>
        <w:rPr>
          <w:lang w:val="el" w:eastAsia="el"/>
        </w:rPr>
        <w:t>Η παρούσα απαλλαγή, καθώς και η απαλλαγή που προβλέπεται στην περίπτωση ζ της παρ. 1 του άρθρ. 24,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1α.</w:t>
      </w:r>
      <w:r>
        <w:rPr>
          <w:lang w:val="el" w:eastAsia="el"/>
        </w:rPr>
        <w:t xml:space="preserve"> Η απαλλαγή που προβλέπεται στο πρώτο εδάφιο της περ. α` της παρ. 1 δεν εφαρμόζεται, όταν ο προμηθευτής δεν έχει εκπληρώσει τις υποχρεώσεις σχετικά με την υποβολή ανακεφαλαιωτικού πίνακα ή όταν ο ανακεφαλαιωτικός πίνακας, που έχει υποβάλει, δεν περιέχει τις ορθές πληροφορίες σχετικά με την εν λόγω παράδοση, εκτός εάν ο προμηθευτής μπορεί να αιτιολογήσει δεόντως την παράλειψή του κατά τρόπο ικανοποιητικό στις αρμόδιες αρχές.</w:t>
      </w:r>
      <w:r>
        <w:rPr>
          <w:rStyle w:val="Hyperlink"/>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2.</w:t>
      </w:r>
      <w:r>
        <w:rPr>
          <w:lang w:val="el" w:eastAsia="el"/>
        </w:rPr>
        <w:t xml:space="preserve"> Οι διατάξεις του άρθρου αυτού δεν έχουν εφαρμογή στις παραδόσεις αγαθών που υπάγονται σε φόρο, σύμφωνα με τις διατάξεις των άρθρων 45 και 46.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του άρθρου αυτού.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παραγράφων 2 και 3 του άρθρου 34, ο αποκτών (αγοραστής) τα αγαθά στο εσωτερικό της χώρας δικαιούται, σε κάθε περίπτωση, ολικής επιστροφής του φόρου προστιθέμενης αξίας.</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spacing w:before="240" w:after="240"/>
        <w:rPr>
          <w:lang w:val="el" w:eastAsia="el"/>
        </w:rPr>
      </w:pPr>
      <w:r>
        <w:rPr>
          <w:b/>
          <w:bCs/>
          <w:lang w:val="el" w:eastAsia="el"/>
        </w:rPr>
        <w:t xml:space="preserve">ΚΕΦΑΛΑIO Z’ ΕΚΠΤΩΣΗ - ΕΠΙΣΤΡΟΦΗ ΤΟΥ ΦΟΡΟΥ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 φόρο που αναλογεί στις ενεργούμενες από αυτόν πράξεις παράδοσης αγαθών, παροχής υπηρεσιών και ενδοκοινοτικής απόκτησης αγαθών, το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 φόρο που οφείλεται για τις ενδοκοινοτικές αποκτήσεις αγαθών που πραγματοποιήθηκαν από αυτόν. Η έκπτωση αυτή παρέχεται κατά το μέρος που τα αγαθά και οι υπηρεσίες χρησιμοποιούνται για την πραγματοποίηση πράξεων που υπάγονται στο φόρο. Ειδικά για τα ακίνητα που έχουν υπαχθεί σε καθεστώς αναστολής της παραγράφου 4α του άρθρου 6, το δικαίωμα έκπτωσης του φόρου εισροών, που προσδιορίζεται σύμφωνα με την παράγραφο 7 του άρθρου 31, αναστέλλεται καθ` όλη τη διάρκεια της περιόδου της παραγράφου 4α του άρθρου 6. Ειδικά, για τα αγαθά επένδυσης, το δικαίωμα έκπτωσης κρίνεται οριστικά κατά το χρόνο έναρξης χρησιμοποίησης των αγαθών αυτών. Στην περίπτωση που αγαθά επένδυσης χρησιμοποιούνται, τόσο για τους σκοπούς των δραστηριοτήτων του υποκειμένου στο φόρο, όσο και για ιδιωτική χρήση του ίδιου ή του προσωπικού του, ή, γενικότερα για σκοπούς άλλους από της επιχείρησης, ο Φ.Π.Α. που βαρύνει τις δαπάνες που συνδέονται με τα επενδυτικά αυτά αγαθά εκπίπτει μόνο κατ' αναλογία του ποσοστού της χρησιμοποίησής τους για τους σκοπούς των δραστηριοτήτων της επιχείρησης. Οι μεταβολές στην αναλογία χρήσης των αγαθών επένδυσης που αναφέρονται στο προηγούμενο εδάφιο λαμβάνονται υπόψη υπό τους όρους που προβλέπονται στα άρθρα 31 και 33.</w:t>
      </w:r>
      <w:r>
        <w:rPr>
          <w:rStyle w:val="Hyperlink"/>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1.</w:t>
      </w:r>
      <w:r>
        <w:rPr>
          <w:lang w:val="el" w:eastAsia="el"/>
        </w:rPr>
        <w:t xml:space="preserve"> α. Δικαίωμα έκπτωσης δεν παρέχεται για εισροές που αφορούν πράξεις που πραγματοποιούνται από υποκείμενους στο φόρο που εντάσσονται σε ανάλογα των άρθρων 47β και 47γ ειδικά καθεστώτα των άλλων κρατών - μελών.</w:t>
      </w:r>
      <w:r>
        <w:rPr>
          <w:rStyle w:val="Hyperlink"/>
          <w:color w:val="000000"/>
          <w:sz w:val="20"/>
          <w:szCs w:val="20"/>
          <w:u w:val="none" w:color="0000EE"/>
          <w:vertAlign w:val="superscript"/>
          <w:lang w:val="el" w:eastAsia="el"/>
        </w:rPr>
        <w:footnoteReference w:id="271"/>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Στην περίπτωση υποκειμένων που εντάσσονται στο αντίστοιχο του άρθρου 47β ειδικό καθεστώς άλλου κράτους μέλους, ο ΦΠΑ των εν λόγω εισροών επιστρέφεται, σύμφωνα με την παρ. 8 του άρθρου 34 και χωρίς να απαιτείται η πλήρωση του όρου περί αμοιβαιότητας που περιλαμβάνεται στην παρούσα. Κατ` εξαίρεση, εάν ο εν λόγω υποκείμενος απαιτείται να διαθέτει ΑΦΜ / ΦΠΑ στην Ελλάδα για δραστηριότητες μη υπαγόμενες στο αντίστοιχο του άρθρου 47β ειδικό καθεστώς άλλου κράτους μέλους, τότε παρέχεται σε αυτόν δικαίωμα έκπτωσης του φόρου εισροών που κατέβαλε στην Ελλάδα και αφορά στις φορολογητέες δραστηριότητές του, που υπάγονται στο εν λόγω αντίστοιχο καθεστώς. Το δικαίωμα έκπτωσης του προηγούμενου εδαφίου ασκείται με τη δήλωση ΦΠΑ, που υποβάλλεται σύμφωνα με την παρ. 1 του άρθρου 38.</w:t>
      </w:r>
      <w:r>
        <w:rPr>
          <w:rStyle w:val="Hyperlink"/>
          <w:color w:val="000000"/>
          <w:sz w:val="20"/>
          <w:szCs w:val="20"/>
          <w:u w:val="none" w:color="0000EE"/>
          <w:vertAlign w:val="superscript"/>
          <w:lang w:val="el" w:eastAsia="el"/>
        </w:rPr>
        <w:footnoteReference w:id="272"/>
      </w:r>
    </w:p>
    <w:p>
      <w:pPr>
        <w:pStyle w:val="StructureList1"/>
        <w:spacing w:before="120" w:after="0"/>
        <w:rPr>
          <w:lang w:val="el" w:eastAsia="el"/>
        </w:rPr>
      </w:pPr>
      <w:r>
        <w:rPr>
          <w:lang w:val="el" w:eastAsia="el"/>
        </w:rPr>
        <w:t>β)</w:t>
      </w:r>
      <w:r>
        <w:rPr>
          <w:lang w:val="en" w:eastAsia="en"/>
        </w:rPr>
        <w:tab/>
      </w:r>
      <w:r>
        <w:rPr>
          <w:lang w:val="el" w:eastAsia="el"/>
        </w:rPr>
        <w:t>Στην περίπτωση υποκειμένων που εντάσσονται στο αντίστοιχο του άρθρου 47γ ειδικό καθεστώς άλλου κράτους μέλους, ο ΦΠΑ των εν λόγω εισροών επιστρέφεται, σύμφωνα με την παρ. 2 του άρθρου 34 και χωρίς την πλήρωση των προϋποθέσεων που ορίζονται στην παρούσα. Κατ` εξαίρεση, εάν ο εν λόγω υποκείμενος απαιτείται να διαθέτει ΑΦΜ / ΦΠΑ στην Ελλάδα για δραστηριότητες μη υπαγόμενες στο αντίστοιχο του άρθρου 47γ ειδικό καθεστώς άλλου κράτους μέλους, τότε παρέχεται σε αυτόν δικαίωμα έκπτωσης του φόρου εισροών που κατέβαλε στην Ελλάδα και αφορά στις φορολογητέες δραστηριότητές του που υπάγονται στο εν λόγω καθεστώς. Το δικαίωμα έκπτωσης του προηγούμενου εδαφίου ασκείται με τη δήλωση ΦΠΑ, που υποβάλλεται σύμφωνα με την παρ. 1 του άρθρου 38.</w:t>
      </w:r>
      <w:r>
        <w:rPr>
          <w:rStyle w:val="Hyperlink"/>
          <w:color w:val="000000"/>
          <w:sz w:val="20"/>
          <w:szCs w:val="20"/>
          <w:u w:val="none" w:color="0000EE"/>
          <w:vertAlign w:val="superscript"/>
          <w:lang w:val="el" w:eastAsia="el"/>
        </w:rPr>
        <w:footnoteReference w:id="273"/>
      </w:r>
    </w:p>
    <w:p>
      <w:pPr>
        <w:pStyle w:val="StructureList1"/>
        <w:spacing w:before="120" w:after="0"/>
        <w:rPr>
          <w:lang w:val="el" w:eastAsia="el"/>
        </w:rPr>
      </w:pPr>
      <w:r>
        <w:rPr>
          <w:lang w:val="el" w:eastAsia="el"/>
        </w:rPr>
        <w:t>γ)</w:t>
      </w:r>
      <w:r>
        <w:rPr>
          <w:lang w:val="en" w:eastAsia="en"/>
        </w:rPr>
        <w:tab/>
      </w:r>
      <w:r>
        <w:rPr>
          <w:lang w:val="el" w:eastAsia="el"/>
        </w:rPr>
        <w:t>Στην περίπτωση υποκειμένων που εντάσσονται στο αντίστοιχο του άρθρου 47δ ειδικό καθεστώς σε άλλο κράτος μέλος, ο ΦΠΑ των εν λόγω εισροών επιστρέφεται, σύμφωνα με την παρ. 2 του άρθρου 34 και χωρίς την πλήρωση των προϋποθέσεων που ορίζονται στην παρούσα, καθώς και σύμφωνα με την παρ. 8 του ιδίου άρθρου και χωρίς να απαιτείται η πλήρωση του όρου περί αμοιβαιότητας που περιλαμβάνεται στην παρούσα. Κατ` εξαίρεση, εάν ο εν λόγω υποκείμενος στον φόρο απαιτείται να διαθέτει ΑΦΜ / ΦΠΑ στην Ελλάδα για δραστηριότητες μη υπαγόμενες στο αντίστοιχο του άρθρου 47δ ειδικό καθεστώς άλλου κράτους μέλους, τότε παρέχεται σε αυτόν δικαίωμα έκπτωσης του φόρου εισροών που κατέβαλε στην Ελλάδα και αφορά στις φορολογητέες δραστηριότητές του, που υπάγονται στο εν λόγω καθεστώς. Το δικαίωμα έκπτωσης του προηγούμενου εδαφίου ασκείται με τη δήλωση ΦΠΑ, που υποβάλλεται σύμφωνα με την παρ. 1 του άρθρου 38.</w:t>
      </w:r>
      <w:r>
        <w:rPr>
          <w:rStyle w:val="Hyperlink"/>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που προβλέπουν οι διατάξεις του άρθρου 4, εφόσον αυτές θα παρείχαν δικαίωμα έκπτωσης του φόρου, αν είχαν πραγματοποιηθεί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 φόρο σύμφωνα με τις διατάξεις των περιπτώσεων λ΄ και λγ΄ της παρ. 1 του άρθρου 22, αντίστοιχα,</w:t>
      </w:r>
    </w:p>
    <w:p>
      <w:pPr>
        <w:pStyle w:val="StructureList1"/>
        <w:spacing w:before="120" w:after="0"/>
        <w:rPr>
          <w:lang w:val="el" w:eastAsia="el"/>
        </w:rPr>
      </w:pPr>
      <w:r>
        <w:rPr>
          <w:lang w:val="el" w:eastAsia="el"/>
        </w:rPr>
        <w:t>γ)</w:t>
      </w:r>
      <w:r>
        <w:rPr>
          <w:lang w:val="en" w:eastAsia="en"/>
        </w:rPr>
        <w:tab/>
      </w:r>
      <w:r>
        <w:rPr>
          <w:lang w:val="el" w:eastAsia="el"/>
        </w:rPr>
        <w:t>για τις πράξεις που απαλλάσσονται από τον φόρο, σύμφωνα με την περ. λε) της παρ. 1 του άρθρου 22 και τα άρθρα 24, 25, 26, 27 και 28,</w:t>
      </w:r>
      <w:r>
        <w:rPr>
          <w:rStyle w:val="Hyperlink"/>
          <w:color w:val="000000"/>
          <w:sz w:val="20"/>
          <w:szCs w:val="20"/>
          <w:u w:val="none" w:color="0000EE"/>
          <w:vertAlign w:val="superscript"/>
          <w:lang w:val="el" w:eastAsia="el"/>
        </w:rPr>
        <w:footnoteReference w:id="275"/>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 φόρο, σύμφωνα με τις διατάξεις των περιπτώσεων ιθ΄, κ΄, κα΄, κγ΄, κδ΄ και κε΄ της παραγράφου 1 του άρθρου 22, εφόσον ο λήπτης είναι εγκαταστημένος εκτός της Κοινότητας ή οι εργασίες αυτές συνδέονται άμεσα με αγαθά που εξάγονται σε χώρα εκτός της Κοινότητας.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μέχρις αξίας δέκα (10) ευρώ και δειγμάτων.</w:t>
      </w:r>
      <w:r>
        <w:rPr>
          <w:rStyle w:val="Hyperlink"/>
          <w:color w:val="000000"/>
          <w:sz w:val="20"/>
          <w:szCs w:val="20"/>
          <w:u w:val="none" w:color="0000EE"/>
          <w:vertAlign w:val="superscript"/>
          <w:lang w:val="el" w:eastAsia="el"/>
        </w:rPr>
        <w:footnoteReference w:id="276"/>
      </w:r>
    </w:p>
    <w:p>
      <w:pPr>
        <w:pStyle w:val="StructureList1"/>
        <w:spacing w:before="120" w:after="0"/>
        <w:rPr>
          <w:lang w:val="el" w:eastAsia="el"/>
        </w:rPr>
      </w:pPr>
      <w:r>
        <w:rPr>
          <w:lang w:val="el" w:eastAsia="el"/>
        </w:rPr>
        <w:t>στ)</w:t>
      </w:r>
      <w:r>
        <w:rPr>
          <w:lang w:val="en" w:eastAsia="en"/>
        </w:rPr>
        <w:tab/>
      </w:r>
      <w:r>
        <w:rPr>
          <w:lang w:val="el" w:eastAsia="el"/>
        </w:rPr>
        <w:t>για την πραγματοποίηση πράξεων του τρίτου εδαφίου της παραγράφου 9 του άρθρου 19.</w:t>
      </w:r>
      <w:r>
        <w:rPr>
          <w:rStyle w:val="Hyperlink"/>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 χρόνο που ο φόρος καθίσταται απαιτητός, σύμφωνα με τις διατάξεις των άρθρων 16 έως και 18.</w:t>
      </w:r>
    </w:p>
    <w:p>
      <w:pPr>
        <w:spacing w:before="240" w:after="240"/>
        <w:rPr>
          <w:lang w:val="el" w:eastAsia="el"/>
        </w:rPr>
      </w:pPr>
      <w:r>
        <w:rPr>
          <w:lang w:val="el" w:eastAsia="el"/>
        </w:rPr>
        <w:t>Ειδικά, προκειμένου για ευκαιριακή παράδοση καινούργιων μεταφορικών μέσων, η οποία απαλλάσσεται σύμφωνα με τις διατάξεις της περίπτωσης β της παραγράφου 1 του άρθρου 28 το δικαίωμα έκπτωσης γεννάται κατά το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ή αλκοολούχων ποτών, εφόσον αυτά προορίζονται για την πραγματοποίηση μη φορολογητέων πράξεων,</w:t>
      </w:r>
      <w:r>
        <w:rPr>
          <w:rStyle w:val="Hyperlink"/>
          <w:color w:val="000000"/>
          <w:sz w:val="20"/>
          <w:szCs w:val="20"/>
          <w:u w:val="none" w:color="0000EE"/>
          <w:vertAlign w:val="superscript"/>
          <w:lang w:val="el" w:eastAsia="el"/>
        </w:rPr>
        <w:footnoteReference w:id="278"/>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μοτοσικλετών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διάταξη αυτή δεν εφαρμόζεται για τα πιο πάνω μεταφορικά μέσα εφόσον προορίζονται για πώληση, μίσθωση ή μεταφορά προσώπων με κόμιστρο,</w:t>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279"/>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στα εκατό του συνολικού ποσού του φόρου των κοινών αυτών εισροών.</w:t>
      </w:r>
    </w:p>
    <w:p>
      <w:pPr>
        <w:spacing w:before="240" w:after="240"/>
        <w:rPr>
          <w:lang w:val="el" w:eastAsia="el"/>
        </w:rPr>
      </w:pPr>
      <w:r>
        <w:rPr>
          <w:lang w:val="el" w:eastAsia="el"/>
        </w:rPr>
        <w:t>Το ποσοστό αυτό βρίσκεται με βάση κλάσμα που έχει ως αριθμητή το ποσό του ετήσιου κύκλου εργασιών, χωρίς φόρο προστιθέμενης αξίας, που αφορά πράξεις για τις οποίες παρέχεται δικαίωμα έκπτωσης του φόρου και ως παρανομαστή το ποσό των πράξεων που αναφέρονται στον αριθμητή, καθώς και των πράξεων για τις οποίες δεν παρέχεται δικαίωμα έκπτωσης.</w:t>
      </w:r>
    </w:p>
    <w:p>
      <w:pPr>
        <w:spacing w:before="240" w:after="240"/>
        <w:rPr>
          <w:lang w:val="el" w:eastAsia="el"/>
        </w:rPr>
      </w:pPr>
      <w:r>
        <w:rPr>
          <w:lang w:val="el" w:eastAsia="el"/>
        </w:rPr>
        <w:t>Στον παρανομαστή του κλάσματος συμπεριλαμβάνονται επίσης και οι επιδοτήσεις, επιχορηγήσεις, οικονομικές ενισχύσεις, οι οποίες δεν αποτελούν μέρος της φορολογητέας αξίας, σύμφωνα με την παράγραφο 1 του άρθρου 19.</w:t>
      </w:r>
      <w:r>
        <w:rPr>
          <w:rStyle w:val="Hyperlink"/>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την εφαρμογή του κλάσματος της προηγούμενης παραγράφου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παραγράφου 1 δε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σε χρηματοοικονομικές δραστηριότητες που προβλέπουν οι διατάξεις των περιπτώσεων κ΄, κα΄, κβ΄, κγ΄, κδ΄ και κε της παραγράφου 1 του άρθρου 22 του παρόντος.</w:t>
      </w:r>
      <w:r>
        <w:rPr>
          <w:rStyle w:val="Hyperlink"/>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4.</w:t>
      </w:r>
      <w:r>
        <w:rPr>
          <w:lang w:val="el" w:eastAsia="el"/>
        </w:rPr>
        <w:t xml:space="preserve"> Το ποσοστό που βρίσκεται με τον πιο πάνω τρόπο λαμβάνεται υπόψη για την εκκαθάριση του εκπιπτόμενου φόρου του έτους στο οποίο αφορά και για την υποβολή των περιοδικών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 χρόνο υποβολής των περιοδικών δηλώσεων δεν υπάρχουν σχετικά στοιχεία ή αυτά που υπάρχουν δεν είναι πλήρη, ο προσδιορισμός του ποσοστού γίνεται προσωρινά από τον υποκείμενο στο φόρο.</w:t>
      </w:r>
    </w:p>
    <w:p>
      <w:pPr>
        <w:pStyle w:val="MainText"/>
        <w:spacing w:before="120" w:after="0"/>
        <w:rPr>
          <w:lang w:val="el" w:eastAsia="el"/>
        </w:rPr>
      </w:pPr>
      <w:r>
        <w:rPr>
          <w:b/>
          <w:bCs/>
          <w:lang w:val="el" w:eastAsia="el"/>
        </w:rPr>
        <w:t>6.</w:t>
      </w:r>
      <w:r>
        <w:rPr>
          <w:lang w:val="el" w:eastAsia="el"/>
        </w:rPr>
        <w:t xml:space="preserve"> Κατά παρέκκλιση των πιο πάνω διατάξεων, με από</w:t>
      </w:r>
      <w:r>
        <w:rPr>
          <w:lang w:val="el" w:eastAsia="el"/>
        </w:rPr>
        <w:softHyphen/>
        <w:t>φαση του αρμόδιου Προϊσταμένου ΔΟΥ,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 φόρο ή να υποχρεωθεί αυτός να προσδιορίσει ένα ποσοστό για κάθε τομέα της δραστηριότητας του, εφόσον για καθέναν από αυτούς τηρούνται ιδιαίτεροι λογαριασμοί στα βιβλία που προβλέπουν οι διατάξεις του Κ.Β.Σ..</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 φόρο ή να υποχρεωθεί αυτός να ενεργήσει την έκπτωση, ανάλογα με την πραγματική διάθεση των αγαθών ή τη χρήση των υπηρεσιών, εφόσον τηρούνται ιδιαίτεροι λογαριασμοί στα βιβλία που προβλέπουν οι διατάξεις του Κώδικα Βιβλίων και Στοιχείων.</w:t>
      </w:r>
    </w:p>
    <w:p>
      <w:pPr>
        <w:pStyle w:val="MainText"/>
        <w:spacing w:before="120" w:after="0"/>
        <w:rPr>
          <w:lang w:val="el" w:eastAsia="el"/>
        </w:rPr>
      </w:pPr>
      <w:r>
        <w:rPr>
          <w:b/>
          <w:bCs/>
          <w:lang w:val="el" w:eastAsia="el"/>
        </w:rPr>
        <w:t>7.</w:t>
      </w:r>
      <w:r>
        <w:rPr>
          <w:lang w:val="el" w:eastAsia="el"/>
        </w:rPr>
        <w:t xml:space="preserve"> Προκειμένου για πράξεις σε ακίνητα που προβλέπουν οι διατάξεις του άρθρου 6, η έκπτωση του φόρου εισροών ενεργείται σύμφωνα με το ποσοστό συμμετοχής της κάθε ιδιοκτησίας στο συνολικό φόρο εισροών, ο οποίος διαμορφώνεται με βάση την πραγματική διάθεση των αγαθών και υπηρεσιών ανά οικοδομή, όπως προκύπτει από τα τηρούμενα βιβλία και στοιχεία σύμφωνα με τις διατάξεις του Κ.Β.Σ.</w:t>
      </w:r>
      <w:r>
        <w:rPr>
          <w:rStyle w:val="Hyperlink"/>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8.</w:t>
      </w:r>
      <w:r>
        <w:rPr>
          <w:lang w:val="el" w:eastAsia="el"/>
        </w:rPr>
        <w:t xml:space="preserve"> Ο φόρος που αναλογεί σε πράξεις που δεν παρέχουν δικαίωμα έκπτωσης εκπίπτεται ολόκληρος, εφόσον, για κάθε διαχειριστική περίοδο, δεν υπερβαίνει το ποσό των 30 ευρώ.</w:t>
      </w:r>
      <w:r>
        <w:rPr>
          <w:rStyle w:val="Hyperlink"/>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9.</w:t>
      </w:r>
      <w:r>
        <w:rPr>
          <w:lang w:val="el" w:eastAsia="el"/>
        </w:rPr>
        <w:t xml:space="preserve"> Στην περίπτωση παράδοσης καινούργιου μεταφορικού μέσου, που απαλλάσσεται, σύμφωνα με την περίπτωση β της παρ. 1 του άρθρου 28, ο προς έκπτωση φόρος δεν μπορεί να υπερβεί το ποσό του φόρου που αναλογεί στην αξία παράδοσης.</w:t>
      </w:r>
      <w:r>
        <w:rPr>
          <w:rStyle w:val="Hyperlink"/>
          <w:color w:val="000000"/>
          <w:sz w:val="20"/>
          <w:szCs w:val="20"/>
          <w:u w:val="none" w:color="0000EE"/>
          <w:vertAlign w:val="superscript"/>
          <w:lang w:val="el" w:eastAsia="el"/>
        </w:rPr>
        <w:footnoteReference w:id="284"/>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 φόρο κατέχει:</w:t>
      </w:r>
    </w:p>
    <w:p>
      <w:pPr>
        <w:pStyle w:val="StructureList1"/>
        <w:spacing w:before="120" w:after="0"/>
        <w:rPr>
          <w:lang w:val="el" w:eastAsia="el"/>
        </w:rPr>
      </w:pPr>
      <w:r>
        <w:rPr>
          <w:lang w:val="el" w:eastAsia="el"/>
        </w:rPr>
        <w:t>α)</w:t>
      </w:r>
      <w:r>
        <w:rPr>
          <w:lang w:val="en" w:eastAsia="en"/>
        </w:rPr>
        <w:tab/>
      </w:r>
      <w:r>
        <w:rPr>
          <w:lang w:val="el" w:eastAsia="el"/>
        </w:rPr>
        <w:t>βεβαίωση περί υποβολής δήλωσης έναρξης εργασιών της περίπτωσης α΄ της παραγράφου 1 του άρθρου 36.</w:t>
      </w:r>
    </w:p>
    <w:p>
      <w:pPr>
        <w:pStyle w:val="StructureList1"/>
        <w:spacing w:before="120" w:after="0"/>
        <w:rPr>
          <w:lang w:val="el" w:eastAsia="el"/>
        </w:rPr>
      </w:pPr>
      <w:r>
        <w:rPr>
          <w:lang w:val="el" w:eastAsia="el"/>
        </w:rPr>
        <w:t>β)</w:t>
      </w:r>
      <w:r>
        <w:rPr>
          <w:lang w:val="en" w:eastAsia="en"/>
        </w:rPr>
        <w:tab/>
      </w:r>
      <w:r>
        <w:rPr>
          <w:lang w:val="el" w:eastAsia="el"/>
        </w:rPr>
        <w:t>νόμιμο τιμολόγιο ή άλλο αποδεικτικό στοιχείο που επέχει θέση τιμολογίου, από τα οποία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νόμιμο τιμολόγιο ή άλλο αποδεικτικό στοιχείο που επέχει θέση τιμολογίου ή την περιοδική δήλωση της οικείας φορολογικής περιόδου, στην περίπτωση που δεν υπάρχει άλλο αποδεικτικό στοιχείο, για τις πραγματοποιούμενες ενδοκοινοτικές αποκτήσεις αγαθών, καθώς και τις λήψεις υπηρεσιών για τις οποίες είναι ο ίδιος υπόχρεος στο φόρο, εφόσον οι πράξεις αυτές έχουν καταχωρηθεί στα τηρούμενα βιβλία του Κ.Β.Σ.,</w:t>
      </w:r>
    </w:p>
    <w:p>
      <w:pPr>
        <w:pStyle w:val="StructureList1"/>
        <w:spacing w:before="120" w:after="0"/>
        <w:rPr>
          <w:lang w:val="el" w:eastAsia="el"/>
        </w:rPr>
      </w:pPr>
      <w:r>
        <w:rPr>
          <w:lang w:val="el" w:eastAsia="el"/>
        </w:rPr>
        <w:t>ε)</w:t>
      </w:r>
      <w:r>
        <w:rPr>
          <w:lang w:val="en" w:eastAsia="en"/>
        </w:rPr>
        <w:tab/>
      </w:r>
      <w:r>
        <w:rPr>
          <w:lang w:val="el" w:eastAsia="el"/>
        </w:rPr>
        <w:t>κυρωμένο αντίγραφο της έκτακτης περιοδικής δήλωσης ή της ειδικής δήλωσης της περίπτωσης γ` της παραγράφου 4 του άρθρου 36, όπου προβλέπεται η καταβολή φόρου με τις δηλώσεις αυτές, από τις οποίες αποδεικνύεται η καταβολή του φόρου.</w:t>
      </w:r>
      <w:r>
        <w:rPr>
          <w:rStyle w:val="Hyperlink"/>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2.</w:t>
      </w:r>
      <w:r>
        <w:rPr>
          <w:lang w:val="el" w:eastAsia="el"/>
        </w:rPr>
        <w:t xml:space="preserve"> Σε περίπτωση καταβολής του φόρου από τον υπόχρεο, για τον οποίο προβλέπουν οι διατάξεις των περιπτώσεων β΄, γ΄ και δ΄ της παραγράφου 1 του άρθρου 35, το δικαίωμα έκπτωσης μπορεί να ασκηθεί, εφόσον αυτός κατέχει δικαιολογητικά σχετικά με την πραγματοποίηση της φορολογητέας πράξης από τον εγκαταστημένο στο εξωτερικό υποκείμενο στο φόρο και αποδεικτικό καταβολής του φόρου.</w:t>
      </w:r>
      <w:r>
        <w:rPr>
          <w:rStyle w:val="Hyperlink"/>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3.</w:t>
      </w:r>
      <w:r>
        <w:rPr>
          <w:lang w:val="el" w:eastAsia="el"/>
        </w:rPr>
        <w:t xml:space="preserve"> Όταν το ποσό της έκπτωσης είναι μεγαλύτερο από τον οφειλόμενο φόρο στην ίδια περίοδο, η επιπλέον διαφορά μεταφέρεται για έκπτωση σε επόμενη περίοδο ή επιστρέφεται, σύμφωνα με τις διατάξεις του άρθρου 34, με την επιφύλαξη των περί παραγραφής διατάξεων.</w:t>
      </w:r>
      <w:r>
        <w:rPr>
          <w:rStyle w:val="Hyperlink"/>
          <w:color w:val="000000"/>
          <w:sz w:val="20"/>
          <w:szCs w:val="20"/>
          <w:u w:val="none" w:color="0000EE"/>
          <w:vertAlign w:val="superscript"/>
          <w:lang w:val="el" w:eastAsia="el"/>
        </w:rPr>
        <w:footnoteReference w:id="287"/>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υποβαλλόμενες δηλώσεις ΦΠΑ, υπόκειται σε τελικό διακανονισμό σύμφωνα με τα συνολικά στοιχεία της διαχειριστικής περιόδου, εφόσον:</w:t>
      </w:r>
      <w:r>
        <w:rPr>
          <w:rStyle w:val="Hyperlink"/>
          <w:color w:val="000000"/>
          <w:sz w:val="20"/>
          <w:szCs w:val="20"/>
          <w:u w:val="none" w:color="0000EE"/>
          <w:vertAlign w:val="superscript"/>
          <w:lang w:val="el" w:eastAsia="el"/>
        </w:rPr>
        <w:footnoteReference w:id="288"/>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 φόρο,</w:t>
      </w:r>
      <w:r>
        <w:rPr>
          <w:rStyle w:val="Hyperlink"/>
          <w:color w:val="000000"/>
          <w:sz w:val="20"/>
          <w:szCs w:val="20"/>
          <w:u w:val="none" w:color="0000EE"/>
          <w:vertAlign w:val="superscript"/>
          <w:lang w:val="el" w:eastAsia="el"/>
        </w:rPr>
        <w:footnoteReference w:id="289"/>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ανωτέρω δηλώσεων ΦΠΑ, έγιναν μεταβολές που δεν είχαν ληφθεί υπόψη για τον καθορισμό του ποσού των εκπτώσεων, ιδίως στην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μέχρις αξίας 10 ευρώ και δειγμάτων τα οποία διατίθενται για το σκοπό της επιχείρησης.</w:t>
      </w:r>
      <w:r>
        <w:rPr>
          <w:rStyle w:val="Hyperlink"/>
          <w:color w:val="000000"/>
          <w:sz w:val="20"/>
          <w:szCs w:val="20"/>
          <w:u w:val="none" w:color="0000EE"/>
          <w:vertAlign w:val="superscript"/>
          <w:lang w:val="el" w:eastAsia="el"/>
        </w:rPr>
        <w:footnoteReference w:id="290"/>
      </w:r>
    </w:p>
    <w:p>
      <w:pPr>
        <w:spacing w:before="240" w:after="240"/>
        <w:rPr>
          <w:lang w:val="el" w:eastAsia="el"/>
        </w:rPr>
      </w:pPr>
      <w:r>
        <w:rPr>
          <w:lang w:val="el" w:eastAsia="el"/>
        </w:rPr>
        <w:t>Οι διακανονισμοί που αφορούν εκπτώσεις που διενεργήθηκαν σε μία διαχειριστική περίοδο περιλαμβάνονται σε δήλωση ΦΠΑ που υποβάλλεται το αργότερο μέχρι την τελευταία εργάσιμη ημέρα του τέταρτου μήνα από το τέλος της διαχειριστικής περιόδου. Ειδικά για τα ακίνητα τα οποία έχουν υπαχθεί στο καθεστώς αναστολής της παραγράφου 4α του άρθρου 6, ο εκπεσθείς, πριν την έναρξη της αναστολής φόρος, που προσδιορίζεται σύμφωνα με την παράγραφο 7 του άρθρου 31, διακανονίζεται κατά τον χρόνο της παράδοσης του κάθε ακινήτου. Με απόφαση του Υπουργού Οικονομικών μετά από εισήγηση του Διοικητή της ΑΑΔΕ ρυθμίζεται η διαδικασία, καθώς και κάθε αναγκαία λεπτομέρεια εφαρμογής του προηγούμενου εδαφίου.</w:t>
      </w:r>
      <w:r>
        <w:rPr>
          <w:rStyle w:val="Hyperlink"/>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2.</w:t>
      </w:r>
      <w:r>
        <w:rPr>
          <w:lang w:val="el" w:eastAsia="el"/>
        </w:rPr>
        <w:t xml:space="preserve"> Ειδικά για τα αγαθά επένδυσης, η έκπτωση του φόρου που ενεργήθηκε υπόκειται σε πενταετή διακανονισμό με αφετηρία το έτος χρησιμοποίησης τους. Για τα ακίνητα, η μίσθωση των οποίων υπάγεται στο φόρο, κατόπιν της επιλογής που προβλέπεται στην περίπτωση δ΄ της παραγράφου 2 του άρθρου 8, η έκπτωση του φόρου που ενεργήθηκε υπόκειται σε δεκαετή διακανονισμό με αφετηρία το έτος χρησιμοποίησής τους. Ο διακανονισμός ενεργείται κάθε έτος για το ένα δέκατο του φόρου που επιβάρυνε το αγαθό, ανάλογα με τις μεταβολές του δικαιώματος έκπτωσης. Το ποσό του φόρου που εναπομένει για διακανονισμό κατά το χρόνο άσκησης της επιλογής φορολόγησης, διακανονίζεται με βάση συνολική περίοδο δέκα ετών. Ο διακανονισμός ενεργείται κάθε έτος για το ένα πέμπτο (1/5) του φόρου που επιβάρυνε το αγαθό, ανάλογα με τις μεταβολές του δικαιώματος έκπτωσης. (…)</w:t>
      </w:r>
      <w:r>
        <w:rPr>
          <w:rStyle w:val="Hyperlink"/>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πενταετίας ή δεκαετίας, προκειμένου για ακίνητα της παραγράφου 2, ενεργείται εφάπαξ διακανονισμός μέσα στο ίδιο έτος και τα αγαθά αυτά θεωρούνται, για τα έτη που απομένουν, ότι χρησιμοποιήθηκαν αποκλειστικά και μόνο:</w:t>
      </w:r>
      <w:r>
        <w:rPr>
          <w:rStyle w:val="Hyperlink"/>
          <w:color w:val="000000"/>
          <w:sz w:val="20"/>
          <w:szCs w:val="20"/>
          <w:u w:val="none" w:color="0000EE"/>
          <w:vertAlign w:val="superscript"/>
          <w:lang w:val="el" w:eastAsia="el"/>
        </w:rPr>
        <w:footnoteReference w:id="293"/>
      </w:r>
    </w:p>
    <w:p>
      <w:pPr>
        <w:pStyle w:val="StructureList1"/>
        <w:spacing w:before="120" w:after="0"/>
        <w:rPr>
          <w:lang w:val="el" w:eastAsia="el"/>
        </w:rPr>
      </w:pPr>
      <w:r>
        <w:rPr>
          <w:lang w:val="el" w:eastAsia="el"/>
        </w:rPr>
        <w:t>α)</w:t>
      </w:r>
      <w:r>
        <w:rPr>
          <w:lang w:val="en" w:eastAsia="en"/>
        </w:rPr>
        <w:tab/>
      </w:r>
      <w:r>
        <w:rPr>
          <w:lang w:val="el" w:eastAsia="el"/>
        </w:rPr>
        <w:t>σε φορολογητέες δραστηριότητες, εφόσον πρόκειται:</w:t>
      </w:r>
      <w:r>
        <w:rPr>
          <w:rStyle w:val="Hyperlink"/>
          <w:color w:val="000000"/>
          <w:sz w:val="20"/>
          <w:szCs w:val="20"/>
          <w:u w:val="none" w:color="0000EE"/>
          <w:vertAlign w:val="superscript"/>
          <w:lang w:val="el" w:eastAsia="el"/>
        </w:rPr>
        <w:footnoteReference w:id="294"/>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 φόρο,</w:t>
      </w:r>
      <w:r>
        <w:rPr>
          <w:rStyle w:val="Hyperlink"/>
          <w:color w:val="000000"/>
          <w:sz w:val="20"/>
          <w:szCs w:val="20"/>
          <w:u w:val="none" w:color="0000EE"/>
          <w:vertAlign w:val="superscript"/>
          <w:lang w:val="el" w:eastAsia="el"/>
        </w:rPr>
        <w:footnoteReference w:id="295"/>
      </w:r>
    </w:p>
    <w:p>
      <w:pPr>
        <w:pStyle w:val="StructureList1"/>
        <w:spacing w:before="120" w:after="0"/>
        <w:rPr>
          <w:lang w:val="el" w:eastAsia="el"/>
        </w:rPr>
      </w:pPr>
      <w:r>
        <w:rPr>
          <w:lang w:val="el" w:eastAsia="el"/>
        </w:rPr>
        <w:t>ββ)</w:t>
      </w:r>
      <w:r>
        <w:rPr>
          <w:lang w:val="en" w:eastAsia="en"/>
        </w:rPr>
        <w:tab/>
      </w:r>
      <w:r>
        <w:rPr>
          <w:lang w:val="el" w:eastAsia="el"/>
        </w:rPr>
        <w:t>για καταστροφή, απώλεια ή κλοπή, που αποδεικνύονται ή δικαιολογούνται με νόμιμα παραστατικά,</w:t>
      </w:r>
      <w:r>
        <w:rPr>
          <w:rStyle w:val="Hyperlink"/>
          <w:color w:val="000000"/>
          <w:sz w:val="20"/>
          <w:szCs w:val="20"/>
          <w:u w:val="none" w:color="0000EE"/>
          <w:vertAlign w:val="superscript"/>
          <w:lang w:val="el" w:eastAsia="el"/>
        </w:rPr>
        <w:footnoteReference w:id="296"/>
      </w:r>
    </w:p>
    <w:p>
      <w:pPr>
        <w:pStyle w:val="StructureList1"/>
        <w:spacing w:before="120" w:after="0"/>
        <w:rPr>
          <w:lang w:val="el" w:eastAsia="el"/>
        </w:rPr>
      </w:pPr>
      <w:r>
        <w:rPr>
          <w:lang w:val="el" w:eastAsia="el"/>
        </w:rPr>
        <w:t>γγ)</w:t>
      </w:r>
      <w:r>
        <w:rPr>
          <w:lang w:val="en" w:eastAsia="en"/>
        </w:rPr>
        <w:tab/>
      </w:r>
      <w:r>
        <w:rPr>
          <w:lang w:val="el" w:eastAsia="el"/>
        </w:rPr>
        <w:t>για παράδοση ακινήτων με σύμβαση πώλησης και επαναμίσθωσης (sale and lease back), σύμφωνα με τις διατάξεις της περίπτωσης γ΄ της παρ. 9 του άρθρου 6 του ν. 1665/1986.δδ) για παράδοση έργων σύνδεσης σταθμών αυτοπαραγωγής ή ανεξάρτητης παραγωγής μέχρι το δίκτυο της Δ.Ε.Η. Α.Ε. ή του Δ.Ε.Σ.Μ.Η.Ε. Α.Ε., σύμφωνα με όσα ορίζονται στο ν. 2773/1999 (Α΄ 286) όπως ισχύει.</w:t>
      </w:r>
      <w:r>
        <w:rPr>
          <w:rStyle w:val="Hyperlink"/>
          <w:color w:val="000000"/>
          <w:sz w:val="20"/>
          <w:szCs w:val="20"/>
          <w:u w:val="none" w:color="0000EE"/>
          <w:vertAlign w:val="superscript"/>
          <w:lang w:val="el" w:eastAsia="el"/>
        </w:rPr>
        <w:footnoteReference w:id="297"/>
      </w:r>
    </w:p>
    <w:p>
      <w:pPr>
        <w:pStyle w:val="StructureList1"/>
        <w:spacing w:before="120" w:after="0"/>
        <w:rPr>
          <w:lang w:val="el" w:eastAsia="el"/>
        </w:rPr>
      </w:pPr>
      <w:r>
        <w:rPr>
          <w:lang w:val="el" w:eastAsia="el"/>
        </w:rPr>
        <w:t>δδ)</w:t>
      </w:r>
      <w:r>
        <w:rPr>
          <w:lang w:val="en" w:eastAsia="en"/>
        </w:rPr>
        <w:tab/>
      </w:r>
      <w:r>
        <w:rPr>
          <w:lang w:val="el" w:eastAsia="el"/>
        </w:rPr>
        <w:t>για παράδοση έργων σύνδεσης σταθμών αυτο παραγωγής ή ανεξάρτητης παραγωγής μέχρι το δίκτυο της Δ.Ε.Η. Α.Ε. ή του Δ.Ε.Σ.Μ.Η.Ε. Α.Ε., σύμφωνα με όσα ορίζονται στο ν. 2773/1999 (ΦΕΚ 286 Α') όπως ισχύει.</w:t>
      </w:r>
      <w:r>
        <w:rPr>
          <w:rStyle w:val="Hyperlink"/>
          <w:color w:val="000000"/>
          <w:sz w:val="20"/>
          <w:szCs w:val="20"/>
          <w:u w:val="none" w:color="0000EE"/>
          <w:vertAlign w:val="superscript"/>
          <w:lang w:val="el" w:eastAsia="el"/>
        </w:rPr>
        <w:footnoteReference w:id="298"/>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 Εάν εντός της περιόδου διακανονισμού, σύμφωνα με την παράγραφο 2 του παρόντος άρθρου από την πραγματοποίηση της δαπάνης για απόκτηση ή κατασκευή επενδυτικών αγαθών δεν έχει γίνει έναρξη της χρησιμοποίησης αυτών, θεωρείται ότι διατέθηκαν αποκλειστικά και μόνο σε αφορολόγητες πράξεις και ενεργείται εφάπαξ διακανονισμός με την εκκαθαριστική δήλωση της διαχειριστικής αυτής περιόδου. Εξαιρείται του ανωτέρω περιορισμού της πενταετίας η πραγματοποίηση της δαπάνης, για την απόκτηση ή την κατασκευή επενδυτικών αγαθών από οργανισμούς, επιχειρήσεις και εταιρίες κοινής ωφέλειας.</w:t>
      </w:r>
      <w:r>
        <w:rPr>
          <w:rStyle w:val="Hyperlink"/>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των διατάξεων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 φόρο επιχείρηση σε ακίνητο που δεν ανήκει κατά κυριότητα σε αυτήν, αλλά έχει, βάσει οποιασδήποτε έννομης σχέσης, τη χρήση του ακινήτου αυτού, για χρονικό διάστημα τουλάχιστον εννέα χρόνων. Αν κατά τη διάρκεια του πενταετούς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τις διατάξεις της προηγούμενης παραγράφου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της παρούσας περίπτωσης νοούνται και εκείνα που εκμεταλλεύονται, σύμφωνα με το σκοπό τους. οι εταιρείες του άρθρου 2 του Ν. 1665/1986 (ΦΕΚ 194 Α΄).</w:t>
      </w:r>
    </w:p>
    <w:p>
      <w:pPr>
        <w:spacing w:before="240" w:after="240"/>
        <w:rPr>
          <w:lang w:val="el" w:eastAsia="el"/>
        </w:rPr>
      </w:pPr>
      <w:r>
        <w:rPr>
          <w:lang w:val="el" w:eastAsia="el"/>
        </w:rPr>
        <w:t>Ως αγαθά επένδυσης της παρούσας περίπτωσης νοούνται επίσης και οι δαπάνες που καταβάλλει η επιχείρηση, σύμφωνα με τα οριζόμενα στο ν. 2773/1999, όπως ισχύει, για την κατασκευή μη ιδιόκτητου δικτύου σύνδεσης του σταθμού αυτοπαραγωγής ή ανεξάρτητης παραγωγής μέχρι το δίκτυο της Δ.Ε.Η. Α.Ε. ή του Δ.Ε.Σ.Μ.Η.Ε. Α.Ε.</w:t>
      </w:r>
      <w:r>
        <w:rPr>
          <w:rStyle w:val="Hyperlink"/>
          <w:color w:val="000000"/>
          <w:sz w:val="20"/>
          <w:szCs w:val="20"/>
          <w:u w:val="none" w:color="0000EE"/>
          <w:vertAlign w:val="superscript"/>
          <w:lang w:val="el" w:eastAsia="el"/>
        </w:rPr>
        <w:footnoteReference w:id="300"/>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σχεδίου, ευρεσιτεχνίας, υποδείγματος, εμπορικού ή βιομηχανικού σήματος και άλλων παρόμοιων, εφόσον εξυπηρετούν περισσότερες από μία χρήσεις.</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εκπίπτεται, εφόσον δεν υπερβαίνει το ποσό των 30 ευρώ.</w:t>
      </w:r>
      <w:r>
        <w:rPr>
          <w:rStyle w:val="Hyperlink"/>
          <w:color w:val="000000"/>
          <w:sz w:val="20"/>
          <w:szCs w:val="20"/>
          <w:u w:val="none" w:color="0000EE"/>
          <w:vertAlign w:val="superscript"/>
          <w:lang w:val="el" w:eastAsia="el"/>
        </w:rPr>
        <w:footnoteReference w:id="301"/>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σχετικών με την παραγραφή διατάξεων ο φόρος επιστρέφεται εφόσον:</w:t>
      </w:r>
      <w:r>
        <w:rPr>
          <w:rStyle w:val="Hyperlink"/>
          <w:color w:val="000000"/>
          <w:sz w:val="20"/>
          <w:szCs w:val="20"/>
          <w:u w:val="none" w:color="0000EE"/>
          <w:vertAlign w:val="superscript"/>
          <w:lang w:val="el" w:eastAsia="el"/>
        </w:rPr>
        <w:footnoteReference w:id="302"/>
      </w:r>
    </w:p>
    <w:p>
      <w:pPr>
        <w:pStyle w:val="StructureList1"/>
        <w:spacing w:before="120" w:after="0"/>
        <w:rPr>
          <w:lang w:val="el" w:eastAsia="el"/>
        </w:rPr>
      </w:pPr>
      <w:r>
        <w:rPr>
          <w:lang w:val="el" w:eastAsia="el"/>
        </w:rPr>
        <w:t>α)</w:t>
      </w:r>
      <w:r>
        <w:rPr>
          <w:lang w:val="en" w:eastAsia="en"/>
        </w:rPr>
        <w:tab/>
      </w:r>
      <w:r>
        <w:rPr>
          <w:lang w:val="el" w:eastAsia="el"/>
        </w:rPr>
        <w:t>καταβλήθηκε στο Δημόσιο εξαρχής αχρεώστητα ή</w:t>
      </w:r>
      <w:r>
        <w:rPr>
          <w:rStyle w:val="Hyperlink"/>
          <w:color w:val="000000"/>
          <w:sz w:val="20"/>
          <w:szCs w:val="20"/>
          <w:u w:val="none" w:color="0000EE"/>
          <w:vertAlign w:val="superscript"/>
          <w:lang w:val="el" w:eastAsia="el"/>
        </w:rPr>
        <w:footnoteReference w:id="303"/>
      </w:r>
    </w:p>
    <w:p>
      <w:pPr>
        <w:pStyle w:val="StructureList1"/>
        <w:spacing w:before="120" w:after="0"/>
        <w:rPr>
          <w:lang w:val="el" w:eastAsia="el"/>
        </w:rPr>
      </w:pPr>
      <w:r>
        <w:rPr>
          <w:lang w:val="el" w:eastAsia="el"/>
        </w:rPr>
        <w:t>β)</w:t>
      </w:r>
      <w:r>
        <w:rPr>
          <w:lang w:val="en" w:eastAsia="en"/>
        </w:rPr>
        <w:tab/>
      </w:r>
      <w:r>
        <w:rPr>
          <w:lang w:val="el" w:eastAsia="el"/>
        </w:rPr>
        <w:t>το αχρεώστητο προκύπτει από επιγενόμενο λόγο στις κάτωθι περιπτώσεις:</w:t>
      </w:r>
      <w:r>
        <w:rPr>
          <w:rStyle w:val="Hyperlink"/>
          <w:color w:val="000000"/>
          <w:sz w:val="20"/>
          <w:szCs w:val="20"/>
          <w:u w:val="none" w:color="0000EE"/>
          <w:vertAlign w:val="superscript"/>
          <w:lang w:val="el" w:eastAsia="el"/>
        </w:rPr>
        <w:footnoteReference w:id="304"/>
      </w:r>
    </w:p>
    <w:p>
      <w:pPr>
        <w:pStyle w:val="StructureList1"/>
        <w:spacing w:before="120" w:after="0"/>
        <w:rPr>
          <w:lang w:val="el" w:eastAsia="el"/>
        </w:rPr>
      </w:pPr>
      <w:r>
        <w:rPr>
          <w:lang w:val="el" w:eastAsia="el"/>
        </w:rPr>
        <w:t>i)</w:t>
      </w:r>
      <w:r>
        <w:rPr>
          <w:lang w:val="en" w:eastAsia="en"/>
        </w:rPr>
        <w:tab/>
      </w:r>
      <w:r>
        <w:rPr>
          <w:lang w:val="el" w:eastAsia="el"/>
        </w:rPr>
        <w:t>προκύπτει ως πιστωτικό υπόλοιπο το οποίο δεν μεταφέρεται σε επόμενη περίοδο για έκπτωση ή σε περίπτωση μεταφοράς του η έκπτωση δεν κατέστη δυνατή, ή,</w:t>
      </w:r>
      <w:r>
        <w:rPr>
          <w:rStyle w:val="Hyperlink"/>
          <w:color w:val="000000"/>
          <w:sz w:val="20"/>
          <w:szCs w:val="20"/>
          <w:u w:val="none" w:color="0000EE"/>
          <w:vertAlign w:val="superscript"/>
          <w:lang w:val="el" w:eastAsia="el"/>
        </w:rPr>
        <w:footnoteReference w:id="305"/>
      </w:r>
    </w:p>
    <w:p>
      <w:pPr>
        <w:pStyle w:val="StructureList1"/>
        <w:spacing w:before="120" w:after="0"/>
        <w:rPr>
          <w:lang w:val="el" w:eastAsia="el"/>
        </w:rPr>
      </w:pPr>
      <w:r>
        <w:rPr>
          <w:lang w:val="el" w:eastAsia="el"/>
        </w:rPr>
        <w:t>ii)</w:t>
      </w:r>
      <w:r>
        <w:rPr>
          <w:lang w:val="en" w:eastAsia="en"/>
        </w:rPr>
        <w:tab/>
      </w:r>
      <w:r>
        <w:rPr>
          <w:lang w:val="el" w:eastAsia="el"/>
        </w:rPr>
        <w:t>αφορά πράξεις, που προβλέπουν οι διατάξεις της παραγράφου 2 του άρθρου 30, καθώς και πράξεις για τις οποίες με αποφάσεις του Υπουργού Οικονομικών προβλέπεται αναστολή καταβολής του φόρου ή οφείλεται σε διαφορά συντελεστών εκροών- εισροών ή</w:t>
      </w:r>
      <w:r>
        <w:rPr>
          <w:rStyle w:val="Hyperlink"/>
          <w:color w:val="000000"/>
          <w:sz w:val="20"/>
          <w:szCs w:val="20"/>
          <w:u w:val="none" w:color="0000EE"/>
          <w:vertAlign w:val="superscript"/>
          <w:lang w:val="el" w:eastAsia="el"/>
        </w:rPr>
        <w:footnoteReference w:id="306"/>
      </w:r>
    </w:p>
    <w:p>
      <w:pPr>
        <w:pStyle w:val="StructureList1"/>
        <w:spacing w:before="120" w:after="0"/>
        <w:rPr>
          <w:lang w:val="el" w:eastAsia="el"/>
        </w:rPr>
      </w:pPr>
      <w:r>
        <w:rPr>
          <w:lang w:val="el" w:eastAsia="el"/>
        </w:rPr>
        <w:t>iii)</w:t>
      </w:r>
      <w:r>
        <w:rPr>
          <w:lang w:val="en" w:eastAsia="en"/>
        </w:rPr>
        <w:tab/>
      </w:r>
      <w:r>
        <w:rPr>
          <w:lang w:val="el" w:eastAsia="el"/>
        </w:rPr>
        <w:t>αφορά αγαθά επένδυσης, που προβλέπουν οι διατάξεις της παραγράφου 4 του άρθρου 33.</w:t>
      </w:r>
      <w:r>
        <w:rPr>
          <w:rStyle w:val="Hyperlink"/>
          <w:color w:val="000000"/>
          <w:sz w:val="20"/>
          <w:szCs w:val="20"/>
          <w:u w:val="none" w:color="0000EE"/>
          <w:vertAlign w:val="superscript"/>
          <w:lang w:val="el" w:eastAsia="el"/>
        </w:rPr>
        <w:footnoteReference w:id="307"/>
      </w:r>
    </w:p>
    <w:p>
      <w:pPr>
        <w:spacing w:before="240" w:after="240"/>
        <w:rPr>
          <w:lang w:val="el" w:eastAsia="el"/>
        </w:rPr>
      </w:pPr>
      <w:r>
        <w:rPr>
          <w:lang w:val="el" w:eastAsia="el"/>
        </w:rPr>
        <w:t>Με αποφάσεις του Υπουργού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τις ίδιες αποφάσεις ρυθμίζεται κάθε αναγκαία λεπτομέρεια για την άσκηση του δικαιώματος αυτού.</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 φόρο, ο οποίος είναι εγκαταστημένος σε άλλη χώρα της Ευρωπαϊκής Κοινότητας, ο φόρος που επιβάρυνε τα κινητά αγαθά και τις υπηρεσίες που του προσφέρθηκαν από άλλους υποκείμενους στο φόρο ή την εισαγωγή αγαθών στο εσωτερικό της χώρας, κατά το μέρος που τα αγαθά αυτά και οι υπηρεσίες χρησιμοποιήθηκαν:</w:t>
      </w:r>
    </w:p>
    <w:p>
      <w:pPr>
        <w:pStyle w:val="StructureList1"/>
        <w:spacing w:before="120" w:after="0"/>
        <w:rPr>
          <w:lang w:val="el" w:eastAsia="el"/>
        </w:rPr>
      </w:pPr>
      <w:r>
        <w:rPr>
          <w:lang w:val="el" w:eastAsia="el"/>
        </w:rPr>
        <w:t>α)</w:t>
      </w:r>
      <w:r>
        <w:rPr>
          <w:lang w:val="en" w:eastAsia="en"/>
        </w:rPr>
        <w:tab/>
      </w:r>
      <w:r>
        <w:rPr>
          <w:lang w:val="el" w:eastAsia="el"/>
        </w:rPr>
        <w:t>για φορολογητέες πράξεις, ο τόπος φορολογίας των οποίων βρίσκεται στο εξωτερικό και για τις οποίες θα είχε δικαίωμα έκπτωσης του φόρου, αν αυτές ενεργούνταν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τις ακόλουθες απαλλασσόμενες από το φόρο υπηρεσίες μεταφοράς και τις στενά συνδεόμενες με αυτές βοηθητικές εργασίες που ενεργούνται στην Ελλάδα:</w:t>
      </w:r>
    </w:p>
    <w:p>
      <w:pPr>
        <w:pStyle w:val="StructureList1"/>
        <w:spacing w:before="120" w:after="0"/>
        <w:rPr>
          <w:lang w:val="el" w:eastAsia="el"/>
        </w:rPr>
      </w:pPr>
      <w:r>
        <w:rPr>
          <w:lang w:val="el" w:eastAsia="el"/>
        </w:rPr>
        <w:t>αα)</w:t>
      </w:r>
      <w:r>
        <w:rPr>
          <w:lang w:val="en" w:eastAsia="en"/>
        </w:rPr>
        <w:tab/>
      </w:r>
      <w:r>
        <w:rPr>
          <w:lang w:val="el" w:eastAsia="el"/>
        </w:rPr>
        <w:t>διεθνείς αεροπορικές και θαλάσσιες μεταφορές προσώπων.</w:t>
      </w:r>
    </w:p>
    <w:p>
      <w:pPr>
        <w:pStyle w:val="StructureList1"/>
        <w:spacing w:before="120" w:after="0"/>
        <w:rPr>
          <w:lang w:val="el" w:eastAsia="el"/>
        </w:rPr>
      </w:pPr>
      <w:r>
        <w:rPr>
          <w:lang w:val="el" w:eastAsia="el"/>
        </w:rPr>
        <w:t>ββ)</w:t>
      </w:r>
      <w:r>
        <w:rPr>
          <w:lang w:val="en" w:eastAsia="en"/>
        </w:rPr>
        <w:tab/>
      </w:r>
      <w:r>
        <w:rPr>
          <w:lang w:val="el" w:eastAsia="el"/>
        </w:rPr>
        <w:t>μεταφορές αγαθών προοριζόμενων για εξαγωγή,</w:t>
      </w:r>
    </w:p>
    <w:p>
      <w:pPr>
        <w:pStyle w:val="StructureList1"/>
        <w:spacing w:before="120" w:after="0"/>
        <w:rPr>
          <w:lang w:val="el" w:eastAsia="el"/>
        </w:rPr>
      </w:pPr>
      <w:r>
        <w:rPr>
          <w:lang w:val="el" w:eastAsia="el"/>
        </w:rPr>
        <w:t>γγ)</w:t>
      </w:r>
      <w:r>
        <w:rPr>
          <w:lang w:val="en" w:eastAsia="en"/>
        </w:rPr>
        <w:tab/>
      </w:r>
      <w:r>
        <w:rPr>
          <w:lang w:val="el" w:eastAsia="el"/>
        </w:rPr>
        <w:t>μεταφορές αγαθών που τίθενται σε ειδικά καθεστώτα προσωρινής απαλλαγής,</w:t>
      </w:r>
    </w:p>
    <w:p>
      <w:pPr>
        <w:pStyle w:val="StructureList1"/>
        <w:spacing w:before="120" w:after="0"/>
        <w:rPr>
          <w:lang w:val="el" w:eastAsia="el"/>
        </w:rPr>
      </w:pPr>
      <w:r>
        <w:rPr>
          <w:lang w:val="el" w:eastAsia="el"/>
        </w:rPr>
        <w:t>δδ)</w:t>
      </w:r>
      <w:r>
        <w:rPr>
          <w:lang w:val="en" w:eastAsia="en"/>
        </w:rPr>
        <w:tab/>
      </w:r>
      <w:r>
        <w:rPr>
          <w:lang w:val="el" w:eastAsia="el"/>
        </w:rPr>
        <w:t>μεταφορές εισαγόμενων αγαθών, μέχρι τον πρώτο τόπο προορισμού στο εσωτερικό της χώρας, εφόσον η αξία των υπηρεσιών αυτών συμπεριλαμβάνεται στη φορολογητέα βάση κατά την εισαγωγή,</w:t>
      </w:r>
    </w:p>
    <w:p>
      <w:pPr>
        <w:pStyle w:val="StructureList1"/>
        <w:spacing w:before="120" w:after="0"/>
        <w:rPr>
          <w:lang w:val="el" w:eastAsia="el"/>
        </w:rPr>
      </w:pPr>
      <w:r>
        <w:rPr>
          <w:lang w:val="el" w:eastAsia="el"/>
        </w:rPr>
        <w:t>γ)</w:t>
      </w:r>
      <w:r>
        <w:rPr>
          <w:lang w:val="en" w:eastAsia="en"/>
        </w:rPr>
        <w:tab/>
      </w:r>
      <w:r>
        <w:rPr>
          <w:lang w:val="el" w:eastAsia="el"/>
        </w:rPr>
        <w:t>για τις φορολογητέες πράξεις της παραγράφου 3 του άρθρου 14. Για την εφαρμογή των διατάξεων της παραγράφου αυτής δεν θεωρείται ότι αποκτά εγκατάσταση στο εσωτερικό της χώρας ο υποκείμενος στο φόρο που είναι εγκαταστημένος σε άλλο κράτος - μέλος, ο οποίος πραγματοποιεί στο εσωτερικό της χώρας παραδόσεις αγαθών ή παροχές υπηρεσιών για τις οποίες υπόχρεος στο φόρο είναι ο παραλήπτης των αγαθών ή ο λήπτης των υπηρεσιών, σύμφωνα με τις διατάξεις της περίπτωσης γ της παραγράφου 1 του άρθρου 35 και της περίπτωσης ε΄ της παραγράφου 4 του άρθρου 36.</w:t>
      </w:r>
      <w:r>
        <w:rPr>
          <w:rStyle w:val="Hyperlink"/>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3.</w:t>
      </w:r>
      <w:r>
        <w:rPr>
          <w:lang w:val="el" w:eastAsia="el"/>
        </w:rPr>
        <w:t xml:space="preserve"> Η επιστροφή του φόρου της προηγούμενης παραγράφου ενεργείται, εφόσον ο υποκείμενος στο φόρο δεν έχει στην Ελλάδα την έδρα της οικονομικής του δραστηριότητας ή τη μόνιμη εγκατάσταση από την οποία να ασκείται η δραστηριότητα αυτή ή, ελλείψει αυτών, την κατοικία ή διαμονή του και δεν πραγματοποίησε στο εσωτερικό της χώρας, κατά τη διάρκεια της περιόδου που ορίζεται στην επόμενη παράγραφο, άλλες πράξεις εκτός από αυτές των περιπτώσεων β΄ και γ΄ της προηγούμενης παραγράφου.</w:t>
      </w:r>
    </w:p>
    <w:p>
      <w:pPr>
        <w:spacing w:before="240" w:after="240"/>
        <w:rPr>
          <w:lang w:val="el" w:eastAsia="el"/>
        </w:rPr>
      </w:pPr>
      <w:r>
        <w:rPr>
          <w:lang w:val="el" w:eastAsia="el"/>
        </w:rPr>
        <w:t>Δεν ενεργείται επιστροφή του φόρου με τον οποίο επιβαρύνονται οι παραδόσεις αγαθών που πραγματοποιούνται στο εσωτερικό της χώρας, οι οποίες υπάγονται στην απαλλαγή που προβλέπεται από τις διατάξεις της περίπτωσης α της παραγράφου 1 του άρθρου 28.</w:t>
      </w:r>
    </w:p>
    <w:p>
      <w:pPr>
        <w:pStyle w:val="MainText"/>
        <w:spacing w:before="120" w:after="0"/>
        <w:rPr>
          <w:lang w:val="el" w:eastAsia="el"/>
        </w:rPr>
      </w:pPr>
      <w:r>
        <w:rPr>
          <w:b/>
          <w:bCs/>
          <w:lang w:val="el" w:eastAsia="el"/>
        </w:rPr>
        <w:t>4.</w:t>
      </w:r>
      <w:r>
        <w:rPr>
          <w:lang w:val="el" w:eastAsia="el"/>
        </w:rPr>
        <w:t xml:space="preserve"> Η επιστροφή του φόρου που προβλέπεται από τις διατάξεις της παραγράφου 2 δεν μπορεί να αφορά περίοδο μικρότερη από 3 (τρεις) μήνες ή μεγαλύτερη από 1 (ένα) έτος και ενεργείται από την αρμόδια φορολογική αρχή μέσα σε έξι (6) μήνες από την ημερομηνία υποβολής της σχετικής αίτησης. </w:t>
      </w:r>
    </w:p>
    <w:p>
      <w:pPr>
        <w:pStyle w:val="MainText"/>
        <w:spacing w:before="120" w:after="0"/>
        <w:rPr>
          <w:lang w:val="el" w:eastAsia="el"/>
        </w:rPr>
      </w:pPr>
      <w:r>
        <w:rPr>
          <w:b/>
          <w:bCs/>
          <w:lang w:val="el" w:eastAsia="el"/>
        </w:rPr>
        <w:t>5.</w:t>
      </w:r>
      <w:r>
        <w:rPr>
          <w:lang w:val="el" w:eastAsia="el"/>
        </w:rPr>
        <w:t xml:space="preserve"> Η επιστροφή του φόρου που προβλέπεται από τις διατάξεις της παραγράφου 2 γίνεται κατόπιν υποβολής αίτησης και δεν μπορεί να αφορά περίοδο μικρότερη των τριών μηνών ή μεγαλύτερη ενός ημερολογιακού έτους εκτός της περίπτωσης που η περίοδος αυτή αφορά το υπόλοιπο ενός ημερολογιακού έτους.</w:t>
      </w:r>
      <w:r>
        <w:rPr>
          <w:rStyle w:val="Hyperlink"/>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6.</w:t>
      </w:r>
      <w:r>
        <w:rPr>
          <w:lang w:val="el" w:eastAsia="el"/>
        </w:rPr>
        <w:t xml:space="preserve"> Οι εγκατεστημένοι σε άλλο κράτος - μέλος υποκείμενοι στον φόρο υποβάλλουν την αίτηση επιστροφής με χρήση ηλεκτρονικών μέσων στο κράτος - μέλος εγκατάστασης τους και την απευθύνουν στην Ελλάδα στην οποία επιβαρύνθηκαν με φόρο προστιθέμενης αξίας.</w:t>
      </w:r>
      <w:r>
        <w:rPr>
          <w:rStyle w:val="Hyperlink"/>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7.</w:t>
      </w:r>
      <w:r>
        <w:rPr>
          <w:lang w:val="el" w:eastAsia="el"/>
        </w:rPr>
        <w:t xml:space="preserve"> Οι υποκείμενοι στον φόρο που είναι εγκατεστημένοι στην Ελλάδα έχουν δικαίωμα επιστροφής από άλλο κράτος - μέλος, κατά ανάλογο τρόπο των διατάξεων των παραγράφων 2, 3, 4 και 5 του άρθρου αυτού, υποβάλλοντας τη σχετική αίτηση επιστροφής με χρήση ηλεκτρονικών μέσων στην αρμόδια αρχή της χώρας μας και η οποία απευθύνεται στο κράτος - μέλος στο οποίο επιβαρύνθηκαν με φόρο προστιθέμενης αξίας.</w:t>
      </w:r>
      <w:r>
        <w:rPr>
          <w:rStyle w:val="Hyperlink"/>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8.</w:t>
      </w:r>
      <w:r>
        <w:rPr>
          <w:lang w:val="el" w:eastAsia="el"/>
        </w:rPr>
        <w:t xml:space="preserve"> Οι διατάξεις των παραγράφων 2, 3, 4 και 5 εφαρμόζονται και για υποκείμενο στον φόρο που είναι εγκατεστημένος εκτός Κοινότητας, με τον όρο ότι το κράτος της εγκατάστασης του παρέχει στον υποκείμενο στον φόρο που είναι εγκατεστημένος στην Ελλάδα αντίστοιχο δικαίωμα επιστροφής του φόρου προστιθέμενης αξίας ή άλλου γενικού φόρου κατανάλωσης που ισχύει στο κράτος αυτό. Η αίτηση επιστροφής στην περίπτωση αυτή υποβάλλεται στην αρμόδια αρχή της χώρας μας.</w:t>
      </w:r>
      <w:r>
        <w:rPr>
          <w:rStyle w:val="Hyperlink"/>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9.</w:t>
      </w:r>
      <w:r>
        <w:rPr>
          <w:lang w:val="el" w:eastAsia="el"/>
        </w:rPr>
        <w:t xml:space="preserve"> Για την εφαρμογή των παραγράφων 2 και 8, τα δικαιούχα πρόσωπα δεν θεωρείται ότι αποκτούν εγκατάσταση στο εσωτερικό της χώρας, όταν πραγματοποιούν στο εσωτερικό της χώρας παραδόσεις αγαθών ή παροχές υπηρεσιών για τις οποίες υπόχρεος στον φόρο είναι ο παραλήπτης των αγαθών ή ο λήπτης των υπηρεσιών, σύμφωνα με τις διατάξεις των περιπτώσεων ε`, στ` και η` της παραγράφου 1 του άρθρου 35.</w:t>
      </w:r>
      <w:r>
        <w:rPr>
          <w:rStyle w:val="Hyperlink"/>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10.</w:t>
      </w:r>
      <w:r>
        <w:rPr>
          <w:lang w:val="el" w:eastAsia="el"/>
        </w:rPr>
        <w:t xml:space="preserve"> Επίσης επιστρέφεται στο μη υποκείμενο στον φόρο νομικό πρόσωπο εγκατεστημένο σε άλλο κράτος - μέλος ο φόρος που καταβλήθηκε κατά την εισαγωγή αγαθών, των οποίων ο τελικός προορισμός είναι το κράτος - μέλος της εγκατάστασης του, εφόσον αποδεικνύει ότι καταβλήθηκε ο φόρος που αναλογεί για την ενδοκοινοτική απόκτηση στο κράτος - μέλος άφιξης της αποστολής ή της μεταφοράς των αγαθών αυτών.</w:t>
      </w:r>
      <w:r>
        <w:rPr>
          <w:rStyle w:val="Hyperlink"/>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11.</w:t>
      </w:r>
      <w:r>
        <w:rPr>
          <w:lang w:val="el" w:eastAsia="el"/>
        </w:rPr>
        <w:t xml:space="preserve"> (…)</w:t>
      </w:r>
      <w:r>
        <w:rPr>
          <w:rStyle w:val="Hyperlink"/>
          <w:color w:val="000000"/>
          <w:sz w:val="20"/>
          <w:szCs w:val="20"/>
          <w:u w:val="none" w:color="0000EE"/>
          <w:vertAlign w:val="superscript"/>
          <w:lang w:val="el" w:eastAsia="el"/>
        </w:rPr>
        <w:footnoteReference w:id="315"/>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 xml:space="preserve">ΥΠΟΧΡΕΟΙ ΣΤΟ ΦΟΡΟ ΚΑΙ ΥΠΟΧΡΕΩΣΕΙΣ ΤΟΥΣ </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Υπόχρεοι στο φόρο</w:t>
      </w:r>
      <w:r>
        <w:rPr>
          <w:rStyle w:val="Hyperlink"/>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w:t>
      </w:r>
    </w:p>
    <w:p>
      <w:pPr>
        <w:spacing w:before="240" w:after="240"/>
        <w:rPr>
          <w:lang w:val="el" w:eastAsia="el"/>
        </w:rPr>
      </w:pPr>
      <w:r>
        <w:rPr>
          <w:lang w:val="el" w:eastAsia="el"/>
        </w:rPr>
        <w:t>παροχή υπηρεσιών, υπόχρεοι στο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εγκατεστημένος στο εσωτερικό της χώρας υποκείμενος στον φόρο, για τις ενεργούμενες από αυτόν πράξεις, για τις οποίες ο τόπος φορολογίας βρίσκεται στο εσωτερικό της χώρας. Ειδικά, για την παράδοση του παραγγελέα προς τον παραγγελιοδόχο, στην περίπτωση παραγγελιοδοχικών πωλήσεων, σύμφωνα με τις διατάξεις της παραγράφου 2 του άρθρου 5, αγροτικών προϊόντων για λογαριασμό αγροτών φυσικών προσώπων, για τις οποίες η εκκαθάριση εκδίδεται πέραν του μηνός κατ εφαρμογή της φορολογικής νομοθεσίας, υπόχρεος για την καταβολή του φόρου είναι ο παραγγελιοδόχος,</w:t>
      </w:r>
      <w:r>
        <w:rPr>
          <w:rStyle w:val="Hyperlink"/>
          <w:color w:val="000000"/>
          <w:sz w:val="20"/>
          <w:szCs w:val="20"/>
          <w:u w:val="none" w:color="0000EE"/>
          <w:vertAlign w:val="superscript"/>
          <w:lang w:val="el" w:eastAsia="el"/>
        </w:rPr>
        <w:footnoteReference w:id="317"/>
      </w:r>
    </w:p>
    <w:p>
      <w:pPr>
        <w:pStyle w:val="StructureList1"/>
        <w:spacing w:before="120" w:after="0"/>
        <w:rPr>
          <w:lang w:val="el" w:eastAsia="el"/>
        </w:rPr>
      </w:pPr>
      <w:r>
        <w:rPr>
          <w:lang w:val="el" w:eastAsia="el"/>
        </w:rPr>
        <w:t>β)</w:t>
      </w:r>
      <w:r>
        <w:rPr>
          <w:lang w:val="en" w:eastAsia="en"/>
        </w:rPr>
        <w:tab/>
      </w:r>
      <w:r>
        <w:rPr>
          <w:lang w:val="el" w:eastAsia="el"/>
        </w:rPr>
        <w:t>ο εγκαταστημένος στο εσωτερικό άλλου κράτους μέλους υποκείμενος στο φόρο, για τις ενεργούμενες από αυτόν πράξεις, εκτός των πράξεων που αναφέρονται στην κατωτέρω περίπτωση δ΄, υποπεριπτώσεις αα’, ββ’ και γγ’,</w:t>
      </w:r>
      <w:r>
        <w:rPr>
          <w:rStyle w:val="Hyperlink"/>
          <w:color w:val="000000"/>
          <w:sz w:val="20"/>
          <w:szCs w:val="20"/>
          <w:u w:val="none" w:color="0000EE"/>
          <w:vertAlign w:val="superscript"/>
          <w:lang w:val="el" w:eastAsia="el"/>
        </w:rPr>
        <w:footnoteReference w:id="318"/>
      </w:r>
    </w:p>
    <w:p>
      <w:pPr>
        <w:pStyle w:val="StructureList1"/>
        <w:spacing w:before="120" w:after="0"/>
        <w:rPr>
          <w:lang w:val="el" w:eastAsia="el"/>
        </w:rPr>
      </w:pPr>
      <w:r>
        <w:rPr>
          <w:lang w:val="el" w:eastAsia="el"/>
        </w:rPr>
        <w:t>γ)</w:t>
      </w:r>
      <w:r>
        <w:rPr>
          <w:lang w:val="en" w:eastAsia="en"/>
        </w:rPr>
        <w:tab/>
      </w:r>
      <w:r>
        <w:rPr>
          <w:lang w:val="el" w:eastAsia="el"/>
        </w:rPr>
        <w:t>Ο φορολογικός αντιπρόσωπος του εγκατεστημένου εκτός Ελλάδος και υποκείμενου στο φόρο, για τις πραγματοποιούμενες από αυτόν πράξεις, εκτός των πράξεων που αναφέρονται στις κατωτέρω υποπεριπτώσεις αα`, ββ` και γγ` της περίπτωσης δ’,</w:t>
      </w:r>
      <w:r>
        <w:rPr>
          <w:rStyle w:val="Hyperlink"/>
          <w:color w:val="000000"/>
          <w:sz w:val="20"/>
          <w:szCs w:val="20"/>
          <w:u w:val="none" w:color="0000EE"/>
          <w:vertAlign w:val="superscript"/>
          <w:lang w:val="el" w:eastAsia="el"/>
        </w:rPr>
        <w:footnoteReference w:id="319"/>
      </w:r>
    </w:p>
    <w:p>
      <w:pPr>
        <w:pStyle w:val="StructureList1"/>
        <w:spacing w:before="120" w:after="0"/>
        <w:rPr>
          <w:lang w:val="el" w:eastAsia="el"/>
        </w:rPr>
      </w:pPr>
      <w:r>
        <w:rPr>
          <w:lang w:val="el" w:eastAsia="el"/>
        </w:rPr>
        <w:t>δ)</w:t>
      </w:r>
      <w:r>
        <w:rPr>
          <w:lang w:val="en" w:eastAsia="en"/>
        </w:rPr>
        <w:tab/>
      </w:r>
      <w:r>
        <w:rPr>
          <w:lang w:val="el" w:eastAsia="el"/>
        </w:rPr>
        <w:t>ο λήπτης των αγαθών και υπηρεσιών, εφόσον είναι υποκείμενος στο φόρο, στις κατωτέρω περιπτώσεις φορολογητέων πράξεων:</w:t>
      </w:r>
      <w:r>
        <w:rPr>
          <w:rStyle w:val="Hyperlink"/>
          <w:color w:val="000000"/>
          <w:sz w:val="20"/>
          <w:szCs w:val="20"/>
          <w:u w:val="none" w:color="0000EE"/>
          <w:vertAlign w:val="superscript"/>
          <w:lang w:val="el" w:eastAsia="el"/>
        </w:rPr>
        <w:footnoteReference w:id="320"/>
      </w:r>
    </w:p>
    <w:p>
      <w:pPr>
        <w:pStyle w:val="StructureList1"/>
        <w:spacing w:before="120" w:after="0"/>
        <w:rPr>
          <w:lang w:val="el" w:eastAsia="el"/>
        </w:rPr>
      </w:pPr>
      <w:r>
        <w:rPr>
          <w:lang w:val="el" w:eastAsia="el"/>
        </w:rPr>
        <w:t>αα)</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15, και στο τιμολόγιο ή άλλο ισοδύναμο με αυτό στοιχείο που εκδίδεται, γίνεται ρητή αναφορά ότι πρόκειται για παράδοση αγαθών που πραγματοποιείται μετά από ενδοκοινοτική απόκτηση κατά την έννοια των διατάξεων της παραγράφου 3 του άρθρου 15 και αναγράφεται τόσο ο αριθμός φορολογικού μητρώου, με τον οποίο ο υποκείμενος αυτός πραγματοποίησε την ενδοκοινοτική απόκτηση και τη μετέπειτα παράδοση αγαθών, όσο και ο αριθμός φορολογικού μητρώου του παραλήπτη, ο οποίος καθίσταται υπόχρεος για την καταβολή του φόρου της παράδοσης αυτής,</w:t>
      </w:r>
      <w:r>
        <w:rPr>
          <w:rStyle w:val="Hyperlink"/>
          <w:color w:val="000000"/>
          <w:sz w:val="20"/>
          <w:szCs w:val="20"/>
          <w:u w:val="none" w:color="0000EE"/>
          <w:vertAlign w:val="superscript"/>
          <w:lang w:val="el" w:eastAsia="el"/>
        </w:rPr>
        <w:footnoteReference w:id="321"/>
      </w:r>
    </w:p>
    <w:p>
      <w:pPr>
        <w:pStyle w:val="StructureList1"/>
        <w:spacing w:before="120" w:after="0"/>
        <w:rPr>
          <w:lang w:val="el" w:eastAsia="el"/>
        </w:rPr>
      </w:pPr>
      <w:r>
        <w:rPr>
          <w:lang w:val="el" w:eastAsia="el"/>
        </w:rPr>
        <w:t>ββ)</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13,</w:t>
      </w:r>
      <w:r>
        <w:rPr>
          <w:rStyle w:val="Hyperlink"/>
          <w:color w:val="000000"/>
          <w:sz w:val="20"/>
          <w:szCs w:val="20"/>
          <w:u w:val="none" w:color="0000EE"/>
          <w:vertAlign w:val="superscript"/>
          <w:lang w:val="el" w:eastAsia="el"/>
        </w:rPr>
        <w:footnoteReference w:id="322"/>
      </w:r>
    </w:p>
    <w:p>
      <w:pPr>
        <w:pStyle w:val="StructureList1"/>
        <w:spacing w:before="120" w:after="0"/>
        <w:rPr>
          <w:lang w:val="el" w:eastAsia="el"/>
        </w:rPr>
      </w:pPr>
      <w:r>
        <w:rPr>
          <w:lang w:val="el" w:eastAsia="el"/>
        </w:rPr>
        <w:t>γγ)</w:t>
      </w:r>
      <w:r>
        <w:rPr>
          <w:lang w:val="en" w:eastAsia="en"/>
        </w:rPr>
        <w:tab/>
      </w:r>
      <w:r>
        <w:rPr>
          <w:lang w:val="el" w:eastAsia="el"/>
        </w:rPr>
        <w:t>παροχή υπηρεσιών των παραγράφων 2, περίπτωση γ`, 3 και 4 του άρθρου 14,</w:t>
      </w:r>
      <w:r>
        <w:rPr>
          <w:rStyle w:val="Hyperlink"/>
          <w:color w:val="000000"/>
          <w:sz w:val="20"/>
          <w:szCs w:val="20"/>
          <w:u w:val="none" w:color="0000EE"/>
          <w:vertAlign w:val="superscript"/>
          <w:lang w:val="el" w:eastAsia="el"/>
        </w:rPr>
        <w:footnoteReference w:id="323"/>
      </w:r>
    </w:p>
    <w:p>
      <w:pPr>
        <w:pStyle w:val="StructureList1"/>
        <w:spacing w:before="120" w:after="0"/>
        <w:rPr>
          <w:lang w:val="el" w:eastAsia="el"/>
        </w:rPr>
      </w:pPr>
      <w:r>
        <w:rPr>
          <w:lang w:val="el" w:eastAsia="el"/>
        </w:rPr>
        <w:t>δδ)</w:t>
      </w:r>
      <w:r>
        <w:rPr>
          <w:lang w:val="en" w:eastAsia="en"/>
        </w:rPr>
        <w:tab/>
      </w:r>
      <w:r>
        <w:rPr>
          <w:lang w:val="el" w:eastAsia="el"/>
        </w:rPr>
        <w:t>σε κάθε περίπτωση που δεν υπάρχει φορολογικός αντιπρόσωπος,</w:t>
      </w:r>
      <w:r>
        <w:rPr>
          <w:rStyle w:val="Hyperlink"/>
          <w:color w:val="000000"/>
          <w:sz w:val="20"/>
          <w:szCs w:val="20"/>
          <w:u w:val="none" w:color="0000EE"/>
          <w:vertAlign w:val="superscript"/>
          <w:lang w:val="el" w:eastAsia="el"/>
        </w:rPr>
        <w:footnoteReference w:id="324"/>
      </w:r>
    </w:p>
    <w:p>
      <w:pPr>
        <w:pStyle w:val="StructureList1"/>
        <w:spacing w:before="120" w:after="0"/>
        <w:rPr>
          <w:lang w:val="el" w:eastAsia="el"/>
        </w:rPr>
      </w:pPr>
      <w:r>
        <w:rPr>
          <w:lang w:val="el" w:eastAsia="el"/>
        </w:rPr>
        <w:t>εε)</w:t>
      </w:r>
      <w:r>
        <w:rPr>
          <w:lang w:val="en" w:eastAsia="en"/>
        </w:rPr>
        <w:tab/>
      </w:r>
      <w:r>
        <w:rPr>
          <w:lang w:val="el" w:eastAsia="el"/>
        </w:rPr>
        <w:t>Παράδοση αγαθών που πραγματοποιείται κατά την έννοια των διατάξεων του άρθρου 39</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325"/>
      </w:r>
    </w:p>
    <w:p>
      <w:pPr>
        <w:pStyle w:val="StructureList1"/>
        <w:spacing w:before="120" w:after="0"/>
        <w:rPr>
          <w:lang w:val="el" w:eastAsia="el"/>
        </w:rPr>
      </w:pPr>
      <w:r>
        <w:rPr>
          <w:lang w:val="el" w:eastAsia="el"/>
        </w:rPr>
        <w:t>ε)</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326"/>
      </w:r>
    </w:p>
    <w:p>
      <w:pPr>
        <w:pStyle w:val="StructureList1"/>
        <w:spacing w:before="120" w:after="0"/>
        <w:rPr>
          <w:lang w:val="el" w:eastAsia="el"/>
        </w:rPr>
      </w:pPr>
      <w:r>
        <w:rPr>
          <w:lang w:val="el" w:eastAsia="el"/>
        </w:rPr>
        <w:t>στ)</w:t>
      </w:r>
      <w:r>
        <w:rPr>
          <w:lang w:val="en" w:eastAsia="en"/>
        </w:rPr>
        <w:tab/>
      </w:r>
      <w:r>
        <w:rPr>
          <w:lang w:val="el" w:eastAsia="el"/>
        </w:rPr>
        <w:t>οποιοδήποτε άλλο πρόσωπο, το οποίο αναγράφει το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327"/>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328"/>
      </w:r>
    </w:p>
    <w:p>
      <w:pPr>
        <w:pStyle w:val="StructureList1"/>
        <w:spacing w:before="120" w:after="0"/>
        <w:rPr>
          <w:lang w:val="el" w:eastAsia="el"/>
        </w:rPr>
      </w:pPr>
      <w:r>
        <w:rPr>
          <w:lang w:val="el" w:eastAsia="el"/>
        </w:rPr>
        <w:t>η)</w:t>
      </w:r>
      <w:r>
        <w:rPr>
          <w:lang w:val="en" w:eastAsia="en"/>
        </w:rPr>
        <w:tab/>
      </w:r>
      <w:r>
        <w:rPr>
          <w:lang w:val="el" w:eastAsia="el"/>
        </w:rPr>
        <w:t>ο εγκατεστημένος στο εσωτερικό της χώρας λήπτης αγαθών και υπηρεσιών σε κάθε άλλη περίπτωση, εφόσον είναι υποκείμενος στον φόρο και οι πράξεις πραγματοποιούνται από μη εγκατεστημένο στο εσω</w:t>
      </w:r>
      <w:r>
        <w:rPr>
          <w:lang w:val="el" w:eastAsia="el"/>
        </w:rPr>
        <w:softHyphen/>
        <w:t>τερικό της χώρας υποκείμενο στον φόρο, ο οποίος δεν διαθέτει ΑΦΜ/ΦΠΑ στο εσωτερικό της χώρας. Κατ' εξαίρεση του προηγούμενου εδαφίου, υπόχρεος στο φόρο είναι ο λήπτης των αγαθών υποκείμενος στο φόρο, που διαθέτει ΑΦΜ/Φ.Π.Α., στο εσωτερικό της χώρας ανεξαρτήτως του τόπου εγκατάστασής του, στην περίπτωση που ο προμηθευτής των αγαθών δεν είναι εγκατεστημένος στη χώρα και έχει λάβει άδεια ο ίδιος ή επιχείρηση που ανήκει στον ίδιο όμιλο για αναστολή καταβολής του φόρου κατά την εισαγωγή αγαθών στην Ελλάδα, σύμφωνα με την περίπτωση α' της παρ. 4 του άρθρου 29 του ν. 2960/2001 (Α' 265). Για την εφαρμογή του προηγούμενου εδαφίου, καθώς και της παρ. 4α του άρθρου 29 του ν. 2960/2001, δεν ισχύει η υποχρέωση που προβλέπεται στην περίπτωση δ΄ της παραγράφου 4 του άρθρου 36. Με αποφάσεις του Υπουργού Οικονομικών χορηγείται έγκριση στα πρόσωπα που εμπίπτουν στις διατάξεις των δύο προηγούμενων εδαφίων και καθορίζεται ο τρόπος, οι διαδικασίες και οι λεπτομέρειες καταβολής του φόρου, καθώς και τα απαραίτητα στοιχεία που πρέπει να υποβάλλονται από τα πρόσωπα αυτά.</w:t>
      </w:r>
      <w:r>
        <w:rPr>
          <w:rStyle w:val="Hyperlink"/>
          <w:color w:val="000000"/>
          <w:sz w:val="20"/>
          <w:szCs w:val="20"/>
          <w:u w:val="none" w:color="0000EE"/>
          <w:vertAlign w:val="superscript"/>
          <w:lang w:val="el" w:eastAsia="el"/>
        </w:rPr>
        <w:footnoteReference w:id="329"/>
      </w:r>
    </w:p>
    <w:p>
      <w:pPr>
        <w:pStyle w:val="StructureList1"/>
        <w:spacing w:before="120" w:after="0"/>
        <w:rPr>
          <w:lang w:val="el" w:eastAsia="el"/>
        </w:rPr>
      </w:pPr>
      <w:r>
        <w:rPr>
          <w:lang w:val="el" w:eastAsia="el"/>
        </w:rPr>
        <w:t>θ)</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330"/>
      </w:r>
    </w:p>
    <w:p>
      <w:pPr>
        <w:pStyle w:val="StructureList1"/>
        <w:spacing w:before="120" w:after="0"/>
        <w:rPr>
          <w:lang w:val="el" w:eastAsia="el"/>
        </w:rPr>
      </w:pPr>
      <w:r>
        <w:rPr>
          <w:lang w:val="el" w:eastAsia="el"/>
        </w:rPr>
        <w:t>ι)</w:t>
      </w:r>
      <w:r>
        <w:rPr>
          <w:lang w:val="en" w:eastAsia="en"/>
        </w:rPr>
        <w:tab/>
      </w:r>
      <w:r>
        <w:rPr>
          <w:lang w:val="el" w:eastAsia="el"/>
        </w:rPr>
        <w:t>οποιοδήποτε άλλο πρόσωπο, το οποίο αναγρά</w:t>
      </w:r>
      <w:r>
        <w:rPr>
          <w:lang w:val="el" w:eastAsia="el"/>
        </w:rPr>
        <w:softHyphen/>
        <w:t>φει τον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331"/>
      </w:r>
    </w:p>
    <w:p>
      <w:pPr>
        <w:pStyle w:val="StructureList1"/>
        <w:spacing w:before="120" w:after="0"/>
        <w:rPr>
          <w:lang w:val="el" w:eastAsia="el"/>
        </w:rPr>
      </w:pPr>
      <w:r>
        <w:rPr>
          <w:lang w:val="el" w:eastAsia="el"/>
        </w:rPr>
        <w:t>κ)</w:t>
      </w:r>
      <w:r>
        <w:rPr>
          <w:lang w:val="en" w:eastAsia="en"/>
        </w:rPr>
        <w:tab/>
      </w:r>
      <w:r>
        <w:rPr>
          <w:lang w:val="el" w:eastAsia="el"/>
        </w:rPr>
        <w:t>ο εγκατεστημένος στο εσωτερικό της χώρας, υποκείμενος στο φόρο με δραστηριότητα μεταφοράς φυσικού αερίου μέσω αγωγών για τα αγαθά και τις υπηρεσίες, που αποκλειστικά χρησιμοποιεί για την κατασκευή των αγωγών αυτών.</w:t>
      </w:r>
      <w:r>
        <w:rPr>
          <w:rStyle w:val="Hyperlink"/>
          <w:color w:val="000000"/>
          <w:sz w:val="20"/>
          <w:szCs w:val="20"/>
          <w:u w:val="none" w:color="0000EE"/>
          <w:vertAlign w:val="superscript"/>
          <w:lang w:val="el" w:eastAsia="el"/>
        </w:rPr>
        <w:footnoteReference w:id="332"/>
      </w:r>
    </w:p>
    <w:p>
      <w:pPr>
        <w:pStyle w:val="StructureList1"/>
        <w:spacing w:before="120" w:after="0"/>
        <w:rPr>
          <w:lang w:val="el" w:eastAsia="el"/>
        </w:rPr>
      </w:pPr>
      <w:r>
        <w:rPr>
          <w:lang w:val="el" w:eastAsia="el"/>
        </w:rPr>
        <w:t>κα)</w:t>
      </w:r>
      <w:r>
        <w:rPr>
          <w:lang w:val="en" w:eastAsia="en"/>
        </w:rPr>
        <w:tab/>
      </w:r>
      <w:r>
        <w:rPr>
          <w:lang w:val="el" w:eastAsia="el"/>
        </w:rPr>
        <w:t>στις περιπτώσεις του άρθρου 5β, ο υποκείμενος στον φόρο, που θεωρείται ότι έχει παραδώσει τα αγαθά στον υποκείμενο στον φόρο, ο οποίος διευκολύνει την παράδοση αγαθών μέσω της χρήσης ηλεκτρονικής διεπαφής, εφόσον ο υποκείμενος που έχει διευκολύνει την παράδοση των αγαθών δεν είναι υπόχρεος για την καταβολή του ΦΠΑ σύμφωνα με το άρθρο 5γ του Εκτελεστικού Κανονισμού (ΕΕ) 282/2011.</w:t>
      </w:r>
      <w:r>
        <w:rPr>
          <w:rStyle w:val="Hyperlink"/>
          <w:color w:val="000000"/>
          <w:sz w:val="20"/>
          <w:szCs w:val="20"/>
          <w:u w:val="none" w:color="0000EE"/>
          <w:vertAlign w:val="superscript"/>
          <w:lang w:val="el" w:eastAsia="el"/>
        </w:rPr>
        <w:footnoteReference w:id="333"/>
      </w:r>
    </w:p>
    <w:p>
      <w:pPr>
        <w:pStyle w:val="MainText"/>
        <w:spacing w:before="120" w:after="0"/>
        <w:rPr>
          <w:lang w:val="el" w:eastAsia="el"/>
        </w:rPr>
      </w:pPr>
      <w:r>
        <w:rPr>
          <w:b/>
          <w:bCs/>
          <w:lang w:val="el" w:eastAsia="el"/>
        </w:rPr>
        <w:t>1α.</w:t>
      </w:r>
      <w:r>
        <w:rPr>
          <w:lang w:val="el" w:eastAsia="el"/>
        </w:rPr>
        <w:t xml:space="preserve"> Για την εφαρμογή της παραγράφου 1, ένας υποκείμενος στον φόρο που έχει μόνιμη εγκατάσταση στο εσωτερικό της χώρας, θεωρείται ως υποκείμενος στον φόρο μη εγκατεστημένος στο εσωτερικό της χώρας όταν πληρούνται σωρευτικά οι ακόλουθες προϋποθέσεις:</w:t>
      </w:r>
      <w:r>
        <w:rPr>
          <w:rStyle w:val="Hyperlink"/>
          <w:color w:val="000000"/>
          <w:sz w:val="20"/>
          <w:szCs w:val="20"/>
          <w:u w:val="none" w:color="0000EE"/>
          <w:vertAlign w:val="superscript"/>
          <w:lang w:val="el" w:eastAsia="el"/>
        </w:rPr>
        <w:footnoteReference w:id="334"/>
      </w:r>
    </w:p>
    <w:p>
      <w:pPr>
        <w:pStyle w:val="StructureList1"/>
        <w:spacing w:before="120" w:after="0"/>
        <w:rPr>
          <w:lang w:val="el" w:eastAsia="el"/>
        </w:rPr>
      </w:pPr>
      <w:r>
        <w:rPr>
          <w:lang w:val="el" w:eastAsia="el"/>
        </w:rPr>
        <w:t>α)</w:t>
      </w:r>
      <w:r>
        <w:rPr>
          <w:lang w:val="en" w:eastAsia="en"/>
        </w:rPr>
        <w:tab/>
      </w:r>
      <w:r>
        <w:rPr>
          <w:lang w:val="el" w:eastAsia="el"/>
        </w:rPr>
        <w:t>πραγματοποιεί φορολογητέα παράδοση αγαθών ή παροχή υπηρεσιών στο εσωτερικό της χώρας,</w:t>
      </w:r>
      <w:r>
        <w:rPr>
          <w:rStyle w:val="Hyperlink"/>
          <w:color w:val="000000"/>
          <w:sz w:val="20"/>
          <w:szCs w:val="20"/>
          <w:u w:val="none" w:color="0000EE"/>
          <w:vertAlign w:val="superscript"/>
          <w:lang w:val="el" w:eastAsia="el"/>
        </w:rPr>
        <w:footnoteReference w:id="335"/>
      </w:r>
    </w:p>
    <w:p>
      <w:pPr>
        <w:pStyle w:val="StructureList1"/>
        <w:spacing w:before="120" w:after="0"/>
        <w:rPr>
          <w:lang w:val="el" w:eastAsia="el"/>
        </w:rPr>
      </w:pPr>
      <w:r>
        <w:rPr>
          <w:lang w:val="el" w:eastAsia="el"/>
        </w:rPr>
        <w:t>β)</w:t>
      </w:r>
      <w:r>
        <w:rPr>
          <w:lang w:val="en" w:eastAsia="en"/>
        </w:rPr>
        <w:tab/>
      </w:r>
      <w:r>
        <w:rPr>
          <w:lang w:val="el" w:eastAsia="el"/>
        </w:rPr>
        <w:t>η ενδεχόμενη εγκατάσταση που ο προμηθευτής ή ο παρέχων διατηρεί στο εσωτερικό της χώρας δεν παρεμβαίνει στην εν λόγω παράδοση αγαθών ή παροχή υπηρεσιών.</w:t>
      </w:r>
      <w:r>
        <w:rPr>
          <w:rStyle w:val="Hyperlink"/>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2.</w:t>
      </w:r>
      <w:r>
        <w:rPr>
          <w:lang w:val="el" w:eastAsia="el"/>
        </w:rPr>
        <w:t xml:space="preserve"> Οποιοδήποτε πρόσωπο χρεώνει φόρο σε φορολογικό στοιχείο που εκδίδει, έστω και αν ο φόρος αυτός είναι μεγαλύτερος του προβλεπομένου, υποχρεούται στην απόδοση του φόρου αυτού στο Δημόσιο.</w:t>
      </w:r>
      <w:r>
        <w:rPr>
          <w:rStyle w:val="Hyperlink"/>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3.</w:t>
      </w:r>
      <w:r>
        <w:rPr>
          <w:lang w:val="el" w:eastAsia="el"/>
        </w:rPr>
        <w:t xml:space="preserve"> Για την εισαγωγή αγαθών, υπόχρεος στο φόρο είναι ο λογιζόμενος ως κύριος των εισαγόμενων αγαθών, σύμφωνα με τις διατάξεις της τελωνειακής νομοθεσίας.</w:t>
      </w:r>
      <w:r>
        <w:rPr>
          <w:rStyle w:val="Hyperlink"/>
          <w:color w:val="000000"/>
          <w:sz w:val="20"/>
          <w:szCs w:val="20"/>
          <w:u w:val="none" w:color="0000EE"/>
          <w:vertAlign w:val="superscript"/>
          <w:lang w:val="el" w:eastAsia="el"/>
        </w:rPr>
        <w:footnoteReference w:id="338"/>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339"/>
      </w:r>
    </w:p>
    <w:p>
      <w:pPr>
        <w:pStyle w:val="StructureList1"/>
        <w:spacing w:before="120" w:after="0"/>
        <w:rPr>
          <w:lang w:val="el" w:eastAsia="el"/>
        </w:rPr>
      </w:pPr>
      <w:r>
        <w:rPr>
          <w:lang w:val="el" w:eastAsia="el"/>
        </w:rPr>
        <w:t>α)</w:t>
      </w:r>
      <w:r>
        <w:rPr>
          <w:lang w:val="en" w:eastAsia="en"/>
        </w:rPr>
        <w:tab/>
      </w:r>
      <w:r>
        <w:rPr>
          <w:lang w:val="el" w:eastAsia="el"/>
        </w:rPr>
        <w:t>ορίζεται ο τρόπος καταβολής του φόρου στις περιπτώσεις που υπόχρεος είναι ο λήπτης υποκείμενος στο φόρο,</w:t>
      </w:r>
      <w:r>
        <w:rPr>
          <w:rStyle w:val="Hyperlink"/>
          <w:color w:val="000000"/>
          <w:sz w:val="20"/>
          <w:szCs w:val="20"/>
          <w:u w:val="none" w:color="0000EE"/>
          <w:vertAlign w:val="superscript"/>
          <w:lang w:val="el" w:eastAsia="el"/>
        </w:rPr>
        <w:footnoteReference w:id="340"/>
      </w:r>
    </w:p>
    <w:p>
      <w:pPr>
        <w:pStyle w:val="StructureList1"/>
        <w:spacing w:before="120" w:after="0"/>
        <w:rPr>
          <w:lang w:val="el" w:eastAsia="el"/>
        </w:rPr>
      </w:pPr>
      <w:r>
        <w:rPr>
          <w:lang w:val="el" w:eastAsia="el"/>
        </w:rPr>
        <w:t>β)</w:t>
      </w:r>
      <w:r>
        <w:rPr>
          <w:lang w:val="en" w:eastAsia="en"/>
        </w:rPr>
        <w:tab/>
      </w:r>
      <w:r>
        <w:rPr>
          <w:lang w:val="el" w:eastAsia="el"/>
        </w:rPr>
        <w:t>είναι δυνατόν να ορίζεται ότι υπόχρεος στο φόρο είναι ο εγκαταστημένος σε τρίτη χώρα υποκείμενος στο φόρο, εφόσον υπάρχει σύμβαση αμοιβαίας συνδρομής, μεταξύ της Ελλάδος και της χώρας εγκατάστασής του,</w:t>
      </w:r>
      <w:r>
        <w:rPr>
          <w:rStyle w:val="Hyperlink"/>
          <w:color w:val="000000"/>
          <w:sz w:val="20"/>
          <w:szCs w:val="20"/>
          <w:u w:val="none" w:color="0000EE"/>
          <w:vertAlign w:val="superscript"/>
          <w:lang w:val="el" w:eastAsia="el"/>
        </w:rPr>
        <w:footnoteReference w:id="341"/>
      </w:r>
    </w:p>
    <w:p>
      <w:pPr>
        <w:pStyle w:val="StructureList1"/>
        <w:spacing w:before="120" w:after="0"/>
        <w:rPr>
          <w:lang w:val="el" w:eastAsia="el"/>
        </w:rPr>
      </w:pPr>
      <w:r>
        <w:rPr>
          <w:lang w:val="el" w:eastAsia="el"/>
        </w:rPr>
        <w:t>γ)</w:t>
      </w:r>
      <w:r>
        <w:rPr>
          <w:lang w:val="en" w:eastAsia="en"/>
        </w:rPr>
        <w:tab/>
      </w:r>
      <w:r>
        <w:rPr>
          <w:lang w:val="el" w:eastAsia="el"/>
        </w:rPr>
        <w:t>είναι δυνατόν να ορίζεται ως υπόχρεος στο φόρο, ο λήπτης αγαθών ή υπηρεσιών και σε άλλες περιπτώσεις, εκτός αυτών που αναφέρονται στην περίπτωση δ` της παραγράφου 1,</w:t>
      </w:r>
      <w:r>
        <w:rPr>
          <w:rStyle w:val="Hyperlink"/>
          <w:color w:val="000000"/>
          <w:sz w:val="20"/>
          <w:szCs w:val="20"/>
          <w:u w:val="none" w:color="0000EE"/>
          <w:vertAlign w:val="superscript"/>
          <w:lang w:val="el" w:eastAsia="el"/>
        </w:rPr>
        <w:footnoteReference w:id="342"/>
      </w:r>
    </w:p>
    <w:p>
      <w:pPr>
        <w:pStyle w:val="StructureList1"/>
        <w:spacing w:before="120" w:after="0"/>
        <w:rPr>
          <w:lang w:val="el" w:eastAsia="el"/>
        </w:rPr>
      </w:pPr>
      <w:r>
        <w:rPr>
          <w:lang w:val="el" w:eastAsia="el"/>
        </w:rPr>
        <w:t>δ)</w:t>
      </w:r>
      <w:r>
        <w:rPr>
          <w:lang w:val="en" w:eastAsia="en"/>
        </w:rPr>
        <w:tab/>
      </w:r>
      <w:r>
        <w:rPr>
          <w:lang w:val="el" w:eastAsia="el"/>
        </w:rPr>
        <w:t>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343"/>
      </w:r>
    </w:p>
    <w:p>
      <w:pPr>
        <w:pStyle w:val="Heading6"/>
        <w:spacing w:before="240" w:after="240"/>
        <w:rPr>
          <w:lang w:val="el" w:eastAsia="el"/>
        </w:rPr>
      </w:pPr>
      <w:r>
        <w:rPr>
          <w:b/>
          <w:bCs/>
          <w:lang w:val="el" w:eastAsia="el"/>
        </w:rPr>
        <w:t>Άρθρο 35α</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344"/>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45"/>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Υποχρεώσεις των υποκειμένων στο φόρο</w:t>
      </w:r>
    </w:p>
    <w:p>
      <w:pPr>
        <w:pStyle w:val="MainText"/>
        <w:spacing w:before="120" w:after="0"/>
        <w:rPr>
          <w:lang w:val="el" w:eastAsia="el"/>
        </w:rPr>
      </w:pPr>
      <w:r>
        <w:rPr>
          <w:b/>
          <w:bCs/>
          <w:lang w:val="el" w:eastAsia="el"/>
        </w:rPr>
        <w:t>1.</w:t>
      </w:r>
      <w:r>
        <w:rPr>
          <w:lang w:val="el" w:eastAsia="el"/>
        </w:rPr>
        <w:t xml:space="preserve"> Ο υποκείμενος στο φόρο υποχρεούται να υποβάλλει τις δηλώσεις που προβλέπονται στο άρθρο 10 του ν. 4174/2013 (Κώδικας Φορολογικής Διαδικασίας, Α' 170).</w:t>
      </w:r>
      <w:r>
        <w:rPr>
          <w:rStyle w:val="Hyperlink"/>
          <w:color w:val="000000"/>
          <w:sz w:val="20"/>
          <w:szCs w:val="20"/>
          <w:u w:val="none" w:color="0000EE"/>
          <w:vertAlign w:val="superscript"/>
          <w:lang w:val="el" w:eastAsia="el"/>
        </w:rPr>
        <w:footnoteReference w:id="346"/>
      </w:r>
    </w:p>
    <w:p>
      <w:pPr>
        <w:spacing w:before="240" w:after="240"/>
        <w:rPr>
          <w:lang w:val="el" w:eastAsia="el"/>
        </w:rPr>
      </w:pPr>
      <w:r>
        <w:rPr>
          <w:lang w:val="el" w:eastAsia="el"/>
        </w:rPr>
        <w:t>α. (…)</w:t>
      </w:r>
      <w:r>
        <w:rPr>
          <w:rStyle w:val="Hyperlink"/>
          <w:color w:val="000000"/>
          <w:sz w:val="20"/>
          <w:szCs w:val="20"/>
          <w:u w:val="none" w:color="0000EE"/>
          <w:vertAlign w:val="superscript"/>
          <w:lang w:val="el" w:eastAsia="el"/>
        </w:rPr>
        <w:footnoteReference w:id="347"/>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348"/>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349"/>
      </w:r>
    </w:p>
    <w:p>
      <w:pPr>
        <w:pStyle w:val="MainText"/>
        <w:spacing w:before="120" w:after="0"/>
        <w:rPr>
          <w:lang w:val="el" w:eastAsia="el"/>
        </w:rPr>
      </w:pPr>
      <w:r>
        <w:rPr>
          <w:b/>
          <w:bCs/>
          <w:lang w:val="el" w:eastAsia="el"/>
        </w:rPr>
        <w:t>2.</w:t>
      </w:r>
      <w:r>
        <w:rPr>
          <w:lang w:val="el" w:eastAsia="el"/>
        </w:rPr>
        <w:t xml:space="preserve"> Για κάθε υποκείμενο στον φόρο χρησιμοποιείται ο μοναδικός αριθμός φορολογικού μητρώου (Α.Φ.Μ./Φ.Π.Α.), ο οποίος χορηγείται, σύμφωνα με τα οριζόμενα στον ν. 4174/2013 (Κ.Φ.Δ.).</w:t>
      </w:r>
      <w:r>
        <w:rPr>
          <w:rStyle w:val="Hyperlink"/>
          <w:color w:val="000000"/>
          <w:sz w:val="20"/>
          <w:szCs w:val="20"/>
          <w:u w:val="none" w:color="0000EE"/>
          <w:vertAlign w:val="superscript"/>
          <w:lang w:val="el" w:eastAsia="el"/>
        </w:rPr>
        <w:footnoteReference w:id="350"/>
      </w:r>
    </w:p>
    <w:p>
      <w:pPr>
        <w:spacing w:before="240" w:after="240"/>
        <w:rPr>
          <w:lang w:val="el" w:eastAsia="el"/>
        </w:rPr>
      </w:pPr>
      <w:r>
        <w:rPr>
          <w:lang w:val="el" w:eastAsia="el"/>
        </w:rPr>
        <w:t>α. (…)</w:t>
      </w:r>
      <w:r>
        <w:rPr>
          <w:rStyle w:val="Hyperlink"/>
          <w:color w:val="000000"/>
          <w:sz w:val="20"/>
          <w:szCs w:val="20"/>
          <w:u w:val="none" w:color="0000EE"/>
          <w:vertAlign w:val="superscript"/>
          <w:lang w:val="el" w:eastAsia="el"/>
        </w:rPr>
        <w:footnoteReference w:id="351"/>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352"/>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353"/>
      </w:r>
    </w:p>
    <w:p>
      <w:pPr>
        <w:spacing w:before="240" w:after="240"/>
        <w:rPr>
          <w:lang w:val="el" w:eastAsia="el"/>
        </w:rPr>
      </w:pPr>
      <w:r>
        <w:rPr>
          <w:lang w:val="el" w:eastAsia="el"/>
        </w:rPr>
        <w:t>Με αποφάσεις του Υπουργού Οικονομίας και Οικονομικών ορίζεται κάθε διαδικαστικό θέμα, καθώς και κάθε άλλη αναγκαία λεπτομέρεια για την εφαρμογή των διατάξεων των παραγράφων 1 και 2 του άρθρου αυτού.</w:t>
      </w:r>
      <w:r>
        <w:rPr>
          <w:rStyle w:val="Hyperlink"/>
          <w:color w:val="000000"/>
          <w:sz w:val="20"/>
          <w:szCs w:val="20"/>
          <w:u w:val="none" w:color="0000EE"/>
          <w:vertAlign w:val="superscript"/>
          <w:lang w:val="el" w:eastAsia="el"/>
        </w:rPr>
        <w:footnoteReference w:id="354"/>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55"/>
      </w:r>
    </w:p>
    <w:p>
      <w:pPr>
        <w:pStyle w:val="MainText"/>
        <w:spacing w:before="120" w:after="0"/>
        <w:rPr>
          <w:lang w:val="el" w:eastAsia="el"/>
        </w:rPr>
      </w:pPr>
      <w:r>
        <w:rPr>
          <w:b/>
          <w:bCs/>
          <w:lang w:val="el" w:eastAsia="el"/>
        </w:rPr>
        <w:t>4.</w:t>
      </w:r>
      <w:r>
        <w:rPr>
          <w:lang w:val="el" w:eastAsia="el"/>
        </w:rPr>
        <w:t xml:space="preserve"> O υποκείμενος στο φόρο υποχρεούται επίσης:</w:t>
      </w:r>
      <w:r>
        <w:rPr>
          <w:rStyle w:val="Hyperlink"/>
          <w:color w:val="000000"/>
          <w:sz w:val="20"/>
          <w:szCs w:val="20"/>
          <w:u w:val="none" w:color="0000EE"/>
          <w:vertAlign w:val="superscript"/>
          <w:lang w:val="el" w:eastAsia="el"/>
        </w:rPr>
        <w:footnoteReference w:id="356"/>
      </w:r>
    </w:p>
    <w:p>
      <w:pPr>
        <w:pStyle w:val="StructureList1"/>
        <w:spacing w:before="120" w:after="0"/>
        <w:rPr>
          <w:lang w:val="el" w:eastAsia="el"/>
        </w:rPr>
      </w:pPr>
      <w:r>
        <w:rPr>
          <w:lang w:val="el" w:eastAsia="el"/>
        </w:rPr>
        <w:t>α)</w:t>
      </w:r>
      <w:r>
        <w:rPr>
          <w:lang w:val="en" w:eastAsia="en"/>
        </w:rPr>
        <w:tab/>
      </w:r>
      <w:r>
        <w:rPr>
          <w:lang w:val="el" w:eastAsia="el"/>
        </w:rPr>
        <w:t>να τηρεί λογιστικά αρχεία (βιβλία) και να εκδίδει στοιχεία, σύμφωνα με τις διατάξεις της κείμενης νομοθεσίας, εκτός αν είναι εγκατεστημένος σε άλλο κράτος - μέλος της Ευρωπαϊκής Ένωσης και δεν διαθέτει εγκατάσταση στην Ελλάδα.</w:t>
      </w:r>
      <w:r>
        <w:rPr>
          <w:rStyle w:val="Hyperlink"/>
          <w:color w:val="000000"/>
          <w:sz w:val="20"/>
          <w:szCs w:val="20"/>
          <w:u w:val="none" w:color="0000EE"/>
          <w:vertAlign w:val="superscript"/>
          <w:lang w:val="el" w:eastAsia="el"/>
        </w:rPr>
        <w:footnoteReference w:id="357"/>
      </w:r>
    </w:p>
    <w:p>
      <w:pPr>
        <w:spacing w:before="240" w:after="240"/>
        <w:rPr>
          <w:lang w:val="el" w:eastAsia="el"/>
        </w:rPr>
      </w:pPr>
      <w:r>
        <w:rPr>
          <w:lang w:val="el" w:eastAsia="el"/>
        </w:rPr>
        <w:t>Ειδικά,</w:t>
      </w:r>
    </w:p>
    <w:p>
      <w:pPr>
        <w:pStyle w:val="StructureList1"/>
        <w:spacing w:before="120" w:after="0"/>
        <w:rPr>
          <w:lang w:val="el" w:eastAsia="el"/>
        </w:rPr>
      </w:pPr>
      <w:r>
        <w:rPr>
          <w:lang w:val="el" w:eastAsia="el"/>
        </w:rPr>
        <w:t>-</w:t>
      </w:r>
      <w:r>
        <w:rPr>
          <w:lang w:val="en" w:eastAsia="en"/>
        </w:rPr>
        <w:tab/>
      </w:r>
      <w:r>
        <w:rPr>
          <w:lang w:val="el" w:eastAsia="el"/>
        </w:rPr>
        <w:t>ο υποκείμενος στον φόρο που παραλαμβάνει ενσώματα κινητά αγαθά, τα οποία του αποστέλλονται από άλλο κράτος-μέλος από ή για λογαριασμό υποκείμενου στον φόρο που διαθέτει αριθμό φορολογικού μητρώου Φ.Π.Α. σε αυτό το άλλο κράτος-μέλος, με σκοπό την εκτέλεση υπηρεσιών πραγματογνωμοσύνης ή εργασιών σε αυτά, στις οποίες συμπεριλαμβάνονται και οι εργασίες της περίπτωσης ε` της παραγράφου 2 του άρθρου 8, υποχρεούται να καταχωρεί τα σχετικά στοιχεία που επιτρέπουν την εξακρίβωση των αγαθών αυτών σε λογαριασμούς βιβλίων που τηρεί ή σε ειδικό βιβλίο,</w:t>
      </w:r>
      <w:r>
        <w:rPr>
          <w:rStyle w:val="Hyperlink"/>
          <w:color w:val="000000"/>
          <w:sz w:val="20"/>
          <w:szCs w:val="20"/>
          <w:u w:val="none" w:color="0000EE"/>
          <w:vertAlign w:val="superscript"/>
          <w:lang w:val="el" w:eastAsia="el"/>
        </w:rPr>
        <w:footnoteReference w:id="358"/>
      </w:r>
    </w:p>
    <w:p>
      <w:pPr>
        <w:pStyle w:val="StructureList1"/>
        <w:spacing w:before="120" w:after="0"/>
        <w:rPr>
          <w:lang w:val="el" w:eastAsia="el"/>
        </w:rPr>
      </w:pPr>
      <w:r>
        <w:rPr>
          <w:lang w:val="el" w:eastAsia="el"/>
        </w:rPr>
        <w:t>-</w:t>
      </w:r>
      <w:r>
        <w:rPr>
          <w:lang w:val="en" w:eastAsia="en"/>
        </w:rPr>
        <w:tab/>
      </w:r>
      <w:r>
        <w:rPr>
          <w:lang w:val="el" w:eastAsia="el"/>
        </w:rPr>
        <w:t>ο υποκείμενος στον φόρο που παραδίδει ακίνητα του άρθρου 6, ακόμη και αν βρίσκεται σε καθεστώς αναστολής του φόρου, υποχρεούται να τηρεί ειδικό βιβλίο κοστολογίου οικοδομών στο οποίο ή σε ιδιαίτερη μερίδα του οποίου, παρακολουθεί αναλυτικά το κόστος κάθε οικοδομής υπαγόμενης στις διατάξεις του άρθρου 6.</w:t>
      </w:r>
      <w:r>
        <w:rPr>
          <w:rStyle w:val="Hyperlink"/>
          <w:color w:val="000000"/>
          <w:sz w:val="20"/>
          <w:szCs w:val="20"/>
          <w:u w:val="none" w:color="0000EE"/>
          <w:vertAlign w:val="superscript"/>
          <w:lang w:val="el" w:eastAsia="el"/>
        </w:rPr>
        <w:footnoteReference w:id="359"/>
      </w:r>
    </w:p>
    <w:p>
      <w:pPr>
        <w:pStyle w:val="StructureList1"/>
        <w:spacing w:before="120" w:after="0"/>
        <w:rPr>
          <w:lang w:val="el" w:eastAsia="el"/>
        </w:rPr>
      </w:pPr>
      <w:r>
        <w:rPr>
          <w:lang w:val="el" w:eastAsia="el"/>
        </w:rPr>
        <w:t>β)</w:t>
      </w:r>
      <w:r>
        <w:rPr>
          <w:lang w:val="en" w:eastAsia="en"/>
        </w:rPr>
        <w:tab/>
      </w:r>
      <w:r>
        <w:rPr>
          <w:lang w:val="el" w:eastAsia="el"/>
        </w:rPr>
        <w:t>να επιδίδει τις προβλεπόμενες από τις διατάξεις του άρθρου 38 δηλώσεις.</w:t>
      </w:r>
    </w:p>
    <w:p>
      <w:pPr>
        <w:spacing w:before="240" w:after="240"/>
        <w:rPr>
          <w:lang w:val="el" w:eastAsia="el"/>
        </w:rPr>
      </w:pPr>
      <w:r>
        <w:rPr>
          <w:lang w:val="el" w:eastAsia="el"/>
        </w:rPr>
        <w:t>Η διάταξη αυτή δεν εφαρμόζεται προκειμένου για υποκείμενους στο φόρο που πραγματοποιούν αποκλειστικά πράξεις που απαλλάσσονται από το φόρο. χωρίς δικαίωμα έκπτωσης. Ειδικά για τη δήλωση που προβλέπεται από την παράγραφο 8 του άρθρου 38. η υποχρέωση αυτή υφίσταται ανεξάρτητα από την ιδιότητα του προσώπου ως υποκείμενου ή μη στο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στον αρμόδιο Προϊστάμενο Δ.Ο.Υ:</w:t>
      </w:r>
    </w:p>
    <w:p>
      <w:pPr>
        <w:pStyle w:val="StructureList1"/>
        <w:spacing w:before="120" w:after="0"/>
        <w:rPr>
          <w:lang w:val="el" w:eastAsia="el"/>
        </w:rPr>
      </w:pPr>
      <w:r>
        <w:rPr>
          <w:lang w:val="el" w:eastAsia="el"/>
        </w:rPr>
        <w:t>i)</w:t>
      </w:r>
      <w:r>
        <w:rPr>
          <w:lang w:val="en" w:eastAsia="en"/>
        </w:rPr>
        <w:tab/>
      </w:r>
      <w:r>
        <w:rPr>
          <w:lang w:val="el" w:eastAsia="el"/>
        </w:rPr>
        <w:t>Ειδική δήλωση Φ.Π.Α., όταν ενεργεί πράξεις που προβλέπουν οι διατάξεις της παραγράφου 1 και της περίπτωσης α` της παραγράφου 2 του άρθρου 6. Η δήλωση αυτή υποβάλλεται κατά το χρόνο γένεσης της φορολογικής υποχρέωσης σύμφωνα με τις διατάξεις της παραγράφου 3 του άρθρου 16. Με την υποβολή της δήλωσης αυτής, καταβάλλεται εφάπαξ ο αναλογών στην παράδοση του ακινήτου φόρος, αφού συμψηφισθεί ο φόρος εισροών κατά το ποσοστό που βαρύνει τη μεταβιβαζόμενη ιδιοκτησία, όπως έχει διαμορφωθεί μέχρι τη χρονική στιγμή γένεσης της φορολογικής υποχρέωσης.</w:t>
      </w:r>
    </w:p>
    <w:p>
      <w:pPr>
        <w:spacing w:before="240" w:after="240"/>
        <w:rPr>
          <w:lang w:val="el" w:eastAsia="el"/>
        </w:rPr>
      </w:pPr>
      <w:r>
        <w:rPr>
          <w:lang w:val="el" w:eastAsia="el"/>
        </w:rPr>
        <w:t>Η ίδια δήλωση υποβάλλεται και για τις πράξεις που προβλέπουν οι διατάξεις της περίπτωσης γ` της παραγράφου 2 του άρθρου 7, χωρίς την καταβολή του φόρου, ο οποίος καταβάλλεται με την περιοδική δήλωση Φ.Π.Α. της οικείας φορολογικής περιόδου.</w:t>
      </w:r>
      <w:r>
        <w:rPr>
          <w:rStyle w:val="Hyperlink"/>
          <w:color w:val="000000"/>
          <w:sz w:val="20"/>
          <w:szCs w:val="20"/>
          <w:u w:val="none" w:color="0000EE"/>
          <w:vertAlign w:val="superscript"/>
          <w:lang w:val="el" w:eastAsia="el"/>
        </w:rPr>
        <w:footnoteReference w:id="360"/>
      </w:r>
    </w:p>
    <w:p>
      <w:pPr>
        <w:pStyle w:val="StructureList1"/>
        <w:spacing w:before="120" w:after="0"/>
        <w:rPr>
          <w:lang w:val="el" w:eastAsia="el"/>
        </w:rPr>
      </w:pPr>
      <w:r>
        <w:rPr>
          <w:lang w:val="el" w:eastAsia="el"/>
        </w:rPr>
        <w:t>ii)</w:t>
      </w:r>
      <w:r>
        <w:rPr>
          <w:lang w:val="en" w:eastAsia="en"/>
        </w:rPr>
        <w:tab/>
      </w:r>
      <w:r>
        <w:rPr>
          <w:lang w:val="el" w:eastAsia="el"/>
        </w:rPr>
        <w:t>Ειδικά έντυπα απεικόνισης του συνολικού κόστους της οικοδομής και κατανομής αυτού στις επί μέρους ιδιοκτησίες, προϋπολογιστικά και απολογιστικά.</w:t>
      </w:r>
      <w:r>
        <w:rPr>
          <w:rStyle w:val="Hyperlink"/>
          <w:color w:val="000000"/>
          <w:sz w:val="20"/>
          <w:szCs w:val="20"/>
          <w:u w:val="none" w:color="0000EE"/>
          <w:vertAlign w:val="superscript"/>
          <w:lang w:val="el" w:eastAsia="el"/>
        </w:rPr>
        <w:footnoteReference w:id="361"/>
      </w:r>
    </w:p>
    <w:p>
      <w:pPr>
        <w:pStyle w:val="StructureList1"/>
        <w:spacing w:before="120" w:after="0"/>
        <w:rPr>
          <w:lang w:val="el" w:eastAsia="el"/>
        </w:rPr>
      </w:pPr>
      <w:r>
        <w:rPr>
          <w:lang w:val="el" w:eastAsia="el"/>
        </w:rPr>
        <w:t>iii)</w:t>
      </w:r>
      <w:r>
        <w:rPr>
          <w:lang w:val="en" w:eastAsia="en"/>
        </w:rPr>
        <w:tab/>
      </w:r>
      <w:r>
        <w:rPr>
          <w:lang w:val="el" w:eastAsia="el"/>
        </w:rPr>
        <w:t>Γνωστοποίηση για τη χρησιμοποίηση ακινήτου, το οποίο κατασκευάστηκε ως εμπορεύσιμο στοιχείο επιχείρησης, ως παγίου σε φορολογητέα δραστηριότητα, καθώς και για ακίνητο το οποίο απαλλοτριώθηκε. Η γνωστοποίηση αυτή υποβάλλεται ταυτόχρονα με την περιοδική δήλωση της φορολογικής περιόδου κατά την οποία άρχισε η χρησιμοποίηση ή πραγματοποιήθηκε η απαλλοτρίωση.</w:t>
      </w:r>
      <w:r>
        <w:rPr>
          <w:rStyle w:val="Hyperlink"/>
          <w:color w:val="000000"/>
          <w:sz w:val="20"/>
          <w:szCs w:val="20"/>
          <w:u w:val="none" w:color="0000EE"/>
          <w:vertAlign w:val="superscript"/>
          <w:lang w:val="el" w:eastAsia="el"/>
        </w:rPr>
        <w:footnoteReference w:id="362"/>
      </w:r>
    </w:p>
    <w:p>
      <w:pPr>
        <w:pStyle w:val="StructureList1"/>
        <w:spacing w:before="120" w:after="0"/>
        <w:rPr>
          <w:lang w:val="el" w:eastAsia="el"/>
        </w:rPr>
      </w:pPr>
      <w:r>
        <w:rPr>
          <w:lang w:val="el" w:eastAsia="el"/>
        </w:rPr>
        <w:t>iv)</w:t>
      </w:r>
      <w:r>
        <w:rPr>
          <w:lang w:val="en" w:eastAsia="en"/>
        </w:rPr>
        <w:tab/>
      </w:r>
      <w:r>
        <w:rPr>
          <w:lang w:val="el" w:eastAsia="el"/>
        </w:rPr>
        <w:t>Υπεύθυνη δήλωση με την οποία γνωστοποιεί τις τυχόν αιτίες για τις οποίες πρόκειται να συνταχθεί έγγραφο με το οποίο διορθώνεται, συμπληρώνεται, τροποποιείται ή επαναλαμβάνεται άλλο έγγραφο το οποίο αφορά πράξεις της παραγράφου 1 και της περίπτωσης α` της παραγράφου 2 του άρθρου 6.</w:t>
      </w:r>
      <w:r>
        <w:rPr>
          <w:rStyle w:val="Hyperlink"/>
          <w:color w:val="000000"/>
          <w:sz w:val="20"/>
          <w:szCs w:val="20"/>
          <w:u w:val="none" w:color="0000EE"/>
          <w:vertAlign w:val="superscript"/>
          <w:lang w:val="el" w:eastAsia="el"/>
        </w:rPr>
        <w:footnoteReference w:id="363"/>
      </w:r>
    </w:p>
    <w:p>
      <w:pPr>
        <w:spacing w:before="240" w:after="240"/>
        <w:rPr>
          <w:lang w:val="el" w:eastAsia="el"/>
        </w:rPr>
      </w:pPr>
      <w:r>
        <w:rPr>
          <w:lang w:val="el" w:eastAsia="el"/>
        </w:rPr>
        <w:t>Με αποφάσεις του Υπουργού Οικονομίας και Οικονομικών ορίζεται ο τύπος, το περιεχόμενο και η διαδικασία υποβολής της ειδικής δήλωσης και των ειδικών εντύπων καθώς και ο χρόνος υποβολής των εντύπων αυτών και κάθε αναγκαία λεπτομέρεια για την εφαρμογή των διατάξεων της παραγράφου αυτής.</w:t>
      </w:r>
      <w:r>
        <w:rPr>
          <w:rStyle w:val="Hyperlink"/>
          <w:color w:val="000000"/>
          <w:sz w:val="20"/>
          <w:szCs w:val="20"/>
          <w:u w:val="none" w:color="0000EE"/>
          <w:vertAlign w:val="superscript"/>
          <w:lang w:val="el" w:eastAsia="el"/>
        </w:rPr>
        <w:footnoteReference w:id="364"/>
      </w:r>
    </w:p>
    <w:p>
      <w:pPr>
        <w:pStyle w:val="StructureList1"/>
        <w:spacing w:before="120" w:after="0"/>
        <w:rPr>
          <w:lang w:val="el" w:eastAsia="el"/>
        </w:rPr>
      </w:pPr>
      <w:r>
        <w:rPr>
          <w:lang w:val="el" w:eastAsia="el"/>
        </w:rPr>
        <w:t>δ)</w:t>
      </w:r>
      <w:r>
        <w:rPr>
          <w:lang w:val="en" w:eastAsia="en"/>
        </w:rPr>
        <w:tab/>
      </w:r>
      <w:r>
        <w:rPr>
          <w:lang w:val="el" w:eastAsia="el"/>
        </w:rPr>
        <w:t>να ορίζει φορολογικό αντιπρόσωπό του, πριν από την ενέργεια οποιασδήποτε φορολογητέας πράξης στο εσωτερικό της χώρας, εφόσον πρόκειται για υποκείμενο στο φόρο που δεν είναι μόνιμα εγκαταστημένος στο εσωτερικό της χώρας ή στο εσωτερικό άλλου κράτους μέλους και για την οποία είναι ο ίδιος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365"/>
      </w:r>
    </w:p>
    <w:p>
      <w:pPr>
        <w:pStyle w:val="StructureList1"/>
        <w:spacing w:before="120" w:after="0"/>
        <w:rPr>
          <w:lang w:val="el" w:eastAsia="el"/>
        </w:rPr>
      </w:pPr>
      <w:r>
        <w:rPr>
          <w:lang w:val="el" w:eastAsia="el"/>
        </w:rPr>
        <w:t>ε)</w:t>
      </w:r>
      <w:r>
        <w:rPr>
          <w:lang w:val="en" w:eastAsia="en"/>
        </w:rPr>
        <w:tab/>
      </w:r>
      <w:r>
        <w:rPr>
          <w:lang w:val="el" w:eastAsia="el"/>
        </w:rPr>
        <w:t>Φορολογικό αντιπρόσωπο δύνανται να ορίζουν, σύμφωνα με τις διατάξεις της περίπτωσης δ` της παραγράφου αυτής, και οι υποκείμενοι στο φόρο που είναι εγκατεστημένοι σε άλλο κράτος μέλος της Ευρωπαϊκής Ενωσης και δεν διαθέτουν εγκατάσταση στην Ελλάδα. Ο φορολογικός αντιπρόσωπος της περίπτωσης αυτής δεν υποχρεούται στην τήρηση βιβλίων και έκδοση στοιχείων για τις πράξεις που πραγματοποιεί ο εντολέας του.</w:t>
      </w:r>
      <w:r>
        <w:rPr>
          <w:rStyle w:val="Hyperlink"/>
          <w:color w:val="000000"/>
          <w:sz w:val="20"/>
          <w:szCs w:val="20"/>
          <w:u w:val="none" w:color="0000EE"/>
          <w:vertAlign w:val="superscript"/>
          <w:lang w:val="el" w:eastAsia="el"/>
        </w:rPr>
        <w:footnoteReference w:id="366"/>
      </w:r>
    </w:p>
    <w:p>
      <w:pPr>
        <w:pStyle w:val="StructureList1"/>
        <w:spacing w:before="120" w:after="0"/>
        <w:rPr>
          <w:lang w:val="el" w:eastAsia="el"/>
        </w:rPr>
      </w:pPr>
      <w:r>
        <w:rPr>
          <w:lang w:val="el" w:eastAsia="el"/>
        </w:rPr>
        <w:t>στ)</w:t>
      </w:r>
      <w:r>
        <w:rPr>
          <w:lang w:val="en" w:eastAsia="en"/>
        </w:rPr>
        <w:tab/>
      </w:r>
      <w:r>
        <w:rPr>
          <w:lang w:val="el" w:eastAsia="el"/>
        </w:rPr>
        <w:t>να τηρεί θεωρημένο ειδικό βιβλίο όπου θα καταγράφει τα αγαθά που απέστειλε ή μετέφερε ή τα οποία απεστάλησαν ή μεταφέρθηκαν για λογαριασμό του σε άλλο κράτος-μέλος, για τις ανάγκες των πράξεων που αναφέρονται στις περιπτώσεις γ΄, δ΄ και ε΄ της παρ. 3 του άρθρου 7.</w:t>
      </w:r>
    </w:p>
    <w:p>
      <w:pPr>
        <w:spacing w:before="240" w:after="240"/>
        <w:rPr>
          <w:lang w:val="el" w:eastAsia="el"/>
        </w:rPr>
      </w:pPr>
      <w:r>
        <w:rPr>
          <w:lang w:val="el" w:eastAsia="el"/>
        </w:rPr>
        <w:t>Στο βιβλίο αυτό καταχωρούνται επίσης τα μετακινούμενα αγαθά από άλλο κράτος-μέλος προς το εσωτερικό της χώρας σύμφωνα με την περίπτωση γ του άρθρου 12.</w:t>
      </w:r>
    </w:p>
    <w:p>
      <w:pPr>
        <w:pStyle w:val="StructureList1"/>
        <w:spacing w:before="120" w:after="0"/>
        <w:rPr>
          <w:lang w:val="el" w:eastAsia="el"/>
        </w:rPr>
      </w:pPr>
      <w:r>
        <w:rPr>
          <w:lang w:val="el" w:eastAsia="el"/>
        </w:rPr>
        <w:t>ζ)</w:t>
      </w:r>
      <w:r>
        <w:rPr>
          <w:lang w:val="en" w:eastAsia="en"/>
        </w:rPr>
        <w:tab/>
      </w:r>
      <w:r>
        <w:rPr>
          <w:lang w:val="el" w:eastAsia="el"/>
        </w:rPr>
        <w:t>Να τηρεί ειδικό βιβλίο καταχώρισης κατά τη μεταφορά των αγαθών σε άλλο κράτος-μέλος, στο πλαίσιο των ρυθμίσεων για τα αποθέματα στη διάθεση συγκεκριμένου αποκτώντα, σύμφωνα με τα προβλεπόμενα στο άρθρο 7α. Να τηρεί ειδικό βιβλίο καταχώρισης κατά την παράδοση των αγαθών στο εσωτερικό της χώρας, στο πλαίσιο των ρυθμίσεων για τα αποθέματα στη διάθεση συγκεκριμένου αποκτώντα, σύμφωνα με το άρθρο 7</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367"/>
      </w:r>
    </w:p>
    <w:p>
      <w:pPr>
        <w:pStyle w:val="MainText"/>
        <w:spacing w:before="120" w:after="0"/>
        <w:rPr>
          <w:lang w:val="el" w:eastAsia="el"/>
        </w:rPr>
      </w:pPr>
      <w:r>
        <w:rPr>
          <w:b/>
          <w:bCs/>
          <w:lang w:val="el" w:eastAsia="el"/>
        </w:rPr>
        <w:t>5.</w:t>
      </w:r>
      <w:r>
        <w:rPr>
          <w:lang w:val="el" w:eastAsia="el"/>
        </w:rPr>
        <w:t xml:space="preserve"> Ο υποκείμενος στο φόρο που πραγματοποιεί ενδοκοινοτικές αποκτήσεις αγαθών, σύμφωνα με τις διατάξεις των άρθρων 11 και 12, καθώς και παραδόσεις αγαθών, οι οποίες απαλλάσσονται σύμφωνα με τις διατάξεις του άρθρου 28,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διατάξεις των περιπτώσεων α΄ και γ΄ της παραγράφου 1 του άρθρου 28 και του τελευταίου εδαφίου της παραγράφου 2 του άρθρου 15,</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αριθμό φορολογικού μητρώου του με το πρόθεμα "ΕΙ." πριν απ΄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(INTRASTAT) για τις ενδοκοινοτικές συναλλαγές που πραγματοποιεί για κάθε μήνα,</w:t>
      </w:r>
      <w:r>
        <w:rPr>
          <w:rStyle w:val="Hyperlink"/>
          <w:color w:val="000000"/>
          <w:sz w:val="20"/>
          <w:szCs w:val="20"/>
          <w:u w:val="none" w:color="0000EE"/>
          <w:vertAlign w:val="superscript"/>
          <w:lang w:val="el" w:eastAsia="el"/>
        </w:rPr>
        <w:footnoteReference w:id="368"/>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μετά την 1.1.1996, σύμφωνα με τις διατάξεις των παραγράφων 1 και 2 του άρθρου 11 και του άρθρου 12, καθώς και για τις αποκτήσεις που πραγματοποιεί και αποδεικνύει ότι έγιναν με σκοπό τη μεταγενέστερη παράδοση εντός άλλου κράτους – μέλους, σύμφωνα με το δεύτερο εδάφιο της παραγράφου 2 του άρθρου 15.</w:t>
      </w:r>
      <w:r>
        <w:rPr>
          <w:rStyle w:val="Hyperlink"/>
          <w:color w:val="000000"/>
          <w:sz w:val="20"/>
          <w:szCs w:val="20"/>
          <w:u w:val="none" w:color="0000EE"/>
          <w:vertAlign w:val="superscript"/>
          <w:lang w:val="el" w:eastAsia="el"/>
        </w:rPr>
        <w:footnoteReference w:id="369"/>
      </w:r>
    </w:p>
    <w:p>
      <w:pPr>
        <w:pStyle w:val="MainText"/>
        <w:spacing w:before="120" w:after="0"/>
        <w:rPr>
          <w:lang w:val="el" w:eastAsia="el"/>
        </w:rPr>
      </w:pPr>
      <w:r>
        <w:rPr>
          <w:b/>
          <w:bCs/>
          <w:lang w:val="el" w:eastAsia="el"/>
        </w:rPr>
        <w:t>5.</w:t>
      </w:r>
      <w:r>
        <w:rPr>
          <w:lang w:val="el" w:eastAsia="el"/>
        </w:rPr>
        <w:t xml:space="preserve"> α. Ο υποκείμενος στον φόρο που πραγματοποιεί παροχές υπηρεσιών, για τις οποίες ο τόπος δεν είναι το εσωτερικό της χώρας, σύμφωνα με την περίπτωση α της παραγράφου 2 του άρθρου 14, και για τις οποίες ο λήπτης είναι υποκείμενο στον φόρο πρόσωπο ή μη υποκείμενο στον φόρο νομικό πρόσωπο που διαθέτει ΑΦΜ/ΦΠΑ σε άλλο κράτος - μέλος, υποχρεούται:</w:t>
      </w:r>
      <w:r>
        <w:rPr>
          <w:rStyle w:val="Hyperlink"/>
          <w:color w:val="000000"/>
          <w:sz w:val="20"/>
          <w:szCs w:val="20"/>
          <w:u w:val="none" w:color="0000EE"/>
          <w:vertAlign w:val="superscript"/>
          <w:lang w:val="el" w:eastAsia="el"/>
        </w:rPr>
        <w:footnoteReference w:id="370"/>
      </w:r>
    </w:p>
    <w:p>
      <w:pPr>
        <w:pStyle w:val="StructureList1"/>
        <w:spacing w:before="120" w:after="0"/>
        <w:rPr>
          <w:lang w:val="el" w:eastAsia="el"/>
        </w:rPr>
      </w:pPr>
      <w:r>
        <w:rPr>
          <w:lang w:val="el" w:eastAsia="el"/>
        </w:rPr>
        <w:t>α)</w:t>
      </w:r>
      <w:r>
        <w:rPr>
          <w:lang w:val="en" w:eastAsia="en"/>
        </w:rPr>
        <w:tab/>
      </w:r>
      <w:r>
        <w:rPr>
          <w:lang w:val="el" w:eastAsia="el"/>
        </w:rPr>
        <w:t>να χρησιμοποιεί, για τις εν λόγω παροχές υπη</w:t>
      </w:r>
      <w:r>
        <w:rPr>
          <w:lang w:val="el" w:eastAsia="el"/>
        </w:rPr>
        <w:softHyphen/>
        <w:t>ρεσιών, τον αριθμό φορολογικού μητρώου του με το πρόθεμα «EL» πριν από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r>
        <w:rPr>
          <w:rStyle w:val="Hyperlink"/>
          <w:color w:val="000000"/>
          <w:sz w:val="20"/>
          <w:szCs w:val="20"/>
          <w:u w:val="none" w:color="0000EE"/>
          <w:vertAlign w:val="superscript"/>
          <w:lang w:val="el" w:eastAsia="el"/>
        </w:rPr>
        <w:footnoteReference w:id="371"/>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για τις εν λόγω παροχές υπηρεσιών. Οι ανωτέρω υποχρεώσεις δεν ισχύουν προκειμένου για υπηρεσίες οι οποίες απαλλάσσονται από τον φόρο στο κράτος - μέλος του λήπτη των υπηρεσιών αυτών.</w:t>
      </w:r>
      <w:r>
        <w:rPr>
          <w:rStyle w:val="Hyperlink"/>
          <w:color w:val="000000"/>
          <w:sz w:val="20"/>
          <w:szCs w:val="20"/>
          <w:u w:val="none" w:color="0000EE"/>
          <w:vertAlign w:val="superscript"/>
          <w:lang w:val="el" w:eastAsia="el"/>
        </w:rPr>
        <w:footnoteReference w:id="372"/>
      </w:r>
    </w:p>
    <w:p>
      <w:pPr>
        <w:pStyle w:val="MainText"/>
        <w:spacing w:before="120" w:after="0"/>
        <w:rPr>
          <w:lang w:val="el" w:eastAsia="el"/>
        </w:rPr>
      </w:pPr>
      <w:r>
        <w:rPr>
          <w:b/>
          <w:bCs/>
          <w:lang w:val="el" w:eastAsia="el"/>
        </w:rPr>
        <w:t>5.</w:t>
      </w:r>
      <w:r>
        <w:rPr>
          <w:lang w:val="el" w:eastAsia="el"/>
        </w:rPr>
        <w:t xml:space="preserve"> β. Ο υποκείμενος στον φόρο ή το μη υποκείμενο στον φόρο νομικό πρόσωπο που διαθέτει ΑΦΜ/ΦΠΑ στο εσωτερικό της χώρας, που λαμβάνει υπηρεσίες από υποκείμενο στον φόρο εγκατεστημένο σε άλλο κράτος - μέλος, για τις οποίες ο τόπος είναι το εσω</w:t>
      </w:r>
      <w:r>
        <w:rPr>
          <w:lang w:val="el" w:eastAsia="el"/>
        </w:rPr>
        <w:softHyphen/>
        <w:t>τερικό της χώρας, σύμφωνα με την περίπτωση α' της παραγράφου 2 του άρθρου 14, και για τις οποίες είναι ο ίδιος υπόχρεος στον φόρο, υποχρεούται για τις εν λόγω υπηρεσίες που λαμβάνει:</w:t>
      </w:r>
      <w:r>
        <w:rPr>
          <w:rStyle w:val="Hyperlink"/>
          <w:color w:val="000000"/>
          <w:sz w:val="20"/>
          <w:szCs w:val="20"/>
          <w:u w:val="none" w:color="0000EE"/>
          <w:vertAlign w:val="superscript"/>
          <w:lang w:val="el" w:eastAsia="el"/>
        </w:rPr>
        <w:footnoteReference w:id="373"/>
      </w:r>
    </w:p>
    <w:p>
      <w:pPr>
        <w:pStyle w:val="StructureList1"/>
        <w:spacing w:before="120" w:after="0"/>
        <w:rPr>
          <w:lang w:val="el" w:eastAsia="el"/>
        </w:rPr>
      </w:pPr>
      <w:r>
        <w:rPr>
          <w:lang w:val="el" w:eastAsia="el"/>
        </w:rPr>
        <w:t>α)</w:t>
      </w:r>
      <w:r>
        <w:rPr>
          <w:lang w:val="en" w:eastAsia="en"/>
        </w:rPr>
        <w:tab/>
      </w:r>
      <w:r>
        <w:rPr>
          <w:lang w:val="el" w:eastAsia="el"/>
        </w:rPr>
        <w:t>να χρησιμοποιεί τον αριθμό φορολογικού μητρώου του με το πρόθεμα «EL» πριν από αυτόν,</w:t>
      </w:r>
      <w:r>
        <w:rPr>
          <w:rStyle w:val="Hyperlink"/>
          <w:color w:val="000000"/>
          <w:sz w:val="20"/>
          <w:szCs w:val="20"/>
          <w:u w:val="none" w:color="0000EE"/>
          <w:vertAlign w:val="superscript"/>
          <w:lang w:val="el" w:eastAsia="el"/>
        </w:rPr>
        <w:footnoteReference w:id="374"/>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Η υποχρέωση αυτή δεν ισχύει προκειμένου για υπη</w:t>
      </w:r>
      <w:r>
        <w:rPr>
          <w:lang w:val="el" w:eastAsia="el"/>
        </w:rPr>
        <w:softHyphen/>
        <w:t>ρεσίες οι οποίες απαλλάσσονται από τον φόρο στο εσωτερικό της χώρας.</w:t>
      </w:r>
      <w:r>
        <w:rPr>
          <w:rStyle w:val="Hyperlink"/>
          <w:color w:val="000000"/>
          <w:sz w:val="20"/>
          <w:szCs w:val="20"/>
          <w:u w:val="none" w:color="0000EE"/>
          <w:vertAlign w:val="superscript"/>
          <w:lang w:val="el" w:eastAsia="el"/>
        </w:rPr>
        <w:footnoteReference w:id="375"/>
      </w:r>
    </w:p>
    <w:p>
      <w:pPr>
        <w:pStyle w:val="MainText"/>
        <w:spacing w:before="120" w:after="0"/>
        <w:rPr>
          <w:lang w:val="el" w:eastAsia="el"/>
        </w:rPr>
      </w:pPr>
      <w:r>
        <w:rPr>
          <w:b/>
          <w:bCs/>
          <w:lang w:val="el" w:eastAsia="el"/>
        </w:rPr>
        <w:t>5.</w:t>
      </w:r>
      <w:r>
        <w:rPr>
          <w:lang w:val="el" w:eastAsia="el"/>
        </w:rPr>
        <w:t xml:space="preserve"> γ Οι πράξεις που αναφέρονται στις παραγράφους 5, 5.α και 5.β καταχωρούνται στους ανακεφαλαιωτικούς πίνακες την ημερολογιακή περίοδο κατά τη διάρκεια της οποίας ο φόρος καθίσταται απαιτητός, σύμφωνα με τις διατάξεις των άρθρων 16 και 18 και στην περίπτωση μείωσης της φορολογητέας αξίας μετά την πραγματοποίηση της πράξης, την ημερολογιακή περίοδο που πραγματοποιείται η μείωση. </w:t>
      </w:r>
    </w:p>
    <w:p>
      <w:pPr>
        <w:spacing w:before="240" w:after="240"/>
        <w:rPr>
          <w:lang w:val="el" w:eastAsia="el"/>
        </w:rPr>
      </w:pPr>
      <w:r>
        <w:rPr>
          <w:lang w:val="el" w:eastAsia="el"/>
        </w:rPr>
        <w:t>Οι πληροφορίες που αναφέρονται στην περ. α) της παρ. 5 για τα αγαθά τα οποία αποστέλλονται ή μεταφέρονται στο πλαίσιο των ρυθμίσεων για τα αποθέματα στη διάθεση συγκεκριμένου αποκτώντα, σύμφωνα με την περ. δ) της παρ. 2 του άρθρου 7α, καταχωρούνται στους ανακεφαλαιωτικούς πίνακες που αφορούν την ημερολογιακή περίοδο κατά τη διάρκεια της οποίας ξεκίνησε η μεταφορά ή η αποστολή τους προς το άλλο κράτος-μέλος, ή αντίστροφα από το άλλο κράτος-μέλος σε περίπτωση επιστροφής των αγαθών, σύμφωνα με την παρ. 6 του άρθρου 7α. Τυχόν μεταβολές στις προαναφερόμενες πληροφορίες καταχωρίζονται στους ανακεφαλαιωτικούς πίνακες την ημερολογιακή περίοδο κατά την οποία έλαβαν χώρα οι μεταβολές αυτές.</w:t>
      </w:r>
      <w:r>
        <w:rPr>
          <w:rStyle w:val="Hyperlink"/>
          <w:color w:val="000000"/>
          <w:sz w:val="20"/>
          <w:szCs w:val="20"/>
          <w:u w:val="none" w:color="0000EE"/>
          <w:vertAlign w:val="superscript"/>
          <w:lang w:val="el" w:eastAsia="el"/>
        </w:rPr>
        <w:footnoteReference w:id="376"/>
      </w:r>
    </w:p>
    <w:p>
      <w:pPr>
        <w:spacing w:before="240" w:after="240"/>
        <w:rPr>
          <w:lang w:val="el" w:eastAsia="el"/>
        </w:rPr>
      </w:pPr>
      <w:r>
        <w:rPr>
          <w:lang w:val="el" w:eastAsia="el"/>
        </w:rPr>
        <w:t>5δ. Όταν υποκείμενος στον φόρο διευκολύνει, μέσω της χρήσης ηλεκτρονικής διεπαφής, όπως αγοράς, πλατφόρμας, διαδικτυακής πύλης ή παρόμοιων μέσων, την παράδοση αγαθών ή την παροχή υπηρεσιών σε μη υποκείμενο στον φόρο εντός της Ένωσης, σύμφωνα με τις διατάξεις του Κεφαλαίου Γ`, ο υποκείμενος στον φόρο, ο οποίος διευκολύνει την παράδοση των αγαθών ή την παροχή των υπηρεσιών υποχρεούται να τηρεί καταχωρήσεις των εν λόγω πράξεων. Οι εν λόγω καταχωρήσεις είναι αρκετά λεπτομερείς, ώστε να επιτρέπουν στις φορολογικές αρχές του κράτους μέλους όπου οι εν λόγω πράξεις φορολογούνται να επαληθεύουν την ακρίβεια του υπολογισμού του ΦΠΑ. Οι καταχωρήσεις των προηγούμενων εδαφίων πρέπει να διατίθενται, κατόπιν αιτήματος, με ηλεκτρονικά μέσα στο ενδιαφερόμενο κράτος μέλος και διαφυλάσσονται για διάστημα δέκα (10) ετών, το οποίο αρχίζει από τις 31 Δεκεμβρίου του έτους κατά το οποίο πραγματοποιήθηκε η πράξη.</w:t>
      </w:r>
      <w:r>
        <w:rPr>
          <w:rStyle w:val="Hyperlink"/>
          <w:color w:val="000000"/>
          <w:sz w:val="20"/>
          <w:szCs w:val="20"/>
          <w:u w:val="none" w:color="0000EE"/>
          <w:vertAlign w:val="superscript"/>
          <w:lang w:val="el" w:eastAsia="el"/>
        </w:rPr>
        <w:footnoteReference w:id="377"/>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και οι αγρότες του ειδικού καθεστώτος του άρθρου 41 , εφόσον διενεργούν ενδοκοινοτικές αποκτήσεις αγαθών, οι οποίες δεν καλύπτονται από την παρέκκλιση της παραγράφου 2 του άρθρου 11 υποχρεούνται:</w:t>
      </w:r>
      <w:r>
        <w:rPr>
          <w:rStyle w:val="Hyperlink"/>
          <w:color w:val="000000"/>
          <w:sz w:val="20"/>
          <w:szCs w:val="20"/>
          <w:u w:val="none" w:color="0000EE"/>
          <w:vertAlign w:val="superscript"/>
          <w:lang w:val="el" w:eastAsia="el"/>
        </w:rPr>
        <w:footnoteReference w:id="378"/>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παράγραφο 1 και να λαμβάνουν ΑΦΜ σύμφωνα με τις διατάξεις των άρθρων 10 και 11 του ΚΦΔ (ν. 4174/2013),</w:t>
      </w:r>
      <w:r>
        <w:rPr>
          <w:rStyle w:val="Hyperlink"/>
          <w:color w:val="000000"/>
          <w:sz w:val="20"/>
          <w:szCs w:val="20"/>
          <w:u w:val="none" w:color="0000EE"/>
          <w:vertAlign w:val="superscript"/>
          <w:lang w:val="el" w:eastAsia="el"/>
        </w:rPr>
        <w:footnoteReference w:id="379"/>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μεταβολών, με την οποία γνωστοποιούν τη διενέργεια φορολογητέων ενδοκοινοτικών αποκτήσεων αγαθών σύμφωνα με τις διατάξεις του άρθρου 10 του ΚΦΔ (ν. 4174/2013). Η δήλωση αυτή υποβάλλεται κατά το χρόνο που διαπιστώνεται η συνδρομή των προϋποθέσεων για τη φορολόγηση, σύμφωνα με την παράγραφο 1 του άρθρου 11,</w:t>
      </w:r>
      <w:r>
        <w:rPr>
          <w:rStyle w:val="Hyperlink"/>
          <w:color w:val="000000"/>
          <w:sz w:val="20"/>
          <w:szCs w:val="20"/>
          <w:u w:val="none" w:color="0000EE"/>
          <w:vertAlign w:val="superscript"/>
          <w:lang w:val="el" w:eastAsia="el"/>
        </w:rPr>
        <w:footnoteReference w:id="380"/>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που προβλέπεται από την παράγραφο 6 του άρθρου 38.</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 την οποία γνωστοποιούν την παύση των φορολογητέων ενδοκοινοτικών αποκτήσεων αγαθών. Η δήλωση αυτή υποβάλλεται μέχρι τις 10 Ιανουαρίου του έτους κατά το οποίο δεν προβλέπεται η πραγματοποίηση φορολογητέων ενδοκοινοτικών αποκτήσεων αγαθών.</w:t>
      </w:r>
    </w:p>
    <w:p>
      <w:pPr>
        <w:pStyle w:val="StructureList1"/>
        <w:spacing w:before="120" w:after="0"/>
        <w:rPr>
          <w:lang w:val="el" w:eastAsia="el"/>
        </w:rPr>
      </w:pPr>
      <w:r>
        <w:rPr>
          <w:lang w:val="el" w:eastAsia="el"/>
        </w:rPr>
        <w:t>ε)</w:t>
      </w:r>
      <w:r>
        <w:rPr>
          <w:lang w:val="en" w:eastAsia="en"/>
        </w:rPr>
        <w:tab/>
      </w:r>
      <w:r>
        <w:rPr>
          <w:lang w:val="el" w:eastAsia="el"/>
        </w:rPr>
        <w:t>να υποβάλλουν τον ανακεφαλαιωτικό πίνακα που προβλέπεται στην περίπτωση δ΄ της παραγράφου 5 και τη δήλωση που προβλέπεται στην περίπτωση γ΄ της ίδιας παραγράφου και να εφαρμόζουν όσα προβλέπονται στην περίπτωση β΄ αυτής.</w:t>
      </w:r>
      <w:r>
        <w:rPr>
          <w:rStyle w:val="Hyperlink"/>
          <w:color w:val="000000"/>
          <w:sz w:val="20"/>
          <w:szCs w:val="20"/>
          <w:u w:val="none" w:color="0000EE"/>
          <w:vertAlign w:val="superscript"/>
          <w:lang w:val="el" w:eastAsia="el"/>
        </w:rPr>
        <w:footnoteReference w:id="381"/>
      </w:r>
    </w:p>
    <w:p>
      <w:pPr>
        <w:pStyle w:val="MainText"/>
        <w:spacing w:before="120" w:after="0"/>
        <w:rPr>
          <w:lang w:val="el" w:eastAsia="el"/>
        </w:rPr>
      </w:pPr>
      <w:r>
        <w:rPr>
          <w:b/>
          <w:bCs/>
          <w:lang w:val="el" w:eastAsia="el"/>
        </w:rPr>
        <w:t>7.</w:t>
      </w:r>
      <w:r>
        <w:rPr>
          <w:lang w:val="el" w:eastAsia="el"/>
        </w:rPr>
        <w:t xml:space="preserve"> Τις υποχρεώσεις που προβλέπει το άρθρο αυτό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κληρονομιάς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αντιλήπτορας, σης περιπτώσεις ανηλίκων, απόντων, δικαστικά ή νόμιμα απαγορευμένων και των προσώπων που βρίσκονται υπό δικαστική αντίληψη,</w:t>
      </w:r>
    </w:p>
    <w:p>
      <w:pPr>
        <w:pStyle w:val="StructureList1"/>
        <w:spacing w:before="120" w:after="0"/>
        <w:rPr>
          <w:lang w:val="el" w:eastAsia="el"/>
        </w:rPr>
      </w:pPr>
      <w:r>
        <w:rPr>
          <w:lang w:val="el" w:eastAsia="el"/>
        </w:rPr>
        <w:t>γ)</w:t>
      </w:r>
      <w:r>
        <w:rPr>
          <w:lang w:val="en" w:eastAsia="en"/>
        </w:rPr>
        <w:tab/>
      </w:r>
      <w:r>
        <w:rPr>
          <w:lang w:val="el" w:eastAsia="el"/>
        </w:rPr>
        <w:t>ο προσωρινός ή οριστικός σύνδικος, σε περίπτωση πτώχευσης του υποκείμενου στο φόρο,</w:t>
      </w:r>
    </w:p>
    <w:p>
      <w:pPr>
        <w:pStyle w:val="StructureList1"/>
        <w:spacing w:before="120" w:after="0"/>
        <w:rPr>
          <w:lang w:val="el" w:eastAsia="el"/>
        </w:rPr>
      </w:pPr>
      <w:r>
        <w:rPr>
          <w:lang w:val="el" w:eastAsia="el"/>
        </w:rPr>
        <w:t>δ)</w:t>
      </w:r>
      <w:r>
        <w:rPr>
          <w:lang w:val="en" w:eastAsia="en"/>
        </w:rPr>
        <w:tab/>
      </w:r>
      <w:r>
        <w:rPr>
          <w:lang w:val="el" w:eastAsia="el"/>
        </w:rPr>
        <w:t>ο φορολογικός αντιπρόσωπος, στις περιπτώσεις που ορίζεται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382"/>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 φόρο για τις φορολογικές υποχρεώσεις του, μέχρι το θάνατο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ένωσης προσώπων, κατ΄ ανάλογη εφαρμογή των διατάξεων της φορολογίας εισοδήματος,</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 χρόνο έναρξης της λειτουργίας της επιχείρησης.</w:t>
      </w:r>
    </w:p>
    <w:p>
      <w:pPr>
        <w:pStyle w:val="MainText"/>
        <w:spacing w:before="120" w:after="0"/>
        <w:rPr>
          <w:lang w:val="el" w:eastAsia="el"/>
        </w:rPr>
      </w:pPr>
      <w:r>
        <w:rPr>
          <w:b/>
          <w:bCs/>
          <w:lang w:val="el" w:eastAsia="el"/>
        </w:rPr>
        <w:t>8.</w:t>
      </w:r>
      <w:r>
        <w:rPr>
          <w:lang w:val="el" w:eastAsia="el"/>
        </w:rPr>
        <w:t xml:space="preserve"> Απαλλάσσονται από τις υποχρεώσεις του παρόντος άρθρου, εκτός αν άλλως ορίζεται σ΄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41,</w:t>
      </w:r>
    </w:p>
    <w:p>
      <w:pPr>
        <w:pStyle w:val="StructureList1"/>
        <w:spacing w:before="120" w:after="0"/>
        <w:rPr>
          <w:lang w:val="el" w:eastAsia="el"/>
        </w:rPr>
      </w:pPr>
      <w:r>
        <w:rPr>
          <w:lang w:val="el" w:eastAsia="el"/>
        </w:rPr>
        <w:t>γ)</w:t>
      </w:r>
      <w:r>
        <w:rPr>
          <w:lang w:val="en" w:eastAsia="en"/>
        </w:rPr>
        <w:tab/>
      </w:r>
      <w:r>
        <w:rPr>
          <w:lang w:val="el" w:eastAsia="el"/>
        </w:rPr>
        <w:t>τα νομικά πρόσωπα που δεν υπόκεινται στο φόρο,</w:t>
      </w:r>
    </w:p>
    <w:p>
      <w:pPr>
        <w:pStyle w:val="StructureList1"/>
        <w:spacing w:before="120" w:after="0"/>
        <w:rPr>
          <w:lang w:val="el" w:eastAsia="el"/>
        </w:rPr>
      </w:pPr>
      <w:r>
        <w:rPr>
          <w:lang w:val="el" w:eastAsia="el"/>
        </w:rPr>
        <w:t>δ)</w:t>
      </w:r>
      <w:r>
        <w:rPr>
          <w:lang w:val="en" w:eastAsia="en"/>
        </w:rPr>
        <w:tab/>
      </w:r>
      <w:r>
        <w:rPr>
          <w:lang w:val="el" w:eastAsia="el"/>
        </w:rPr>
        <w:t>τα φυσικά πρόσωπα τα οποία πραγματοποιούν απαλλασσόμενες πράξεις της περίπτωσης κστ΄ της παραγράφου 1 του άρθρου 22 και μόνο για τις πράξεις αυτές.</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η διαδικασία υποβολής των δηλώσεων,</w:t>
      </w:r>
    </w:p>
    <w:p>
      <w:pPr>
        <w:pStyle w:val="StructureList1"/>
        <w:spacing w:before="120" w:after="0"/>
        <w:rPr>
          <w:lang w:val="el" w:eastAsia="el"/>
        </w:rPr>
      </w:pPr>
      <w:r>
        <w:rPr>
          <w:lang w:val="el" w:eastAsia="el"/>
        </w:rPr>
        <w:t>β)</w:t>
      </w:r>
      <w:r>
        <w:rPr>
          <w:lang w:val="en" w:eastAsia="en"/>
        </w:rPr>
        <w:tab/>
      </w:r>
      <w:r>
        <w:rPr>
          <w:lang w:val="el" w:eastAsia="el"/>
        </w:rPr>
        <w:t>ο τρόπος τήρησης και το περιεχόμενο του ειδικού βιβλίου που προβλέπεται στις περ. α) και στ), καθώς και κάθε σχετικό θέμα της περ. ζ) της παρ. 4,</w:t>
      </w:r>
      <w:r>
        <w:rPr>
          <w:rStyle w:val="Hyperlink"/>
          <w:color w:val="000000"/>
          <w:sz w:val="20"/>
          <w:szCs w:val="20"/>
          <w:u w:val="none" w:color="0000EE"/>
          <w:vertAlign w:val="superscript"/>
          <w:lang w:val="el" w:eastAsia="el"/>
        </w:rPr>
        <w:footnoteReference w:id="383"/>
      </w:r>
    </w:p>
    <w:p>
      <w:pPr>
        <w:pStyle w:val="StructureList1"/>
        <w:spacing w:before="120" w:after="0"/>
        <w:rPr>
          <w:lang w:val="el" w:eastAsia="el"/>
        </w:rPr>
      </w:pPr>
      <w:r>
        <w:rPr>
          <w:lang w:val="el" w:eastAsia="el"/>
        </w:rPr>
        <w:t>γ)</w:t>
      </w:r>
      <w:r>
        <w:rPr>
          <w:lang w:val="en" w:eastAsia="en"/>
        </w:rPr>
        <w:tab/>
      </w:r>
      <w:r>
        <w:rPr>
          <w:lang w:val="el" w:eastAsia="el"/>
        </w:rPr>
        <w:t>ο τύπος, το περιεχόμενο και ο χρόνος υποβολής των ανακεφαλαιωτικών πινάκων, που προβλέπονται από τις διατάξεις των περιπτώσεων α΄ και δ΄ της παραπάνω παρ.5,</w:t>
      </w:r>
    </w:p>
    <w:p>
      <w:pPr>
        <w:pStyle w:val="StructureList1"/>
        <w:spacing w:before="120" w:after="0"/>
        <w:rPr>
          <w:lang w:val="el" w:eastAsia="el"/>
        </w:rPr>
      </w:pPr>
      <w:r>
        <w:rPr>
          <w:lang w:val="el" w:eastAsia="el"/>
        </w:rPr>
        <w:t>δ)</w:t>
      </w:r>
      <w:r>
        <w:rPr>
          <w:lang w:val="en" w:eastAsia="en"/>
        </w:rPr>
        <w:tab/>
      </w:r>
      <w:r>
        <w:rPr>
          <w:lang w:val="el" w:eastAsia="el"/>
        </w:rPr>
        <w:t>ο χρόνος και ο τρόπος διαχωρισμού των ακαθαρίστων εσόδων από λιανικές πωλήσεις κατά συντελεστή φόρου.</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του στοιχείου, προκειμένου για παράδοση καινούργιου μεταφορικού μέσου και</w:t>
      </w:r>
    </w:p>
    <w:p>
      <w:pPr>
        <w:pStyle w:val="StructureList1"/>
        <w:spacing w:before="120" w:after="0"/>
        <w:rPr>
          <w:lang w:val="el" w:eastAsia="el"/>
        </w:rPr>
      </w:pPr>
      <w:r>
        <w:rPr>
          <w:lang w:val="el" w:eastAsia="el"/>
        </w:rPr>
        <w:t>στ)</w:t>
      </w:r>
      <w:r>
        <w:rPr>
          <w:lang w:val="en" w:eastAsia="en"/>
        </w:rPr>
        <w:tab/>
      </w:r>
      <w:r>
        <w:rPr>
          <w:lang w:val="el" w:eastAsia="el"/>
        </w:rPr>
        <w:t>ο τύπος και το περιεχόμενο της δήλωσης έναρξης και παύσης φορολογητέων ενδοκοινοτικών αποκτήσεων της παραγράφου 6,</w:t>
      </w:r>
    </w:p>
    <w:p>
      <w:pPr>
        <w:pStyle w:val="StructureList1"/>
        <w:spacing w:before="120" w:after="0"/>
        <w:rPr>
          <w:lang w:val="el" w:eastAsia="el"/>
        </w:rPr>
      </w:pPr>
      <w:r>
        <w:rPr>
          <w:lang w:val="el" w:eastAsia="el"/>
        </w:rPr>
        <w:t>ζ)</w:t>
      </w:r>
      <w:r>
        <w:rPr>
          <w:lang w:val="en" w:eastAsia="en"/>
        </w:rPr>
        <w:tab/>
      </w:r>
      <w:r>
        <w:rPr>
          <w:lang w:val="el" w:eastAsia="el"/>
        </w:rPr>
        <w:t>το χρονικό διάστημα εργασιών ίδρυσης επιχείρησης</w:t>
      </w:r>
    </w:p>
    <w:p>
      <w:pPr>
        <w:pStyle w:val="MainText"/>
        <w:spacing w:before="120" w:after="0"/>
        <w:rPr>
          <w:lang w:val="el" w:eastAsia="el"/>
        </w:rPr>
      </w:pPr>
      <w:r>
        <w:rPr>
          <w:b/>
          <w:bCs/>
          <w:lang w:val="el" w:eastAsia="el"/>
        </w:rPr>
        <w:t>10.</w:t>
      </w:r>
      <w:r>
        <w:rPr>
          <w:lang w:val="el" w:eastAsia="el"/>
        </w:rPr>
        <w:t xml:space="preserve"> Με κοινές αποφάσεις των Υπουργών Εθνικής Οικονομίας και Οικονομικών ορίζονται τα τυχόν πρόσθετα στοιχεία του κοινοτικού εντύπου INSTRASTAT, η διαδικασία και ο χρόνος υποβολής της δήλωσης που προβλέπεται στην περίπτωση γ΄ της παραγράφου 5.</w:t>
      </w:r>
    </w:p>
    <w:p>
      <w:pPr>
        <w:pStyle w:val="MainText"/>
        <w:spacing w:before="120" w:after="0"/>
        <w:rPr>
          <w:lang w:val="el" w:eastAsia="el"/>
        </w:rPr>
      </w:pPr>
      <w:r>
        <w:rPr>
          <w:b/>
          <w:bCs/>
          <w:lang w:val="el" w:eastAsia="el"/>
        </w:rPr>
        <w:t>11.</w:t>
      </w:r>
      <w:r>
        <w:rPr>
          <w:lang w:val="el" w:eastAsia="el"/>
        </w:rPr>
        <w:t xml:space="preserve"> Οι δηλώσεις που αναφέρονται στην περίπτωση β` της παραγράφου 4, καθώς και οι Ανακεφαλαιωτικοί Πίνακες που αναφέρονται στην παράγραφο 5, επιτρέπεται να υποβάλλονται ηλεκτρονικά. Με απόφαση του Υπουργού Οικονομίας και Οικονομικών, μπορεί να ορίζεται υποχρεωτική η ηλεκτρονική υποβολή των δηλώσεων αυτών και καθορίζεται η διαδικασία και κάθε άλλο σχετικό θέμα.</w:t>
      </w:r>
      <w:r>
        <w:rPr>
          <w:rStyle w:val="Hyperlink"/>
          <w:color w:val="000000"/>
          <w:sz w:val="20"/>
          <w:szCs w:val="20"/>
          <w:u w:val="none" w:color="0000EE"/>
          <w:vertAlign w:val="superscript"/>
          <w:lang w:val="el" w:eastAsia="el"/>
        </w:rPr>
        <w:footnoteReference w:id="384"/>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 κύριος , ο νομέας ή ο κάτοχος ακινήτου, για λογαριασμό του οποίου ενεργούνται οι εργασίες που αναφέρονται στην περίπτωση β΄ της παραγράφου 2 του άρθρου 6, με εξαίρεση τα πρόσωπα που αναφέρονται στην παράγραφο 2 του άρθρου 3 και τον κύριο οικοπέδου που αναθέτει σε εργολάβο την ανέγερση οικοδομής με το σύστημα της αντιπαροχής, υποχρεούται:</w:t>
      </w:r>
    </w:p>
    <w:p>
      <w:pPr>
        <w:pStyle w:val="StructureList1"/>
        <w:spacing w:before="120" w:after="0"/>
        <w:rPr>
          <w:lang w:val="el" w:eastAsia="el"/>
        </w:rPr>
      </w:pPr>
      <w:r>
        <w:rPr>
          <w:lang w:val="el" w:eastAsia="el"/>
        </w:rPr>
        <w:t>α)</w:t>
      </w:r>
      <w:r>
        <w:rPr>
          <w:lang w:val="en" w:eastAsia="en"/>
        </w:rPr>
        <w:tab/>
      </w:r>
      <w:r>
        <w:rPr>
          <w:lang w:val="el" w:eastAsia="el"/>
        </w:rPr>
        <w:t>να υποβάλλει στον αρμόδιο για τη φορολογία του εισοδήματος Προϊστάμενο ΔΟΥ, το μήνα Ιανουάριο, δήλωση η οποία να περιλαμβάνει τα στοιχεία κόστους των εργασιών που εκτελέστηκαν το προηγούμενο ημερολογιακό έτος, εφόσον αυτό υπερβαίνει συνολικά το ποσό των χιλίων πεντακοσίων (1.500) ευρώ, καθώς και το ονοματεπώνυμο και τη διεύθυνση του εργολάβου.</w:t>
      </w:r>
      <w:r>
        <w:rPr>
          <w:rStyle w:val="Hyperlink"/>
          <w:color w:val="000000"/>
          <w:sz w:val="20"/>
          <w:szCs w:val="20"/>
          <w:u w:val="none" w:color="0000EE"/>
          <w:vertAlign w:val="superscript"/>
          <w:lang w:val="el" w:eastAsia="el"/>
        </w:rPr>
        <w:footnoteReference w:id="385"/>
      </w:r>
    </w:p>
    <w:p>
      <w:pPr>
        <w:pStyle w:val="StructureList1"/>
        <w:spacing w:before="120" w:after="0"/>
        <w:rPr>
          <w:lang w:val="el" w:eastAsia="el"/>
        </w:rPr>
      </w:pPr>
      <w:r>
        <w:rPr>
          <w:lang w:val="el" w:eastAsia="el"/>
        </w:rPr>
        <w:t>β)</w:t>
      </w:r>
      <w:r>
        <w:rPr>
          <w:lang w:val="en" w:eastAsia="en"/>
        </w:rPr>
        <w:tab/>
      </w:r>
      <w:r>
        <w:rPr>
          <w:lang w:val="el" w:eastAsia="el"/>
        </w:rPr>
        <w:t>να διαφυλάσσει τα πιο πάνω στοιχεία κόστους για μία δεκαετία από την αποπεράτωση του έργου, όταν ισχυρίζεται ότι οι εργασίες πραγματοποιήθηκαν χωρίς τη μεσολάβηση εργολάβου. Τα πιο πάνω πρόσωπα φέρουν το βάρος της απόδειξης αυτού του ισχυρισμού.</w:t>
      </w:r>
    </w:p>
    <w:p>
      <w:pPr>
        <w:pStyle w:val="MainText"/>
        <w:spacing w:before="120" w:after="0"/>
        <w:rPr>
          <w:lang w:val="el" w:eastAsia="el"/>
        </w:rPr>
      </w:pPr>
      <w:r>
        <w:rPr>
          <w:b/>
          <w:bCs/>
          <w:lang w:val="el" w:eastAsia="el"/>
        </w:rPr>
        <w:t>2.</w:t>
      </w:r>
      <w:r>
        <w:rPr>
          <w:lang w:val="el" w:eastAsia="el"/>
        </w:rPr>
        <w:t xml:space="preserve"> Τα πρόσωπα που συντάσσουν τη μελέτη του έργου έχουν υποχρέωση να υποβάλλουν στην αρμόδια υπηρεσία πολεοδομίας, μαζί με την αίτηση για την έκδοση άδειας εκτέλεσης του έργου, πληροφοριακά στοιχεία για το έργο που θα εκτελεσθεί. Οι υπηρεσίες πολεοδομίας υποχρεούνται, μέσα στο μήνα Ιανουάριο κάθε έτους, να αποστέλλουν στο Κέντρο Πληροφορικής του Υπουργείου Οικονομικών (ΚΕ.Π.Υ.Ο.) τα πιο πάνω πληροφοριακά στοιχεία, βεβαιώνοντας ότι αυτά είναι ίδια με τα στοιχεία της αντίστοιχης άδειας που εξέδωσαν για το έργο αυτό.Το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 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w:t>
      </w:r>
      <w:r>
        <w:rPr>
          <w:rStyle w:val="Hyperlink"/>
          <w:color w:val="000000"/>
          <w:sz w:val="20"/>
          <w:szCs w:val="20"/>
          <w:u w:val="none" w:color="0000EE"/>
          <w:vertAlign w:val="superscript"/>
          <w:lang w:val="el" w:eastAsia="el"/>
        </w:rPr>
        <w:footnoteReference w:id="386"/>
      </w:r>
    </w:p>
    <w:p>
      <w:pPr>
        <w:pStyle w:val="MainText"/>
        <w:spacing w:before="120" w:after="0"/>
        <w:rPr>
          <w:lang w:val="el" w:eastAsia="el"/>
        </w:rPr>
      </w:pPr>
      <w:r>
        <w:rPr>
          <w:b/>
          <w:bCs/>
          <w:lang w:val="el" w:eastAsia="el"/>
        </w:rPr>
        <w:t>3.</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που προβλέπουν οι διατάξεις των παραγράφων 1 και 2 περίπτωση α΄ του άρθρου 6, πλην της περίπτωσης αναγκαστικής απαλλοτρίωσης, ή για πράξεις για τις οποίες ο φόρος καταβάλλεται με έκτακτη δήλωση, εφόσον δεν παραδίδεται σε αυτούς θεωρημένο αντίγραφο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w:t>
      </w:r>
      <w:r>
        <w:rPr>
          <w:rStyle w:val="Hyperlink"/>
          <w:color w:val="000000"/>
          <w:sz w:val="20"/>
          <w:szCs w:val="20"/>
          <w:u w:val="none" w:color="0000EE"/>
          <w:vertAlign w:val="superscript"/>
          <w:lang w:val="el" w:eastAsia="el"/>
        </w:rPr>
        <w:footnoteReference w:id="387"/>
      </w:r>
    </w:p>
    <w:p>
      <w:pPr>
        <w:pStyle w:val="StructureList1"/>
        <w:spacing w:before="120" w:after="0"/>
        <w:rPr>
          <w:lang w:val="el" w:eastAsia="el"/>
        </w:rPr>
      </w:pPr>
      <w:r>
        <w:rPr>
          <w:lang w:val="el" w:eastAsia="el"/>
        </w:rPr>
        <w:t>β)</w:t>
      </w:r>
      <w:r>
        <w:rPr>
          <w:lang w:val="en" w:eastAsia="en"/>
        </w:rPr>
        <w:tab/>
      </w:r>
      <w:r>
        <w:rPr>
          <w:lang w:val="el" w:eastAsia="el"/>
        </w:rPr>
        <w:t>να μην συντάσσουν έγγραφα διορθωτικά, συμπληρωματικά, τροποποιητικά ή επαναληπτικά των εγγράφων που αναφέρονται στην προηγούμενη περίπτωση α, εφόσον δεν παραδίδεται σε αυτούς θεωρημένο αντίγραφο της πράξης προσδιορισμού του φόρου που εκδίδεται σύμφωνα με την περίπτωση β` της παραγράφου 2 του άρθρου 49,</w:t>
      </w:r>
      <w:r>
        <w:rPr>
          <w:rStyle w:val="Hyperlink"/>
          <w:color w:val="000000"/>
          <w:sz w:val="20"/>
          <w:szCs w:val="20"/>
          <w:u w:val="none" w:color="0000EE"/>
          <w:vertAlign w:val="superscript"/>
          <w:lang w:val="el" w:eastAsia="el"/>
        </w:rPr>
        <w:footnoteReference w:id="388"/>
      </w:r>
    </w:p>
    <w:p>
      <w:pPr>
        <w:pStyle w:val="StructureList1"/>
        <w:spacing w:before="120" w:after="0"/>
        <w:rPr>
          <w:lang w:val="el" w:eastAsia="el"/>
        </w:rPr>
      </w:pPr>
      <w:r>
        <w:rPr>
          <w:lang w:val="el" w:eastAsia="el"/>
        </w:rPr>
        <w:t>γ)</w:t>
      </w:r>
      <w:r>
        <w:rPr>
          <w:lang w:val="en" w:eastAsia="en"/>
        </w:rPr>
        <w:tab/>
      </w:r>
      <w:r>
        <w:rPr>
          <w:lang w:val="el" w:eastAsia="el"/>
        </w:rPr>
        <w:t>να αναγράφουν στα πιο πάνω έγγραφα τον αύξοντα αριθμό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 Για την εφαρμογή της παρούσας παραγράφου, ως αποδεικτικά καταβολής του φόρου νοούνται τα αποδεικτικά που ορίζονται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389"/>
      </w:r>
    </w:p>
    <w:p>
      <w:pPr>
        <w:pStyle w:val="MainText"/>
        <w:spacing w:before="120" w:after="0"/>
        <w:rPr>
          <w:lang w:val="el" w:eastAsia="el"/>
        </w:rPr>
      </w:pPr>
      <w:r>
        <w:rPr>
          <w:b/>
          <w:bCs/>
          <w:lang w:val="el" w:eastAsia="el"/>
        </w:rPr>
        <w:t>4.</w:t>
      </w:r>
      <w:r>
        <w:rPr>
          <w:lang w:val="el" w:eastAsia="el"/>
        </w:rPr>
        <w:t xml:space="preserve"> Ο υποθηκοφύλακας ή ο προϊστάμενος του κτηματολογικού γραφείου είναι υποχρεωμένος να αρνηθεί τη μεταγραφή σύμβασης ή δικαστικής απόφασης ή οποιασδήποτε άλλης πράξης που αφορά πράξεις επί ακινήτων που προβλέπουν οι διατάξεις των παραγράφων 1 και 2 περίπτωση α` του άρθρου 6, πλην της αναγκαστικής απαλλοτρίωσης, αν δεν προσκομίζεται σε αυτόν αντίγραφο της ειδικής δήλωσης της περίπτωσης γ` της παραγράφου 4 του άρθρου 36 ή θεωρημένο αντίγραφο της πράξης προσδιορισμού του φόρου, η οποία εκδίδεται σύμφωνα με την περίπτωση β` της παραγράφου 2 του άρθρου 49 προκειμένου για έγγραφα διορθωτικά, συμπληρωματικά, τροποποιητικά ή επαναληπτικά των παραπάνω εγγράφων.</w:t>
      </w:r>
      <w:r>
        <w:rPr>
          <w:rStyle w:val="Hyperlink"/>
          <w:color w:val="000000"/>
          <w:sz w:val="20"/>
          <w:szCs w:val="20"/>
          <w:u w:val="none" w:color="0000EE"/>
          <w:vertAlign w:val="superscript"/>
          <w:lang w:val="el" w:eastAsia="el"/>
        </w:rPr>
        <w:footnoteReference w:id="390"/>
      </w:r>
    </w:p>
    <w:p>
      <w:pPr>
        <w:pStyle w:val="MainText"/>
        <w:spacing w:before="120" w:after="0"/>
        <w:rPr>
          <w:lang w:val="el" w:eastAsia="el"/>
        </w:rPr>
      </w:pPr>
      <w:r>
        <w:rPr>
          <w:b/>
          <w:bCs/>
          <w:lang w:val="el" w:eastAsia="el"/>
        </w:rPr>
        <w:t>5.</w:t>
      </w:r>
      <w:r>
        <w:rPr>
          <w:lang w:val="el" w:eastAsia="el"/>
        </w:rPr>
        <w:t xml:space="preserve"> Οι διατάξεις της παραγράφου 1 δεν εφαρμόζονται για ακίνητα των οποίων η σχετική άδεια από την αρμόδια πολεοδομική υπηρεσία εκδίδεται μετά την 1/1/1995 για τις οποίες εφαρμόζονται οι διατάξεις των άρθρων 34 και 35 του Ν. 2238/1994.</w:t>
      </w:r>
      <w:r>
        <w:rPr>
          <w:rStyle w:val="Hyperlink"/>
          <w:color w:val="000000"/>
          <w:sz w:val="20"/>
          <w:szCs w:val="20"/>
          <w:u w:val="none" w:color="0000EE"/>
          <w:vertAlign w:val="superscript"/>
          <w:lang w:val="el" w:eastAsia="el"/>
        </w:rPr>
        <w:footnoteReference w:id="391"/>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και του κατά περίπτωση αρμόδιου Υπουργού ορίζονται ο τύπος και το περιεχόμενο των δηλώσεων που υποβάλλουν τα πρόσωπα της παραγράφου 1, τα πληροφοριακά στοιχεία που υποβάλλουν στην αρμόδια υπηρεσία πολεοδομίας τα πρόσωπα που συντάσσουν τη μελέτη του έργου, καθώς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392"/>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Δήλωση και συναφείς υποχρεώσεις</w:t>
      </w:r>
      <w:r>
        <w:rPr>
          <w:rStyle w:val="Hyperlink"/>
          <w:color w:val="000000"/>
          <w:sz w:val="20"/>
          <w:szCs w:val="20"/>
          <w:u w:val="none" w:color="0000EE"/>
          <w:vertAlign w:val="superscript"/>
          <w:lang w:val="el" w:eastAsia="el"/>
        </w:rPr>
        <w:footnoteReference w:id="393"/>
      </w:r>
    </w:p>
    <w:p>
      <w:pPr>
        <w:pStyle w:val="MainText"/>
        <w:spacing w:before="120" w:after="0"/>
        <w:rPr>
          <w:lang w:val="el" w:eastAsia="el"/>
        </w:rPr>
      </w:pPr>
      <w:r>
        <w:rPr>
          <w:b/>
          <w:bCs/>
          <w:lang w:val="el" w:eastAsia="el"/>
        </w:rPr>
        <w:t>1.</w:t>
      </w:r>
      <w:r>
        <w:rPr>
          <w:lang w:val="el" w:eastAsia="el"/>
        </w:rPr>
        <w:t xml:space="preserve"> Οι υπόχρεοι στο φόρο, που ενεργούν φορολογητέες πράξεις ή πράξεις απαλλασσόμενες του φόρου, για τις οποίες έχουν δικαίωμα έκπτωσης του φόρου εισροών με βάση τις διατάξεις του άρθρου 30, οφείλουν να υποβάλουν δήλωση ΦΠΑ για κάθε φορολογική περίοδο.</w:t>
      </w:r>
      <w:r>
        <w:rPr>
          <w:rStyle w:val="Hyperlink"/>
          <w:color w:val="000000"/>
          <w:sz w:val="20"/>
          <w:szCs w:val="20"/>
          <w:u w:val="none" w:color="0000EE"/>
          <w:vertAlign w:val="superscript"/>
          <w:lang w:val="el" w:eastAsia="el"/>
        </w:rPr>
        <w:footnoteReference w:id="394"/>
      </w:r>
    </w:p>
    <w:p>
      <w:pPr>
        <w:pStyle w:val="MainText"/>
        <w:spacing w:before="120" w:after="0"/>
        <w:rPr>
          <w:lang w:val="el" w:eastAsia="el"/>
        </w:rPr>
      </w:pPr>
      <w:r>
        <w:rPr>
          <w:b/>
          <w:bCs/>
          <w:lang w:val="el" w:eastAsia="el"/>
        </w:rPr>
        <w:t>2.</w:t>
      </w:r>
      <w:r>
        <w:rPr>
          <w:lang w:val="el" w:eastAsia="el"/>
        </w:rPr>
        <w:t xml:space="preserve"> Η φορολογική περίοδος ορίζεται ως εξής:</w:t>
      </w:r>
      <w:r>
        <w:rPr>
          <w:rStyle w:val="Hyperlink"/>
          <w:color w:val="000000"/>
          <w:sz w:val="20"/>
          <w:szCs w:val="20"/>
          <w:u w:val="none" w:color="0000EE"/>
          <w:vertAlign w:val="superscript"/>
          <w:lang w:val="el" w:eastAsia="el"/>
        </w:rPr>
        <w:footnoteReference w:id="395"/>
      </w:r>
    </w:p>
    <w:p>
      <w:pPr>
        <w:pStyle w:val="StructureList1"/>
        <w:spacing w:before="120" w:after="0"/>
        <w:rPr>
          <w:lang w:val="el" w:eastAsia="el"/>
        </w:rPr>
      </w:pPr>
      <w:r>
        <w:rPr>
          <w:lang w:val="el" w:eastAsia="el"/>
        </w:rPr>
        <w:t>α)</w:t>
      </w:r>
      <w:r>
        <w:rPr>
          <w:lang w:val="en" w:eastAsia="en"/>
        </w:rPr>
        <w:tab/>
      </w:r>
      <w:r>
        <w:rPr>
          <w:lang w:val="el" w:eastAsia="el"/>
        </w:rPr>
        <w:t>ένας ημερολογιακός μήνας, προκειμένου για υπόχρεους οι οποίοι χρησιμοποιούν διπλογραφικό λογιστικό σύστημα, καθώς και για το Δημόσιο όταν ασκεί δραστηριότητες για τις οποίες υπόκειται στο φόρο,</w:t>
      </w:r>
      <w:r>
        <w:rPr>
          <w:rStyle w:val="Hyperlink"/>
          <w:color w:val="000000"/>
          <w:sz w:val="20"/>
          <w:szCs w:val="20"/>
          <w:u w:val="none" w:color="0000EE"/>
          <w:vertAlign w:val="superscript"/>
          <w:lang w:val="el" w:eastAsia="el"/>
        </w:rPr>
        <w:footnoteReference w:id="396"/>
      </w:r>
    </w:p>
    <w:p>
      <w:pPr>
        <w:pStyle w:val="StructureList1"/>
        <w:spacing w:before="120" w:after="0"/>
        <w:rPr>
          <w:lang w:val="el" w:eastAsia="el"/>
        </w:rPr>
      </w:pPr>
      <w:r>
        <w:rPr>
          <w:lang w:val="el" w:eastAsia="el"/>
        </w:rPr>
        <w:t>β)</w:t>
      </w:r>
      <w:r>
        <w:rPr>
          <w:lang w:val="en" w:eastAsia="en"/>
        </w:rPr>
        <w:tab/>
      </w:r>
      <w:r>
        <w:rPr>
          <w:lang w:val="el" w:eastAsia="el"/>
        </w:rPr>
        <w:t>ένα ημερολογιακό τρίμηνο, προκειμένου για υπόχρεους οι οποίοι χρησιμοποιούν απλογραφικό λογιστικό σύστημα, καθώς και για μη υπόχρεους σε τήρηση βιβλίων και έκδοση στοιχείων, σύμφωνα με τη φορολογική νομοθεσία.</w:t>
      </w:r>
      <w:r>
        <w:rPr>
          <w:rStyle w:val="Hyperlink"/>
          <w:color w:val="000000"/>
          <w:sz w:val="20"/>
          <w:szCs w:val="20"/>
          <w:u w:val="none" w:color="0000EE"/>
          <w:vertAlign w:val="superscript"/>
          <w:lang w:val="el" w:eastAsia="el"/>
        </w:rPr>
        <w:footnoteReference w:id="397"/>
      </w:r>
    </w:p>
    <w:p>
      <w:pPr>
        <w:pStyle w:val="MainText"/>
        <w:spacing w:before="120" w:after="0"/>
        <w:rPr>
          <w:lang w:val="el" w:eastAsia="el"/>
        </w:rPr>
      </w:pPr>
      <w:r>
        <w:rPr>
          <w:b/>
          <w:bCs/>
          <w:lang w:val="el" w:eastAsia="el"/>
        </w:rPr>
        <w:t>2α.</w:t>
      </w:r>
      <w:r>
        <w:rPr>
          <w:lang w:val="el" w:eastAsia="el"/>
        </w:rPr>
        <w:t xml:space="preserve"> Οι υπόχρεοι οι οποίοι ανήκουν σε ειδικό καθεστώς κατ’ αποκοπή καταβολής του φόρου, σύμφωνα με τις διατάξεις του άρθρου 40, υποβάλλουν έκτακτη δήλωση Φ.Π.Α. κάθε εξάμηνο.</w:t>
      </w:r>
      <w:r>
        <w:rPr>
          <w:rStyle w:val="Hyperlink"/>
          <w:color w:val="000000"/>
          <w:sz w:val="20"/>
          <w:szCs w:val="20"/>
          <w:u w:val="none" w:color="0000EE"/>
          <w:vertAlign w:val="superscript"/>
          <w:lang w:val="el" w:eastAsia="el"/>
        </w:rPr>
        <w:footnoteReference w:id="398"/>
      </w:r>
    </w:p>
    <w:p>
      <w:pPr>
        <w:pStyle w:val="MainText"/>
        <w:spacing w:before="120" w:after="0"/>
        <w:rPr>
          <w:lang w:val="el" w:eastAsia="el"/>
        </w:rPr>
      </w:pPr>
      <w:r>
        <w:rPr>
          <w:b/>
          <w:bCs/>
          <w:lang w:val="el" w:eastAsia="el"/>
        </w:rPr>
        <w:t>3.</w:t>
      </w:r>
      <w:r>
        <w:rPr>
          <w:lang w:val="el" w:eastAsia="el"/>
        </w:rPr>
        <w:t xml:space="preserve"> Δήλωση ΦΠΑ δεν υποβάλλουν οι υπόχρεοι που δηλώνουν ότι βρίσκονται σε αδράνεια ή αναστολή εργασιών, από το χρόνο υποβολής σχετικής δήλωσης μεταβολής.</w:t>
      </w:r>
      <w:r>
        <w:rPr>
          <w:rStyle w:val="Hyperlink"/>
          <w:color w:val="000000"/>
          <w:sz w:val="20"/>
          <w:szCs w:val="20"/>
          <w:u w:val="none" w:color="0000EE"/>
          <w:vertAlign w:val="superscript"/>
          <w:lang w:val="el" w:eastAsia="el"/>
        </w:rPr>
        <w:footnoteReference w:id="399"/>
      </w:r>
    </w:p>
    <w:p>
      <w:pPr>
        <w:pStyle w:val="MainText"/>
        <w:spacing w:before="120" w:after="0"/>
        <w:rPr>
          <w:lang w:val="el" w:eastAsia="el"/>
        </w:rPr>
      </w:pPr>
      <w:r>
        <w:rPr>
          <w:b/>
          <w:bCs/>
          <w:lang w:val="el" w:eastAsia="el"/>
        </w:rPr>
        <w:t>4.</w:t>
      </w:r>
      <w:r>
        <w:rPr>
          <w:lang w:val="el" w:eastAsia="el"/>
        </w:rPr>
        <w:t xml:space="preserve"> Η δήλωση ΦΠΑ υποβάλλεται μέχρι την τελευταία εργάσιμη ημέρα του μήνα που ακολουθεί τη λήξη της φορολογικής περιόδου.</w:t>
      </w:r>
    </w:p>
    <w:p>
      <w:pPr>
        <w:spacing w:before="240" w:after="240"/>
        <w:rPr>
          <w:lang w:val="el" w:eastAsia="el"/>
        </w:rPr>
      </w:pPr>
      <w:r>
        <w:rPr>
          <w:lang w:val="el" w:eastAsia="el"/>
        </w:rPr>
        <w:t>Όταν ο υποκείμενος στο φόρο διακόπτει οριστικά τις εργασίες της επιχείρησής του και μεταφέρει εκτός της χώρας την οικονομική του δραστηριότητα, υποχρεούται κατά το χρόνο της διακοπής να υποβάλει τις προβλεπόμενες δηλώσεις ΦΠΑ και να καταβάλει τον οφειλόμενο φόρο. Στην περίπτωση του προηγούμενου εδαφίου, η Φορολογική Διοίκηση μπορεί να ζητά κάθε αναγκαία πρόσθετη εγγύηση.</w:t>
      </w:r>
      <w:r>
        <w:rPr>
          <w:rStyle w:val="Hyperlink"/>
          <w:color w:val="000000"/>
          <w:sz w:val="20"/>
          <w:szCs w:val="20"/>
          <w:u w:val="none" w:color="0000EE"/>
          <w:vertAlign w:val="superscript"/>
          <w:lang w:val="el" w:eastAsia="el"/>
        </w:rPr>
        <w:footnoteReference w:id="400"/>
      </w:r>
    </w:p>
    <w:p>
      <w:pPr>
        <w:pStyle w:val="MainText"/>
        <w:spacing w:before="120" w:after="0"/>
        <w:rPr>
          <w:lang w:val="el" w:eastAsia="el"/>
        </w:rPr>
      </w:pPr>
      <w:r>
        <w:rPr>
          <w:b/>
          <w:bCs/>
          <w:lang w:val="el" w:eastAsia="el"/>
        </w:rPr>
        <w:t>5.</w:t>
      </w:r>
      <w:r>
        <w:rPr>
          <w:lang w:val="el" w:eastAsia="el"/>
        </w:rPr>
        <w:t xml:space="preserve"> Εφημεριδοπώλες, η δραστηριότητα των οποίων διέπεται από τις διατάξεις του ν.δ. 2943/1954 (Α' 181), μπορούν να μην υποβάλουν δηλώσεις ΦΠΑ, εφόσον επιλέξουν τη μη διενέργεια έκπτωσης του φόρου εισροών. Η σχετική δήλωση επιλογής υποβάλλεται μέσα σε τριάντα ημέρες από την έναρξη της διαχειριστικής περιόδου και δεν μπορεί να ανακληθεί πριν την παρέλευση πενταετίας.</w:t>
      </w:r>
      <w:r>
        <w:rPr>
          <w:rStyle w:val="Hyperlink"/>
          <w:color w:val="000000"/>
          <w:sz w:val="20"/>
          <w:szCs w:val="20"/>
          <w:u w:val="none" w:color="0000EE"/>
          <w:vertAlign w:val="superscript"/>
          <w:lang w:val="el" w:eastAsia="el"/>
        </w:rPr>
        <w:footnoteReference w:id="401"/>
      </w:r>
    </w:p>
    <w:p>
      <w:pPr>
        <w:pStyle w:val="MainText"/>
        <w:spacing w:before="120" w:after="0"/>
        <w:rPr>
          <w:lang w:val="el" w:eastAsia="el"/>
        </w:rPr>
      </w:pPr>
      <w:r>
        <w:rPr>
          <w:b/>
          <w:bCs/>
          <w:lang w:val="el" w:eastAsia="el"/>
        </w:rPr>
        <w:t>6.</w:t>
      </w:r>
      <w:r>
        <w:rPr>
          <w:lang w:val="el" w:eastAsia="el"/>
        </w:rPr>
        <w:t xml:space="preserve"> Η διαφορά φόρου που προκύπτει στη δήλωση ΦΠΑ, αν είναι θετική και άνω των τριάντα (30) ευρώ καταβάλλεται στο Δημόσιο, αν είναι θετική μέχρι τριάντα (30)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 Η υποχρέωση καταβολής του οφειλόμενου ποσού λήγει την τελευταία εργάσιμη ημέρα του μήνα κατά τον οποίο λήγει η προθεσμία υποβολής της δήλωσης. Ειδικά για εμπρόθεσμη δήλωση και με την προϋπόθεση ότι το οφειλόμενο ποσό υπερβαίνει το ποσό των εκατό (100) ευρώ, ο υποκείμενος στο φόρο μπορεί να επιλέξει την καταβολή του οφειλόμενου ποσού σε δύο (2) άτοκες ισόποσες δόσεις. Στην περίπτωση αυτή, το ποσό της δεύτερης δόσης καταβάλλεται μέχρι την τελευταία εργάσιμη ημέρα του επόμενου μήνα, από την υποβολή της εμπρόθεσμης δήλωσης.</w:t>
      </w:r>
      <w:r>
        <w:rPr>
          <w:rStyle w:val="Hyperlink"/>
          <w:color w:val="000000"/>
          <w:sz w:val="20"/>
          <w:szCs w:val="20"/>
          <w:u w:val="none" w:color="0000EE"/>
          <w:vertAlign w:val="superscript"/>
          <w:lang w:val="el" w:eastAsia="el"/>
        </w:rPr>
        <w:footnoteReference w:id="402"/>
      </w:r>
    </w:p>
    <w:p>
      <w:pPr>
        <w:pStyle w:val="MainText"/>
        <w:spacing w:before="120" w:after="0"/>
        <w:rPr>
          <w:lang w:val="el" w:eastAsia="el"/>
        </w:rPr>
      </w:pPr>
      <w:r>
        <w:rPr>
          <w:b/>
          <w:bCs/>
          <w:lang w:val="el" w:eastAsia="el"/>
        </w:rPr>
        <w:t>7.</w:t>
      </w:r>
      <w:r>
        <w:rPr>
          <w:lang w:val="el" w:eastAsia="el"/>
        </w:rPr>
        <w:t xml:space="preserve"> Σε περίπτωση εισαγωγής αγαθών, ο υπόχρεος στο φόρο καταθέτει διασάφηση εισαγωγής ή άλλο τελωνειακό παραστατικό έγγραφο στο τελωνείο εισαγωγής, σύμφωνα με τις τελωνειακές διατάξεις.</w:t>
      </w:r>
      <w:r>
        <w:rPr>
          <w:rStyle w:val="Hyperlink"/>
          <w:color w:val="000000"/>
          <w:sz w:val="20"/>
          <w:szCs w:val="20"/>
          <w:u w:val="none" w:color="0000EE"/>
          <w:vertAlign w:val="superscript"/>
          <w:lang w:val="el" w:eastAsia="el"/>
        </w:rPr>
        <w:footnoteReference w:id="403"/>
      </w:r>
    </w:p>
    <w:p>
      <w:pPr>
        <w:pStyle w:val="MainText"/>
        <w:spacing w:before="120" w:after="0"/>
        <w:rPr>
          <w:lang w:val="el" w:eastAsia="el"/>
        </w:rPr>
      </w:pPr>
      <w:r>
        <w:rPr>
          <w:b/>
          <w:bCs/>
          <w:lang w:val="el" w:eastAsia="el"/>
        </w:rPr>
        <w:t>8.</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σύμφωνα με τις διατάξεις των παραγράφων 2 και 3 του άρθρου 3, καθώς και οι αγρότες του ειδικού καθεστώτος του άρθρου 41, που πραγματοποιούν ενδοκοινοτικές αποκτήσεις αγαθών ή λαμβάνουν αγαθά ή υπηρεσίες για τις οποίες είναι υπόχρεοι για την καταβολή του φόρου, υποχρεούνται να υποβάλουν δήλωση ΦΠΑ μόνο για τις φορολογικές περιόδους κατά τις οποίες πραγματοποιούν τις ως άνω φορολογητέες πράξεις.</w:t>
      </w:r>
      <w:r>
        <w:rPr>
          <w:rStyle w:val="Hyperlink"/>
          <w:color w:val="000000"/>
          <w:sz w:val="20"/>
          <w:szCs w:val="20"/>
          <w:u w:val="none" w:color="0000EE"/>
          <w:vertAlign w:val="superscript"/>
          <w:lang w:val="el" w:eastAsia="el"/>
        </w:rPr>
        <w:footnoteReference w:id="404"/>
      </w:r>
    </w:p>
    <w:p>
      <w:pPr>
        <w:pStyle w:val="MainText"/>
        <w:spacing w:before="120" w:after="0"/>
        <w:rPr>
          <w:lang w:val="el" w:eastAsia="el"/>
        </w:rPr>
      </w:pPr>
      <w:r>
        <w:rPr>
          <w:b/>
          <w:bCs/>
          <w:lang w:val="el" w:eastAsia="el"/>
        </w:rPr>
        <w:t>9.</w:t>
      </w:r>
      <w:r>
        <w:rPr>
          <w:lang w:val="el" w:eastAsia="el"/>
        </w:rPr>
        <w:t xml:space="preserve"> Οποιοδήποτε πρόσωπο που πραγματοποιεί ενδοκοινοτική απόκτηση καινούργιου μεταφορικού μέσου, υποχρεούται να υποβάλει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σε άλλο κράτος - μέλος.</w:t>
      </w:r>
    </w:p>
    <w:p>
      <w:pPr>
        <w:spacing w:before="240" w:after="240"/>
        <w:rPr>
          <w:lang w:val="el" w:eastAsia="el"/>
        </w:rPr>
      </w:pPr>
      <w:r>
        <w:rPr>
          <w:lang w:val="el" w:eastAsia="el"/>
        </w:rPr>
        <w:t>Προκειμένου περί μεταφορικών μέσων, υπαγόμενων σε ειδικό φόρο κατανάλωσης, η ημερομηνία υποβολής της ειδικής αυτής δήλωσης είναι εκείνη που προβλέπεται για τον ειδικό φόρο κατανάλωσης.</w:t>
      </w:r>
      <w:r>
        <w:rPr>
          <w:rStyle w:val="Hyperlink"/>
          <w:color w:val="000000"/>
          <w:sz w:val="20"/>
          <w:szCs w:val="20"/>
          <w:u w:val="none" w:color="0000EE"/>
          <w:vertAlign w:val="superscript"/>
          <w:lang w:val="el" w:eastAsia="el"/>
        </w:rPr>
        <w:footnoteReference w:id="405"/>
      </w:r>
    </w:p>
    <w:p>
      <w:pPr>
        <w:pStyle w:val="MainText"/>
        <w:spacing w:before="120" w:after="0"/>
        <w:rPr>
          <w:lang w:val="el" w:eastAsia="el"/>
        </w:rPr>
      </w:pPr>
      <w:r>
        <w:rPr>
          <w:b/>
          <w:bCs/>
          <w:lang w:val="el" w:eastAsia="el"/>
        </w:rPr>
        <w:t>10.</w:t>
      </w:r>
      <w:r>
        <w:rPr>
          <w:lang w:val="el" w:eastAsia="el"/>
        </w:rPr>
        <w:t xml:space="preserve"> Τα πρόσωπα που καθίστανται υποκείμενα στο φόρο από περιστασιακή παράδοση καινούργιου μεταφορικού μέσου υποχρεούνται να υποβάλουν δήλωση ΦΠΑ,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406"/>
      </w:r>
    </w:p>
    <w:p>
      <w:pPr>
        <w:pStyle w:val="MainText"/>
        <w:spacing w:before="120" w:after="0"/>
        <w:rPr>
          <w:lang w:val="el" w:eastAsia="el"/>
        </w:rPr>
      </w:pPr>
      <w:r>
        <w:rPr>
          <w:b/>
          <w:bCs/>
          <w:lang w:val="el" w:eastAsia="el"/>
        </w:rPr>
        <w:t>11.</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407"/>
      </w:r>
    </w:p>
    <w:p>
      <w:pPr>
        <w:pStyle w:val="MainText"/>
        <w:spacing w:before="120" w:after="0"/>
        <w:rPr>
          <w:lang w:val="el" w:eastAsia="el"/>
        </w:rPr>
      </w:pPr>
      <w:r>
        <w:rPr>
          <w:b/>
          <w:bCs/>
          <w:lang w:val="el" w:eastAsia="el"/>
        </w:rPr>
        <w:t>11α.</w:t>
      </w:r>
      <w:r>
        <w:rPr>
          <w:lang w:val="el" w:eastAsia="el"/>
        </w:rPr>
        <w:t xml:space="preserve"> Ο υποκείμενος στον φόρο κατασκευαστής οικοδομών προς πώληση, που παραδίδει ακίνητο υπαγόμενο στην αναστολή της παραγράφου 4α του άρθρου 6, καταβάλλει με έκτακτη δήλωση το φόρο που πρέπει να διακανονιστεί σύμφωνα με την παράγραφο 1 του άρθρου 33, κατά τον χρόνο της παράδοσης του ακινήτου και σε κάθε περίπτωση πριν την υποβολή της δήλωσης φόρου μεταβίβασης, γονικής παροχής ή δωρεάς. Με απόφαση του Υπουργού Οικονομικών μετά από εισήγηση του Διοικητή της ΑΑΔΕ ρυθμίζεται η διαδικασία και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408"/>
      </w:r>
    </w:p>
    <w:p>
      <w:pPr>
        <w:pStyle w:val="MainText"/>
        <w:spacing w:before="120" w:after="0"/>
        <w:rPr>
          <w:lang w:val="el" w:eastAsia="el"/>
        </w:rPr>
      </w:pPr>
      <w:r>
        <w:rPr>
          <w:b/>
          <w:bCs/>
          <w:lang w:val="el" w:eastAsia="el"/>
        </w:rPr>
        <w:t>12.</w:t>
      </w:r>
      <w:r>
        <w:rPr>
          <w:lang w:val="el" w:eastAsia="el"/>
        </w:rPr>
        <w:t xml:space="preserve"> Με απόφαση του Γενικού Γραμματέα Δημοσίων Εσόδων μπορεί:</w:t>
      </w:r>
    </w:p>
    <w:p>
      <w:pPr>
        <w:pStyle w:val="StructureList1"/>
        <w:spacing w:before="120" w:after="0"/>
        <w:rPr>
          <w:lang w:val="el" w:eastAsia="el"/>
        </w:rPr>
      </w:pPr>
      <w:r>
        <w:rPr>
          <w:lang w:val="el" w:eastAsia="el"/>
        </w:rPr>
        <w:t>α)</w:t>
      </w:r>
      <w:r>
        <w:rPr>
          <w:lang w:val="en" w:eastAsia="en"/>
        </w:rPr>
        <w:tab/>
      </w:r>
      <w:r>
        <w:rPr>
          <w:lang w:val="el" w:eastAsia="el"/>
        </w:rPr>
        <w:t>να ορίζεται μεγαλύτερη ή μικρότερη φορολογική περίοδος η οποία σε κάθε περίπτωση δεν μπορεί να είναι μικρότερη του ενός μηνός, ούτε μεγαλύτερη του ενός έτους για την υποβολή της δήλωσης ΦΠΑ,</w:t>
      </w:r>
    </w:p>
    <w:p>
      <w:pPr>
        <w:pStyle w:val="StructureList1"/>
        <w:spacing w:before="120" w:after="0"/>
        <w:rPr>
          <w:lang w:val="el" w:eastAsia="el"/>
        </w:rPr>
      </w:pPr>
      <w:r>
        <w:rPr>
          <w:lang w:val="el" w:eastAsia="el"/>
        </w:rPr>
        <w:t>β)</w:t>
      </w:r>
      <w:r>
        <w:rPr>
          <w:lang w:val="en" w:eastAsia="en"/>
        </w:rPr>
        <w:tab/>
      </w:r>
      <w:r>
        <w:rPr>
          <w:lang w:val="el" w:eastAsia="el"/>
        </w:rPr>
        <w:t>σε περιπτώσεις ανωτέρας βίας που επηρεάζουν τη Φορολογική Διοίκηση ή σε περιπτώσεις φυσικών καταστροφών ή άλλων αντίστοιχων εξαιρετικών και δυσμενών συμβάντων που επηρεάζουν φορολογούμενους, να χορηγείται διαφορετική προθεσμία για την υποβολή της δήλωσης ΦΠΑ, ή παράταση της προθεσμίας για την υποβολή της δήλωσης αυτής και των ανακεφαλαιωτικών πινάκων των περιπτώσεων α' και δ' της παραγράφου 5 και των παραγράφων 5α και 5β του άρθρου 36, καθώς και διαφορετική προθεσμία καταβολής του φόρου. Η απόφαση παράτασης υπογράφεται το αργότερο μέχρι τη λήξη της προβλεπόμενης προθεσμίας και ισχύει από το χρόνο υπογραφής της.</w:t>
      </w:r>
    </w:p>
    <w:p>
      <w:pPr>
        <w:pStyle w:val="StructureList1"/>
        <w:spacing w:before="120" w:after="0"/>
        <w:rPr>
          <w:lang w:val="el" w:eastAsia="el"/>
        </w:rPr>
      </w:pPr>
      <w:r>
        <w:rPr>
          <w:lang w:val="el" w:eastAsia="el"/>
        </w:rPr>
        <w:t>γ)</w:t>
      </w:r>
      <w:r>
        <w:rPr>
          <w:lang w:val="en" w:eastAsia="en"/>
        </w:rPr>
        <w:tab/>
      </w:r>
      <w:r>
        <w:rPr>
          <w:lang w:val="el" w:eastAsia="el"/>
        </w:rPr>
        <w:t>να ορίζεται η διαδικασία υποβολής των δηλώσεων ΦΠΑ και της καταβολής του φόρου σύμφωνα με την παράγραφο 4, το ύψος της εγγύησης, οι προϋποθέσεις επιστροφής της, καθώς και κάθε άλλη αναγκαία λεπτομέρεια για την εφαρμογή της παραγράφου αυτής.</w:t>
      </w:r>
    </w:p>
    <w:p>
      <w:pPr>
        <w:pStyle w:val="StructureList1"/>
        <w:spacing w:before="120" w:after="0"/>
        <w:rPr>
          <w:lang w:val="el" w:eastAsia="el"/>
        </w:rPr>
      </w:pPr>
      <w:r>
        <w:rPr>
          <w:lang w:val="el" w:eastAsia="el"/>
        </w:rPr>
        <w:t>δ)</w:t>
      </w:r>
      <w:r>
        <w:rPr>
          <w:lang w:val="en" w:eastAsia="en"/>
        </w:rPr>
        <w:tab/>
      </w:r>
      <w:r>
        <w:rPr>
          <w:lang w:val="el" w:eastAsia="el"/>
        </w:rPr>
        <w:t>να καθορίζεται ο τρόπος άσκησης της επιλογής που αναφέρεται στην παράγραφο 5.</w:t>
      </w:r>
      <w:r>
        <w:rPr>
          <w:rStyle w:val="Hyperlink"/>
          <w:color w:val="000000"/>
          <w:sz w:val="20"/>
          <w:szCs w:val="20"/>
          <w:u w:val="none" w:color="0000EE"/>
          <w:vertAlign w:val="superscript"/>
          <w:lang w:val="el" w:eastAsia="el"/>
        </w:rPr>
        <w:footnoteReference w:id="409"/>
      </w:r>
    </w:p>
    <w:p>
      <w:pPr>
        <w:spacing w:before="240" w:after="240"/>
        <w:rPr>
          <w:lang w:val="el" w:eastAsia="el"/>
        </w:rPr>
      </w:pPr>
      <w:r>
        <w:rPr>
          <w:lang w:val="el" w:eastAsia="el"/>
        </w:rPr>
        <w:t>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r>
        <w:rPr>
          <w:rStyle w:val="Hyperlink"/>
          <w:color w:val="000000"/>
          <w:sz w:val="20"/>
          <w:szCs w:val="20"/>
          <w:u w:val="none" w:color="0000EE"/>
          <w:vertAlign w:val="superscript"/>
          <w:lang w:val="el" w:eastAsia="el"/>
        </w:rPr>
        <w:footnoteReference w:id="410"/>
      </w:r>
    </w:p>
    <w:p>
      <w:pPr>
        <w:pStyle w:val="MainText"/>
        <w:spacing w:before="120" w:after="0"/>
        <w:rPr>
          <w:lang w:val="el" w:eastAsia="el"/>
        </w:rPr>
      </w:pPr>
      <w:r>
        <w:rPr>
          <w:b/>
          <w:bCs/>
          <w:lang w:val="el" w:eastAsia="el"/>
        </w:rPr>
        <w:t>7.</w:t>
      </w:r>
      <w:r>
        <w:rPr>
          <w:lang w:val="el" w:eastAsia="el"/>
        </w:rPr>
        <w:t xml:space="preserve"> Οποιοδήποτε πρόσωπο που πραγματοποιεί ενδοκοινοτική απόκτηση καινούργιου μεταφορικού μέσου, υποχρεούται να υποβάλλει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από άλλο κράτος - μέλος.</w:t>
      </w:r>
      <w:r>
        <w:rPr>
          <w:rStyle w:val="Hyperlink"/>
          <w:color w:val="000000"/>
          <w:sz w:val="20"/>
          <w:szCs w:val="20"/>
          <w:u w:val="none" w:color="0000EE"/>
          <w:vertAlign w:val="superscript"/>
          <w:lang w:val="el" w:eastAsia="el"/>
        </w:rPr>
        <w:footnoteReference w:id="411"/>
      </w:r>
    </w:p>
    <w:p>
      <w:pPr>
        <w:pStyle w:val="MainText"/>
        <w:spacing w:before="120" w:after="0"/>
        <w:rPr>
          <w:lang w:val="el" w:eastAsia="el"/>
        </w:rPr>
      </w:pPr>
      <w:r>
        <w:rPr>
          <w:b/>
          <w:bCs/>
          <w:lang w:val="el" w:eastAsia="el"/>
        </w:rPr>
        <w:t>8.</w:t>
      </w:r>
      <w:r>
        <w:rPr>
          <w:lang w:val="el" w:eastAsia="el"/>
        </w:rPr>
        <w:t xml:space="preserve"> Τα πρόσωπα που καθίστανται υποκείμενα στο φόρο από περιστασιακή παράδοση καινούριου μεταφορικού μέσου υποχρεούνται να υποβάλουν έκτακτη περιοδική δήλωση,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412"/>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413"/>
      </w:r>
    </w:p>
    <w:p>
      <w:pPr>
        <w:pStyle w:val="MainText"/>
        <w:spacing w:before="120" w:after="0"/>
        <w:rPr>
          <w:lang w:val="el" w:eastAsia="el"/>
        </w:rPr>
      </w:pPr>
      <w:r>
        <w:rPr>
          <w:b/>
          <w:bCs/>
          <w:lang w:val="el" w:eastAsia="el"/>
        </w:rPr>
        <w:t>10.</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414"/>
      </w:r>
    </w:p>
    <w:p>
      <w:pPr>
        <w:pStyle w:val="MainText"/>
        <w:spacing w:before="120" w:after="0"/>
        <w:rPr>
          <w:lang w:val="el" w:eastAsia="el"/>
        </w:rPr>
      </w:pPr>
      <w:r>
        <w:rPr>
          <w:b/>
          <w:bCs/>
          <w:lang w:val="el" w:eastAsia="el"/>
        </w:rPr>
        <w:t>11.</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415"/>
      </w:r>
    </w:p>
    <w:p>
      <w:pPr>
        <w:pStyle w:val="StructureList1"/>
        <w:spacing w:before="120" w:after="0"/>
        <w:rPr>
          <w:lang w:val="el" w:eastAsia="el"/>
        </w:rPr>
      </w:pPr>
      <w:r>
        <w:rPr>
          <w:lang w:val="el" w:eastAsia="el"/>
        </w:rPr>
        <w:t>α)</w:t>
      </w:r>
      <w:r>
        <w:rPr>
          <w:lang w:val="en" w:eastAsia="en"/>
        </w:rPr>
        <w:tab/>
      </w:r>
      <w:r>
        <w:rPr>
          <w:lang w:val="el" w:eastAsia="el"/>
        </w:rPr>
        <w:t>ορίζονται ο τύπος και το περιεχόμενο των δηλώσεων, τα στοιχεία που υποβάλλονται με αυτές, ο τρόπος υποβολής των δηλώσεων,</w:t>
      </w:r>
      <w:r>
        <w:rPr>
          <w:rStyle w:val="Hyperlink"/>
          <w:color w:val="000000"/>
          <w:sz w:val="20"/>
          <w:szCs w:val="20"/>
          <w:u w:val="none" w:color="0000EE"/>
          <w:vertAlign w:val="superscript"/>
          <w:lang w:val="el" w:eastAsia="el"/>
        </w:rPr>
        <w:footnoteReference w:id="416"/>
      </w:r>
    </w:p>
    <w:p>
      <w:pPr>
        <w:pStyle w:val="StructureList1"/>
        <w:spacing w:before="120" w:after="0"/>
        <w:rPr>
          <w:lang w:val="el" w:eastAsia="el"/>
        </w:rPr>
      </w:pPr>
      <w:r>
        <w:rPr>
          <w:lang w:val="el" w:eastAsia="el"/>
        </w:rPr>
        <w:t>β)</w:t>
      </w:r>
      <w:r>
        <w:rPr>
          <w:lang w:val="en" w:eastAsia="en"/>
        </w:rPr>
        <w:tab/>
      </w:r>
      <w:r>
        <w:rPr>
          <w:lang w:val="el" w:eastAsia="el"/>
        </w:rPr>
        <w:t>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r>
        <w:rPr>
          <w:rStyle w:val="Hyperlink"/>
          <w:color w:val="000000"/>
          <w:sz w:val="20"/>
          <w:szCs w:val="20"/>
          <w:u w:val="none" w:color="0000EE"/>
          <w:vertAlign w:val="superscript"/>
          <w:lang w:val="el" w:eastAsia="el"/>
        </w:rPr>
        <w:footnoteReference w:id="417"/>
      </w:r>
    </w:p>
    <w:p>
      <w:pPr>
        <w:pStyle w:val="StructureList1"/>
        <w:spacing w:before="120" w:after="0"/>
        <w:rPr>
          <w:lang w:val="el" w:eastAsia="el"/>
        </w:rPr>
      </w:pPr>
      <w:r>
        <w:rPr>
          <w:lang w:val="el" w:eastAsia="el"/>
        </w:rPr>
        <w:t>γ)</w:t>
      </w:r>
      <w:r>
        <w:rPr>
          <w:lang w:val="en" w:eastAsia="en"/>
        </w:rPr>
        <w:tab/>
      </w:r>
      <w:r>
        <w:rPr>
          <w:lang w:val="el" w:eastAsia="el"/>
        </w:rPr>
        <w:t>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έκδοσης της,</w:t>
      </w:r>
      <w:r>
        <w:rPr>
          <w:rStyle w:val="Hyperlink"/>
          <w:color w:val="000000"/>
          <w:sz w:val="20"/>
          <w:szCs w:val="20"/>
          <w:u w:val="none" w:color="0000EE"/>
          <w:vertAlign w:val="superscript"/>
          <w:lang w:val="el" w:eastAsia="el"/>
        </w:rPr>
        <w:footnoteReference w:id="418"/>
      </w:r>
    </w:p>
    <w:p>
      <w:pPr>
        <w:pStyle w:val="StructureList1"/>
        <w:spacing w:before="120" w:after="0"/>
        <w:rPr>
          <w:lang w:val="el" w:eastAsia="el"/>
        </w:rPr>
      </w:pPr>
      <w:r>
        <w:rPr>
          <w:lang w:val="el" w:eastAsia="el"/>
        </w:rPr>
        <w:t>δ)</w:t>
      </w:r>
      <w:r>
        <w:rPr>
          <w:lang w:val="en" w:eastAsia="en"/>
        </w:rPr>
        <w:tab/>
      </w:r>
      <w:r>
        <w:rPr>
          <w:lang w:val="el" w:eastAsia="el"/>
        </w:rPr>
        <w:t>καθορίζεται ο τρόπος άσκησης της επιλογής που αναφέρεται στην παράγραφο 1α.</w:t>
      </w:r>
      <w:r>
        <w:rPr>
          <w:rStyle w:val="Hyperlink"/>
          <w:color w:val="000000"/>
          <w:sz w:val="20"/>
          <w:szCs w:val="20"/>
          <w:u w:val="none" w:color="0000EE"/>
          <w:vertAlign w:val="superscript"/>
          <w:lang w:val="el" w:eastAsia="el"/>
        </w:rPr>
        <w:footnoteReference w:id="419"/>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Ειδικό καθεστώς μικρών επιχειρήσεων</w:t>
      </w:r>
    </w:p>
    <w:p>
      <w:pPr>
        <w:pStyle w:val="MainText"/>
        <w:spacing w:before="120" w:after="0"/>
        <w:rPr>
          <w:lang w:val="el" w:eastAsia="el"/>
        </w:rPr>
      </w:pPr>
      <w:r>
        <w:rPr>
          <w:b/>
          <w:bCs/>
          <w:lang w:val="el" w:eastAsia="el"/>
        </w:rPr>
        <w:t>1.</w:t>
      </w:r>
      <w:r>
        <w:rPr>
          <w:lang w:val="el" w:eastAsia="el"/>
        </w:rPr>
        <w:t xml:space="preserve"> Δύνανται να απαλλάσσονται από την υποχρέωση υποβολής δήλωσης και καταβολής του φόρου υποκείμενοι, οι οποίοι, κατά το προηγούμενο φορολογικό έτος, πραγματοποίησαν παραδόσεις αγαθών και παροχές υπηρεσιών κατά την έννοια του άρθρου 2, χωρίς το φόρο προστιθέμενης αξίας, αξίας μέχρι δέκα χιλιάδες (10.000) ευρώ.</w:t>
      </w:r>
    </w:p>
    <w:p>
      <w:pPr>
        <w:spacing w:before="240" w:after="240"/>
        <w:rPr>
          <w:lang w:val="el" w:eastAsia="el"/>
        </w:rPr>
      </w:pPr>
      <w:r>
        <w:rPr>
          <w:lang w:val="el" w:eastAsia="el"/>
        </w:rPr>
        <w:t>Δεν λαμβάνονται υπόψη για τον προσδιορισμό της αξίας αυτής οι μεταβιβάσεις ενσώματων ή άυλων αγαθών επένδυσης, καθώς και οι απαλλασσόμενες πράξεις χωρίς δικαίωμα έκπτωσης. Επίσης, δύνανται να απαλλάσσονται από την υποχρέωση υποβολής δήλωσης και καταβολής του φόρου υποκείμενοι κατά το χρόνο έναρξης των εργασιών τους.</w:t>
      </w:r>
      <w:r>
        <w:rPr>
          <w:rStyle w:val="Hyperlink"/>
          <w:color w:val="000000"/>
          <w:sz w:val="20"/>
          <w:szCs w:val="20"/>
          <w:u w:val="none" w:color="0000EE"/>
          <w:vertAlign w:val="superscript"/>
          <w:lang w:val="el" w:eastAsia="el"/>
        </w:rPr>
        <w:footnoteReference w:id="420"/>
      </w:r>
    </w:p>
    <w:p>
      <w:pPr>
        <w:pStyle w:val="MainText"/>
        <w:spacing w:before="120" w:after="0"/>
        <w:rPr>
          <w:lang w:val="el" w:eastAsia="el"/>
        </w:rPr>
      </w:pPr>
      <w:r>
        <w:rPr>
          <w:b/>
          <w:bCs/>
          <w:lang w:val="el" w:eastAsia="el"/>
        </w:rPr>
        <w:t>2.</w:t>
      </w:r>
      <w:r>
        <w:rPr>
          <w:lang w:val="el" w:eastAsia="el"/>
        </w:rPr>
        <w:t xml:space="preserve"> Οι διατάξεις της παραγράφου 1 δεν έχουν εφαρμογή:</w:t>
      </w:r>
      <w:r>
        <w:rPr>
          <w:rStyle w:val="Hyperlink"/>
          <w:color w:val="000000"/>
          <w:sz w:val="20"/>
          <w:szCs w:val="20"/>
          <w:u w:val="none" w:color="0000EE"/>
          <w:vertAlign w:val="superscript"/>
          <w:lang w:val="el" w:eastAsia="el"/>
        </w:rPr>
        <w:footnoteReference w:id="421"/>
      </w:r>
    </w:p>
    <w:p>
      <w:pPr>
        <w:pStyle w:val="StructureList1"/>
        <w:spacing w:before="120" w:after="0"/>
        <w:rPr>
          <w:lang w:val="el" w:eastAsia="el"/>
        </w:rPr>
      </w:pPr>
      <w:r>
        <w:rPr>
          <w:lang w:val="el" w:eastAsia="el"/>
        </w:rPr>
        <w:t>α)</w:t>
      </w:r>
      <w:r>
        <w:rPr>
          <w:lang w:val="en" w:eastAsia="en"/>
        </w:rPr>
        <w:tab/>
      </w:r>
      <w:r>
        <w:rPr>
          <w:lang w:val="el" w:eastAsia="el"/>
        </w:rPr>
        <w:t>στους αγρότες του ειδικού καθεστώτος</w:t>
      </w:r>
      <w:r>
        <w:rPr>
          <w:rStyle w:val="Hyperlink"/>
          <w:color w:val="000000"/>
          <w:sz w:val="20"/>
          <w:szCs w:val="20"/>
          <w:u w:val="none" w:color="0000EE"/>
          <w:vertAlign w:val="superscript"/>
          <w:lang w:val="el" w:eastAsia="el"/>
        </w:rPr>
        <w:footnoteReference w:id="422"/>
      </w:r>
    </w:p>
    <w:p>
      <w:pPr>
        <w:pStyle w:val="StructureList1"/>
        <w:spacing w:before="120" w:after="0"/>
        <w:rPr>
          <w:lang w:val="el" w:eastAsia="el"/>
        </w:rPr>
      </w:pPr>
      <w:r>
        <w:rPr>
          <w:lang w:val="el" w:eastAsia="el"/>
        </w:rPr>
        <w:t>β)</w:t>
      </w:r>
      <w:r>
        <w:rPr>
          <w:lang w:val="en" w:eastAsia="en"/>
        </w:rPr>
        <w:tab/>
      </w:r>
      <w:r>
        <w:rPr>
          <w:lang w:val="el" w:eastAsia="el"/>
        </w:rPr>
        <w:t>στους υποκείμενους στο φόρο που δεν είναι εγκαταστημένοι στο εσωτερικό της χώρας,</w:t>
      </w:r>
      <w:r>
        <w:rPr>
          <w:rStyle w:val="Hyperlink"/>
          <w:color w:val="000000"/>
          <w:sz w:val="20"/>
          <w:szCs w:val="20"/>
          <w:u w:val="none" w:color="0000EE"/>
          <w:vertAlign w:val="superscript"/>
          <w:lang w:val="el" w:eastAsia="el"/>
        </w:rPr>
        <w:footnoteReference w:id="423"/>
      </w:r>
    </w:p>
    <w:p>
      <w:pPr>
        <w:pStyle w:val="StructureList1"/>
        <w:spacing w:before="120" w:after="0"/>
        <w:rPr>
          <w:lang w:val="el" w:eastAsia="el"/>
        </w:rPr>
      </w:pPr>
      <w:r>
        <w:rPr>
          <w:lang w:val="el" w:eastAsia="el"/>
        </w:rPr>
        <w:t>γ)</w:t>
      </w:r>
      <w:r>
        <w:rPr>
          <w:lang w:val="en" w:eastAsia="en"/>
        </w:rPr>
        <w:tab/>
      </w:r>
      <w:r>
        <w:rPr>
          <w:lang w:val="el" w:eastAsia="el"/>
        </w:rPr>
        <w:t>στην παράδοση καινούργιου μεταφορικού μέσου, σύμφωνα με τις διατάξεις της περίπτωσης β` της παραγράφου 1 του άρθρου 28.</w:t>
      </w:r>
      <w:r>
        <w:rPr>
          <w:rStyle w:val="Hyperlink"/>
          <w:color w:val="000000"/>
          <w:sz w:val="20"/>
          <w:szCs w:val="20"/>
          <w:u w:val="none" w:color="0000EE"/>
          <w:vertAlign w:val="superscript"/>
          <w:lang w:val="el" w:eastAsia="el"/>
        </w:rPr>
        <w:footnoteReference w:id="424"/>
      </w:r>
    </w:p>
    <w:p>
      <w:pPr>
        <w:pStyle w:val="MainText"/>
        <w:spacing w:before="120" w:after="0"/>
        <w:rPr>
          <w:lang w:val="el" w:eastAsia="el"/>
        </w:rPr>
      </w:pPr>
      <w:r>
        <w:rPr>
          <w:b/>
          <w:bCs/>
          <w:lang w:val="el" w:eastAsia="el"/>
        </w:rPr>
        <w:t>3.</w:t>
      </w:r>
      <w:r>
        <w:rPr>
          <w:lang w:val="el" w:eastAsia="el"/>
        </w:rPr>
        <w:t xml:space="preserve"> Οι υποκείμενοι που δεν υπερβαίνουν το όριο του πρώτου εδαφίου της παραγράφου 1 και επιθυμούν να ενταχθούν στο απαλλασσόμενο καθεστώς, υποβάλλουν δήλωση μεταβολών εντός τριάντα (30) ημερών από την έναρξη του φορολογικού έτους με ημερομηνία μεταβολής την έναρξη του φορολογικού έτους.</w:t>
      </w:r>
    </w:p>
    <w:p>
      <w:pPr>
        <w:spacing w:before="240" w:after="240"/>
        <w:rPr>
          <w:lang w:val="el" w:eastAsia="el"/>
        </w:rPr>
      </w:pPr>
      <w:r>
        <w:rPr>
          <w:lang w:val="el" w:eastAsia="el"/>
        </w:rPr>
        <w:t>Οι ανωτέρω προθεσμίες για την ένταξη στο απαλλασσόμενο καθεστώς είναι ανατρεπτικές.</w:t>
      </w:r>
      <w:r>
        <w:rPr>
          <w:rStyle w:val="Hyperlink"/>
          <w:color w:val="000000"/>
          <w:sz w:val="20"/>
          <w:szCs w:val="20"/>
          <w:u w:val="none" w:color="0000EE"/>
          <w:vertAlign w:val="superscript"/>
          <w:lang w:val="el" w:eastAsia="el"/>
        </w:rPr>
        <w:footnoteReference w:id="425"/>
      </w:r>
    </w:p>
    <w:p>
      <w:pPr>
        <w:pStyle w:val="MainText"/>
        <w:spacing w:before="120" w:after="0"/>
        <w:rPr>
          <w:lang w:val="el" w:eastAsia="el"/>
        </w:rPr>
      </w:pPr>
      <w:r>
        <w:rPr>
          <w:b/>
          <w:bCs/>
          <w:lang w:val="el" w:eastAsia="el"/>
        </w:rPr>
        <w:t>4.</w:t>
      </w:r>
      <w:r>
        <w:rPr>
          <w:lang w:val="el" w:eastAsia="el"/>
        </w:rPr>
        <w:t xml:space="preserve"> Αν ο υποκείμενος στο φόρο ασκεί τη δραστηριότητά του για χρονικό διάστημα μικρότερο του έτους, προκειμένου να κριθεί αν μπορεί να απαλλαγεί κατά το επόμενο φορολογικό έτος, σύμφωνα με τα οριζόμενα στην παράγραφο 1, γίνεται αναγωγή της αξίας των παραδόσεων αγαθών ή των παροχών υπηρεσιών που πραγματοποιεί κατά το ανωτέρω χρονικό διάστημα, σε ετήσια βάση.</w:t>
      </w:r>
      <w:r>
        <w:rPr>
          <w:rStyle w:val="Hyperlink"/>
          <w:color w:val="000000"/>
          <w:sz w:val="20"/>
          <w:szCs w:val="20"/>
          <w:u w:val="none" w:color="0000EE"/>
          <w:vertAlign w:val="superscript"/>
          <w:lang w:val="el" w:eastAsia="el"/>
        </w:rPr>
        <w:footnoteReference w:id="426"/>
      </w:r>
    </w:p>
    <w:p>
      <w:pPr>
        <w:pStyle w:val="MainText"/>
        <w:spacing w:before="120" w:after="0"/>
        <w:rPr>
          <w:lang w:val="el" w:eastAsia="el"/>
        </w:rPr>
      </w:pPr>
      <w:r>
        <w:rPr>
          <w:b/>
          <w:bCs/>
          <w:lang w:val="el" w:eastAsia="el"/>
        </w:rPr>
        <w:t>5.</w:t>
      </w:r>
      <w:r>
        <w:rPr>
          <w:lang w:val="el" w:eastAsia="el"/>
        </w:rPr>
        <w:t xml:space="preserve"> Σε περίπτωση υπέρβασης του ορίου του πρώτου εδαφίου της παραγράφου 1, ο υποκείμενος στο φόρο εφαρμόζει υποχρεωτικά το κανονικό καθεστώς για τις παραδόσεις αγαθών και παροχές υπηρεσιών που ακολουθούν, αρχής γενομένης από την πράξη παράδοσης αγαθών ή παροχής υπηρεσιών με την οποία πραγματοποιείται η υπέρβαση του ορίου αυτού και για το σύνολο της αξίας της πράξης αυτής, ανεξάρτητα από το χρόνο υποβολής της δήλωσης μεταβολών.</w:t>
      </w:r>
      <w:r>
        <w:rPr>
          <w:rStyle w:val="Hyperlink"/>
          <w:color w:val="000000"/>
          <w:sz w:val="20"/>
          <w:szCs w:val="20"/>
          <w:u w:val="none" w:color="0000EE"/>
          <w:vertAlign w:val="superscript"/>
          <w:lang w:val="el" w:eastAsia="el"/>
        </w:rPr>
        <w:footnoteReference w:id="427"/>
      </w:r>
    </w:p>
    <w:p>
      <w:pPr>
        <w:pStyle w:val="MainText"/>
        <w:spacing w:before="120" w:after="0"/>
        <w:rPr>
          <w:lang w:val="el" w:eastAsia="el"/>
        </w:rPr>
      </w:pPr>
      <w:r>
        <w:rPr>
          <w:b/>
          <w:bCs/>
          <w:lang w:val="el" w:eastAsia="el"/>
        </w:rPr>
        <w:t>6.</w:t>
      </w:r>
      <w:r>
        <w:rPr>
          <w:lang w:val="el" w:eastAsia="el"/>
        </w:rPr>
        <w:t xml:space="preserve"> Οι υποκείμενοι που απαλλάσσονται μπορούν να μεταταχθούν στο κανονικό καθεστώς απόδοσης του φόρου εντός τριάντα (30) ημερών από την έναρξη του επόμενου φορολογικού έτους.</w:t>
      </w:r>
    </w:p>
    <w:p>
      <w:pPr>
        <w:spacing w:before="240" w:after="240"/>
        <w:rPr>
          <w:lang w:val="el" w:eastAsia="el"/>
        </w:rPr>
      </w:pPr>
      <w:r>
        <w:rPr>
          <w:lang w:val="el" w:eastAsia="el"/>
        </w:rPr>
        <w:t>Η ανωτέρω προθεσμία για την ένταξη στο κανονικό καθεστώς είναι ανατρεπτική.</w:t>
      </w:r>
      <w:r>
        <w:rPr>
          <w:rStyle w:val="Hyperlink"/>
          <w:color w:val="000000"/>
          <w:sz w:val="20"/>
          <w:szCs w:val="20"/>
          <w:u w:val="none" w:color="0000EE"/>
          <w:vertAlign w:val="superscript"/>
          <w:lang w:val="el" w:eastAsia="el"/>
        </w:rPr>
        <w:footnoteReference w:id="428"/>
      </w:r>
    </w:p>
    <w:p>
      <w:pPr>
        <w:pStyle w:val="MainText"/>
        <w:spacing w:before="120" w:after="0"/>
        <w:rPr>
          <w:lang w:val="el" w:eastAsia="el"/>
        </w:rPr>
      </w:pPr>
      <w:r>
        <w:rPr>
          <w:b/>
          <w:bCs/>
          <w:lang w:val="el" w:eastAsia="el"/>
        </w:rPr>
        <w:t>7.</w:t>
      </w:r>
      <w:r>
        <w:rPr>
          <w:lang w:val="el" w:eastAsia="el"/>
        </w:rPr>
        <w:t xml:space="preserve"> Αν υποκείμενος μετατάσσεται, υποχρεωτικά ή προαιρετικά, από το ένα καθεστώς στο άλλο, τα αποθέματα των εμπορεύσιμων αγαθών, τα οποία υπάρχουν κατά την τελευταία ημέρα πριν τη μετάταξη, απογράφονται υποχρεωτικά ανά ισχύοντα συντελεστή φόρου, αποτιμώνται, σύμφωνα με τις κείμενες διατάξεις και υπάρχει υποχρέωση απόδοσης του φόρου που έχει εκπεσθεί για τα αποθέματα, όταν ο υποκείμενος μετατάσσεται από το κανονικό καθεστώς στο απαλλασσόμενο και δικαίωμα έκπτωσης, αντίστοιχα, όταν μετατάσσεται από το απαλλασσόμενο στο κανονικό καθεστώς.</w:t>
      </w:r>
      <w:r>
        <w:rPr>
          <w:rStyle w:val="Hyperlink"/>
          <w:color w:val="000000"/>
          <w:sz w:val="20"/>
          <w:szCs w:val="20"/>
          <w:u w:val="none" w:color="0000EE"/>
          <w:vertAlign w:val="superscript"/>
          <w:lang w:val="el" w:eastAsia="el"/>
        </w:rPr>
        <w:footnoteReference w:id="429"/>
      </w:r>
    </w:p>
    <w:p>
      <w:pPr>
        <w:pStyle w:val="MainText"/>
        <w:spacing w:before="120" w:after="0"/>
        <w:rPr>
          <w:lang w:val="el" w:eastAsia="el"/>
        </w:rPr>
      </w:pPr>
      <w:r>
        <w:rPr>
          <w:b/>
          <w:bCs/>
          <w:lang w:val="el" w:eastAsia="el"/>
        </w:rPr>
        <w:t>8.</w:t>
      </w:r>
      <w:r>
        <w:rPr>
          <w:lang w:val="el" w:eastAsia="el"/>
        </w:rPr>
        <w:t xml:space="preserve"> Σε κάθε περίπτωση μετάταξης, ο υποκείμενος υποχρεούται να συντάσσει απογραφή των αγαθών επένδυσης, για τα οποία δεν έχει παρέλθει ο χρόνος διακανονισμού, σύμφωνα με τις διατάξεις του άρθρου 33.</w:t>
      </w:r>
    </w:p>
    <w:p>
      <w:pPr>
        <w:spacing w:before="240" w:after="240"/>
        <w:rPr>
          <w:lang w:val="el" w:eastAsia="el"/>
        </w:rPr>
      </w:pPr>
      <w:r>
        <w:rPr>
          <w:lang w:val="el" w:eastAsia="el"/>
        </w:rPr>
        <w:t>Τα εν λόγω αγαθά αποτιμώνται στην αξία κτήσης αυτών, η οποία προσαυξάνεται με τις δαπάνες βελτίωσης και επέκτασης, εκτός από τις δαπάνες επισκευής και συντήρησης. Οι μετατασσόμενοι υποκείμενοι, για τον εναπομένοντα χρόνο του διακανονισμού, έχουν δικαίωμα έκπτωσης του φόρου ή, κατά περίπτωση, υποχρέωση διακανονισμού και καταβολής του φόρου, ανάλογα με το εάν πρόκειται για μετάταξη από το απαλλασσόμενο στο κανονικό καθεστώς ή αντίστροφα.</w:t>
      </w:r>
      <w:r>
        <w:rPr>
          <w:rStyle w:val="Hyperlink"/>
          <w:color w:val="000000"/>
          <w:sz w:val="20"/>
          <w:szCs w:val="20"/>
          <w:u w:val="none" w:color="0000EE"/>
          <w:vertAlign w:val="superscript"/>
          <w:lang w:val="el" w:eastAsia="el"/>
        </w:rPr>
        <w:footnoteReference w:id="430"/>
      </w:r>
    </w:p>
    <w:p>
      <w:pPr>
        <w:pStyle w:val="MainText"/>
        <w:spacing w:before="120" w:after="0"/>
        <w:rPr>
          <w:lang w:val="el" w:eastAsia="el"/>
        </w:rPr>
      </w:pPr>
      <w:r>
        <w:rPr>
          <w:b/>
          <w:bCs/>
          <w:lang w:val="el" w:eastAsia="el"/>
        </w:rPr>
        <w:t>9.</w:t>
      </w:r>
      <w:r>
        <w:rPr>
          <w:lang w:val="el" w:eastAsia="el"/>
        </w:rPr>
        <w:t xml:space="preserve"> Για τα απογραφόμενα αγαθά, που προβλέπουν οι διατάξεις των προηγούμενων παραγράφων 7 και 8, υποβάλλεται, μέσα σε δύο (2) μήνες από τη μετάταξη, δήλωση που περιλαμβάνει την αξία των αποθεμάτων κατά συντελεστή φόρου και το φόρο που αναλογεί.</w:t>
      </w:r>
    </w:p>
    <w:p>
      <w:pPr>
        <w:spacing w:before="240" w:after="240"/>
        <w:rPr>
          <w:lang w:val="el" w:eastAsia="el"/>
        </w:rPr>
      </w:pPr>
      <w:r>
        <w:rPr>
          <w:lang w:val="el" w:eastAsia="el"/>
        </w:rPr>
        <w:t>Για τους υποκείμενους που μετατάσσονται στο κανονικό καθεστώς ο φόρος αυτός εκπίπτεται με την προβλεπόμενη από το άρθρο 38 δήλωση ΦΠΑ της φορολογικής περιόδου κατά την οποία υποβάλλεται η δήλωση αποθεμάτων. Για τους υποκείμενους που μετατάσσονται στο απαλλασσόμενο καθεστώς, η δήλωση για την απόδοση του φόρου υποβάλλεται εντός ενός μήνα από την υποβολή της δήλωσης του πρώτου εδαφίου.</w:t>
      </w:r>
      <w:r>
        <w:rPr>
          <w:rStyle w:val="Hyperlink"/>
          <w:color w:val="000000"/>
          <w:sz w:val="20"/>
          <w:szCs w:val="20"/>
          <w:u w:val="none" w:color="0000EE"/>
          <w:vertAlign w:val="superscript"/>
          <w:lang w:val="el" w:eastAsia="el"/>
        </w:rPr>
        <w:footnoteReference w:id="431"/>
      </w:r>
    </w:p>
    <w:p>
      <w:pPr>
        <w:pStyle w:val="MainText"/>
        <w:spacing w:before="120" w:after="0"/>
        <w:rPr>
          <w:lang w:val="el" w:eastAsia="el"/>
        </w:rPr>
      </w:pPr>
      <w:r>
        <w:rPr>
          <w:b/>
          <w:bCs/>
          <w:lang w:val="el" w:eastAsia="el"/>
        </w:rPr>
        <w:t>10.</w:t>
      </w:r>
      <w:r>
        <w:rPr>
          <w:lang w:val="el" w:eastAsia="el"/>
        </w:rPr>
        <w:t xml:space="preserve"> Οι υποκείμενοι της παραγράφου 1, στις περιπτώσεις που σύμφωνα με τις διατάξεις της κείμενης νομοθεσίας έχουν υποχρέωση έκδοσης φορολογικών στοιχείων, αναγράφουν σε αυτά την ένδειξη "χωρίς φόρο προστιθέμενης αξίας - απαλλαγή μικρών επιχειρήσεων" και δεν δικαιούνται να εκπέσουν το φόρο των εισροών τους.</w:t>
      </w:r>
      <w:r>
        <w:rPr>
          <w:rStyle w:val="Hyperlink"/>
          <w:color w:val="000000"/>
          <w:sz w:val="20"/>
          <w:szCs w:val="20"/>
          <w:u w:val="none" w:color="0000EE"/>
          <w:vertAlign w:val="superscript"/>
          <w:lang w:val="el" w:eastAsia="el"/>
        </w:rPr>
        <w:footnoteReference w:id="432"/>
      </w:r>
    </w:p>
    <w:p>
      <w:pPr>
        <w:pStyle w:val="MainText"/>
        <w:spacing w:before="120" w:after="0"/>
        <w:rPr>
          <w:lang w:val="el" w:eastAsia="el"/>
        </w:rPr>
      </w:pPr>
      <w:r>
        <w:rPr>
          <w:b/>
          <w:bCs/>
          <w:lang w:val="el" w:eastAsia="el"/>
        </w:rPr>
        <w:t>11.</w:t>
      </w:r>
      <w:r>
        <w:rPr>
          <w:lang w:val="el" w:eastAsia="el"/>
        </w:rPr>
        <w:t xml:space="preserve"> Με κοινή απόφαση του Υπουργού Οικονομικών και του Διοικητή της Ανεξάρτητης Αρχής Δημοσίων Εσόδων ρυθμίζεται κάθε αναγκαίο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433"/>
      </w:r>
    </w:p>
    <w:p>
      <w:pPr>
        <w:pStyle w:val="Heading6"/>
        <w:spacing w:before="240" w:after="240"/>
        <w:rPr>
          <w:lang w:val="el" w:eastAsia="el"/>
        </w:rPr>
      </w:pPr>
      <w:r>
        <w:rPr>
          <w:b/>
          <w:bCs/>
          <w:lang w:val="el" w:eastAsia="el"/>
        </w:rPr>
        <w:t xml:space="preserve">Άρθρο 39α </w:t>
      </w:r>
    </w:p>
    <w:p>
      <w:pPr>
        <w:pStyle w:val="Heading6"/>
        <w:spacing w:before="240" w:after="240"/>
        <w:rPr>
          <w:lang w:val="el" w:eastAsia="el"/>
        </w:rPr>
      </w:pPr>
      <w:r>
        <w:rPr>
          <w:b/>
          <w:bCs/>
          <w:lang w:val="el" w:eastAsia="el"/>
        </w:rPr>
        <w:t>Ειδικό καθεστώς καταβολής του φόρου από τον λήπτη αγαθών και υπηρεσιών</w:t>
      </w:r>
      <w:r>
        <w:rPr>
          <w:rStyle w:val="Hyperlink"/>
          <w:color w:val="000000"/>
          <w:sz w:val="20"/>
          <w:szCs w:val="20"/>
          <w:u w:val="none" w:color="0000EE"/>
          <w:vertAlign w:val="superscript"/>
          <w:lang w:val="el" w:eastAsia="el"/>
        </w:rPr>
        <w:footnoteReference w:id="434"/>
      </w:r>
    </w:p>
    <w:p>
      <w:pPr>
        <w:pStyle w:val="MainText"/>
        <w:spacing w:before="120" w:after="0"/>
        <w:rPr>
          <w:lang w:val="el" w:eastAsia="el"/>
        </w:rPr>
      </w:pPr>
      <w:r>
        <w:rPr>
          <w:b/>
          <w:bCs/>
          <w:lang w:val="el" w:eastAsia="el"/>
        </w:rPr>
        <w:t>1.</w:t>
      </w:r>
      <w:r>
        <w:rPr>
          <w:lang w:val="el" w:eastAsia="el"/>
        </w:rPr>
        <w:t xml:space="preserve"> Οι υποκείμενοι στο φόρο που πραγματοποιούν σε άλλους υποκείμενους παραδόσεις ανακυκλώσιμων απορριμμάτων, όπως αυτά καθορίζονται στην παράγραφο 2 του άρθρου αυτού, θεωρείται ότι διενεργούν πράξεις απαλλασσόμενες με δικαίωμα έκπτωσης του φόρου των εισροών τους και κατά συνέπεια δεν επιβαρύνουν με Φ.Π.Α. το φορολογικό στοιχείο που εκδίδουν.</w:t>
      </w:r>
    </w:p>
    <w:p>
      <w:pPr>
        <w:spacing w:before="240" w:after="240"/>
        <w:rPr>
          <w:lang w:val="el" w:eastAsia="el"/>
        </w:rPr>
      </w:pPr>
      <w:r>
        <w:rPr>
          <w:lang w:val="el" w:eastAsia="el"/>
        </w:rPr>
        <w:t>Υποχρεούνται όμως να αναγράφουν στο στοιχείο αυτό την ένδειξη «Άρθρο 39α, υπόχρεος για την καταβολή του φόρου είναι ο αγοραστής των αγαθών».</w:t>
      </w:r>
      <w:r>
        <w:rPr>
          <w:rStyle w:val="Hyperlink"/>
          <w:color w:val="000000"/>
          <w:sz w:val="20"/>
          <w:szCs w:val="20"/>
          <w:u w:val="none" w:color="0000EE"/>
          <w:vertAlign w:val="superscript"/>
          <w:lang w:val="el" w:eastAsia="el"/>
        </w:rPr>
        <w:footnoteReference w:id="435"/>
      </w:r>
    </w:p>
    <w:p>
      <w:pPr>
        <w:pStyle w:val="MainText"/>
        <w:spacing w:before="120" w:after="0"/>
        <w:rPr>
          <w:lang w:val="el" w:eastAsia="el"/>
        </w:rPr>
      </w:pPr>
      <w:r>
        <w:rPr>
          <w:b/>
          <w:bCs/>
          <w:lang w:val="el" w:eastAsia="el"/>
        </w:rPr>
        <w:t>2.</w:t>
      </w:r>
      <w:r>
        <w:rPr>
          <w:lang w:val="el" w:eastAsia="el"/>
        </w:rPr>
        <w:t xml:space="preserve"> Ως παραδόσεις ανακυκλώσιμων απορριμμάτων, για την εφαρμογή των διατάξεων του παρόντος νόμου, θεωρούνται οι κατωτέρω παραδόσεις εφόσον προορίζονται για ανακύκλωση:</w:t>
      </w:r>
    </w:p>
    <w:p>
      <w:pPr>
        <w:pStyle w:val="StructureList1"/>
        <w:spacing w:before="120" w:after="0"/>
        <w:rPr>
          <w:lang w:val="el" w:eastAsia="el"/>
        </w:rPr>
      </w:pPr>
      <w:r>
        <w:rPr>
          <w:lang w:val="el" w:eastAsia="el"/>
        </w:rPr>
        <w:t>α)</w:t>
      </w:r>
      <w:r>
        <w:rPr>
          <w:lang w:val="en" w:eastAsia="en"/>
        </w:rPr>
        <w:tab/>
      </w:r>
      <w:r>
        <w:rPr>
          <w:lang w:val="el" w:eastAsia="el"/>
        </w:rPr>
        <w:t>παραδόσεις απορριμμάτων σιδηρούχων και μη σιδηρούχων μετάλλων, αποκομμάτων και άλλων χρησιμοποιημένων υλικών,</w:t>
      </w:r>
    </w:p>
    <w:p>
      <w:pPr>
        <w:pStyle w:val="StructureList1"/>
        <w:spacing w:before="120" w:after="0"/>
        <w:rPr>
          <w:lang w:val="el" w:eastAsia="el"/>
        </w:rPr>
      </w:pPr>
      <w:r>
        <w:rPr>
          <w:lang w:val="el" w:eastAsia="el"/>
        </w:rPr>
        <w:t>β)</w:t>
      </w:r>
      <w:r>
        <w:rPr>
          <w:lang w:val="en" w:eastAsia="en"/>
        </w:rPr>
        <w:tab/>
      </w:r>
      <w:r>
        <w:rPr>
          <w:lang w:val="el" w:eastAsia="el"/>
        </w:rPr>
        <w:t>παραδόσεις ημικατεργασμένων προϊόντων από σιδηρούχα και μη σιδηρούχα μέταλλα,</w:t>
      </w:r>
    </w:p>
    <w:p>
      <w:pPr>
        <w:pStyle w:val="StructureList1"/>
        <w:spacing w:before="120" w:after="0"/>
        <w:rPr>
          <w:lang w:val="el" w:eastAsia="el"/>
        </w:rPr>
      </w:pPr>
      <w:r>
        <w:rPr>
          <w:lang w:val="el" w:eastAsia="el"/>
        </w:rPr>
        <w:t>γ)</w:t>
      </w:r>
      <w:r>
        <w:rPr>
          <w:lang w:val="en" w:eastAsia="en"/>
        </w:rPr>
        <w:tab/>
      </w:r>
      <w:r>
        <w:rPr>
          <w:lang w:val="el" w:eastAsia="el"/>
        </w:rPr>
        <w:t>παραδόσεις υπολειμμάτων και λοιπών ανακυκλώσιμων υλικών αποτελούμενων από σιδηρούχα και μη σιδηρούχα μέταλλα, κράματα, σκουριές, φολίδες ή τέφρα και βιομηχανικών υπολειμμάτων που περιέχουν μέταλλα ή κράματα μετάλλων,</w:t>
      </w:r>
    </w:p>
    <w:p>
      <w:pPr>
        <w:pStyle w:val="StructureList1"/>
        <w:spacing w:before="120" w:after="0"/>
        <w:rPr>
          <w:lang w:val="el" w:eastAsia="el"/>
        </w:rPr>
      </w:pPr>
      <w:r>
        <w:rPr>
          <w:lang w:val="el" w:eastAsia="el"/>
        </w:rPr>
        <w:t>δ)</w:t>
      </w:r>
      <w:r>
        <w:rPr>
          <w:lang w:val="en" w:eastAsia="en"/>
        </w:rPr>
        <w:tab/>
      </w:r>
      <w:r>
        <w:rPr>
          <w:lang w:val="el" w:eastAsia="el"/>
        </w:rPr>
        <w:t>παραδόσεις ξεσμάτων και αποκομμάτων, απορριμμάτων και χρησιμοποιούμενων ανακυκλώσιμων υλικών αποτελούμενων από υαλοθραύσματα, γυαλί, χαρτί, χαρτόνι, ράκη, οστά, δέρμα φυσικό ή τεχνητό, διφθέρες, ακατέργαστα δέρματα και δορές, τένοντες και νεύρα, σπάγκους, σχοινιά και παλαμάρια, καλώδια, καουτσούκ και πλαστικές ύλες,</w:t>
      </w:r>
    </w:p>
    <w:p>
      <w:pPr>
        <w:pStyle w:val="StructureList1"/>
        <w:spacing w:before="120" w:after="0"/>
        <w:rPr>
          <w:lang w:val="el" w:eastAsia="el"/>
        </w:rPr>
      </w:pPr>
      <w:r>
        <w:rPr>
          <w:lang w:val="el" w:eastAsia="el"/>
        </w:rPr>
        <w:t>ε)</w:t>
      </w:r>
      <w:r>
        <w:rPr>
          <w:lang w:val="en" w:eastAsia="en"/>
        </w:rPr>
        <w:tab/>
      </w:r>
      <w:r>
        <w:rPr>
          <w:lang w:val="el" w:eastAsia="el"/>
        </w:rPr>
        <w:t>παραδόσεις αποκομμάτων και απορριμμάτων που προκύπτουν από την επεξεργασία πρώτων υλών,</w:t>
      </w:r>
    </w:p>
    <w:p>
      <w:pPr>
        <w:pStyle w:val="StructureList1"/>
        <w:spacing w:before="120" w:after="0"/>
        <w:rPr>
          <w:lang w:val="el" w:eastAsia="el"/>
        </w:rPr>
      </w:pPr>
      <w:r>
        <w:rPr>
          <w:lang w:val="el" w:eastAsia="el"/>
        </w:rPr>
        <w:t>στ)</w:t>
      </w:r>
      <w:r>
        <w:rPr>
          <w:lang w:val="en" w:eastAsia="en"/>
        </w:rPr>
        <w:tab/>
      </w:r>
      <w:r>
        <w:rPr>
          <w:lang w:val="el" w:eastAsia="el"/>
        </w:rPr>
        <w:t>παραδόσεις των υλικών που αναφέρονται στις περιπτώσεις α΄ έως και ε΄ μετά από καθαρισμό, στίλβωση, διαλογή, κοπή, τεμαχισμό και συμπίεση.</w:t>
      </w:r>
      <w:r>
        <w:rPr>
          <w:rStyle w:val="Hyperlink"/>
          <w:color w:val="000000"/>
          <w:sz w:val="20"/>
          <w:szCs w:val="20"/>
          <w:u w:val="none" w:color="0000EE"/>
          <w:vertAlign w:val="superscript"/>
          <w:lang w:val="el" w:eastAsia="el"/>
        </w:rPr>
        <w:footnoteReference w:id="436"/>
      </w:r>
    </w:p>
    <w:p>
      <w:pPr>
        <w:pStyle w:val="MainText"/>
        <w:spacing w:before="120" w:after="0"/>
        <w:rPr>
          <w:lang w:val="el" w:eastAsia="el"/>
        </w:rPr>
      </w:pPr>
      <w:r>
        <w:rPr>
          <w:b/>
          <w:bCs/>
          <w:lang w:val="el" w:eastAsia="el"/>
        </w:rPr>
        <w:t>3.</w:t>
      </w:r>
      <w:r>
        <w:rPr>
          <w:lang w:val="el" w:eastAsia="el"/>
        </w:rPr>
        <w:t xml:space="preserve"> Αν μεταβιβαστούν σε άλλο υποκείμενο στο φόρο εγκατεστημένο στο εσωτερικό της χώρας δικαιώματα εκπομπής αερίων θερμοκηπίου, σύμφωνα με τις διατάξεις της Οδηγίας 2003/87/ΕΚ (L 275/25.10.2003) «σχετικά με τη θέσπιση συστήματος εμπορίας δικαιωμάτων εκπομπής αερίων θερμοκηπίου εντός της Κοινότητας και την τροποποίηση της Οδηγίας 96/61/ΕΚ του Συμβουλίου», ο φόρος καταβάλλεται από τον λήπτη. Ο παρέχων τις υπηρεσίες αυτές έχει δικαίωμα έκπτωσης του φόρου εισροών σχετικά με τις εν λόγω πράξεις, δεν χρεώνει φόρο στα εκδιδόμενα φορολογικά στοιχεία και υποχρεούται να αναγράφει σε αυτά «Άρθρο 39α, υπόχρεος για την καταβολή του φόρου είναι ο λήπτης των υπηρεσιών.</w:t>
      </w:r>
      <w:r>
        <w:rPr>
          <w:rStyle w:val="Hyperlink"/>
          <w:color w:val="000000"/>
          <w:sz w:val="20"/>
          <w:szCs w:val="20"/>
          <w:u w:val="none" w:color="0000EE"/>
          <w:vertAlign w:val="superscript"/>
          <w:lang w:val="el" w:eastAsia="el"/>
        </w:rPr>
        <w:footnoteReference w:id="437"/>
      </w:r>
    </w:p>
    <w:p>
      <w:pPr>
        <w:pStyle w:val="MainText"/>
        <w:spacing w:before="120" w:after="0"/>
        <w:rPr>
          <w:lang w:val="el" w:eastAsia="el"/>
        </w:rPr>
      </w:pPr>
      <w:r>
        <w:rPr>
          <w:b/>
          <w:bCs/>
          <w:lang w:val="el" w:eastAsia="el"/>
        </w:rPr>
        <w:t>4.</w:t>
      </w:r>
      <w:r>
        <w:rPr>
          <w:lang w:val="el" w:eastAsia="el"/>
        </w:rPr>
        <w:t xml:space="preserve"> Οι επιχειρήσεις της παραγράφου 1 που δεν επιθυμούν την εφαρμογή του καθεστώτος αυτού μπορούν, ύστερα από έγκριση του αρμόδιου Προ.ίστάμενου Δ.Ο.Υ.να επιβαρύνουν τις πράξεις τους με φόρο. Η έγκριση αυτή χορηγείται, εφόσον από την οργάνωση, τον τρόπο άσκησης της δραστηριότητας και την εν γένει λειτουργία της επιχείρησης, εξασφαλίζεται η ορθή εκπλήρωση των υποχρεώσεων που προβλέπονται στο νόμο αυτόν.</w:t>
      </w:r>
    </w:p>
    <w:p>
      <w:pPr>
        <w:spacing w:before="240" w:after="240"/>
        <w:rPr>
          <w:lang w:val="el" w:eastAsia="el"/>
        </w:rPr>
      </w:pPr>
      <w:r>
        <w:rPr>
          <w:lang w:val="el" w:eastAsia="el"/>
        </w:rPr>
        <w:t>Από τις ανωτέρω διατάξεις, εξαιρούνται τα μεγάλα συγχρηματοδοτούμενα έργα του άρθρου 100 του Κανονισμού (ΕΕ) 1303/2013 του Ευρωπαϊκού Κοινοβουλίου και Συμβουλίου της 17</w:t>
      </w:r>
      <w:r>
        <w:rPr>
          <w:sz w:val="30"/>
          <w:szCs w:val="30"/>
          <w:vertAlign w:val="superscript"/>
          <w:lang w:val="el" w:eastAsia="el"/>
        </w:rPr>
        <w:t>ης</w:t>
      </w:r>
      <w:r>
        <w:rPr>
          <w:lang w:val="el" w:eastAsia="el"/>
        </w:rPr>
        <w:t xml:space="preserve"> Δεκεμβρίου 2013, καθώς και τα μεγάλα έργα του άρθρου 39 του Κανονισμού 1083/2006 του Συμβουλίου της 11ης Ιουλίου 2006. Η έναρξη ισχύος του προηγούμενου εδαφίου αρχίζει από 8.8.2014, ημερομηνία έναρξης ισχύος της παρ. 10 του ν. 4281/2014. Οι υποκείμενοι που έχουν ήδη εκδώσει φορολογικά στοιχεία χωρίς ΦΠΑ κατά τα προβλεπόμενα στις παραπάνω διατάξεις του ν. 4281/2014, εκδίδουν τα συμπληρωματικά φορολογικά στοιχεία, ανακαλούν τυχόν αιτήσεις επιστροφής, υποβάλλουν τις τροποποιητικές δηλώσεις ΦΠΑ και καταβάλλουν τον οφειλόμενο φόρο έως και 31 Δεκεμβρίου 2015 χωρίς τόκους, επιβαρύνσεις ή άλλες κυρώσεις. Ειδικά στις περιπτώσεις, αυτές για την υποβολή των τροποποιητικών δηλώσεων ΦΠΑ τόσο από τους εκδότες όσο και από τους λήπτες των συμπληρωματικών τιμολογίων δεν έχει εφαρμογή η διάταξη της παρ. 3 του άρθρου 19 του Κώδικα Φορολογικής Διαδικασίας (ν. 4174/2013).</w:t>
      </w:r>
      <w:r>
        <w:rPr>
          <w:rStyle w:val="Hyperlink"/>
          <w:color w:val="000000"/>
          <w:sz w:val="20"/>
          <w:szCs w:val="20"/>
          <w:u w:val="none" w:color="0000EE"/>
          <w:vertAlign w:val="superscript"/>
          <w:lang w:val="el" w:eastAsia="el"/>
        </w:rPr>
        <w:footnoteReference w:id="438"/>
      </w:r>
    </w:p>
    <w:p>
      <w:pPr>
        <w:pStyle w:val="MainText"/>
        <w:spacing w:before="120" w:after="0"/>
        <w:rPr>
          <w:lang w:val="el" w:eastAsia="el"/>
        </w:rPr>
      </w:pPr>
      <w:r>
        <w:rPr>
          <w:b/>
          <w:bCs/>
          <w:lang w:val="el" w:eastAsia="el"/>
        </w:rPr>
        <w:t>5.</w:t>
      </w:r>
      <w:r>
        <w:rPr>
          <w:lang w:val="el" w:eastAsia="el"/>
        </w:rPr>
        <w:t xml:space="preserve"> Για τις παραδόσεις, από υποκείµενο στο φόρο σε άλλον υποκείµενο, κινητών τηλεφώνων, ήτοι συσκευών που έχουν κατασκευαστεί ή προσαρµοστεί για χρήση σε αναγνωρισµένο δίκτυο και λειτουργούν σε συγκεκριµένες συχνότητες, ανεξαρτήτως του αν χρησιµοποιούνται ή όχι για άλλους σκοπούς, καθώς και κονσολών για παιχνίδια, ταµπλετών ηλεκτρονικών υπολογιστών και φορητών υπολογιστών, ο φόρος καταβάλλεται από τον αγοραστή των αγαθών, υπό την προϋπόθεση ότι αυτός έχει δικαίωµα έκπτωσης του φόρου εισροών. Ο υποκείµενος που παραδίδει τα αγαθά του προηγούµενου εδαφίου έχει δικαίωµα έκπτωσης του φόρου εισροών που αντιστοιχεί στις εν λόγω πράξεις, δεν χρεώνει φόρο στα εκδιδόµενα φορολογικά στοιχεία και υποχρεούται να αναγράφει σε αυτά τη φράση «Άρθρο 39α, υπόχρεος για την καταβολή του φόρου είναι ο αγοραστής».</w:t>
      </w:r>
    </w:p>
    <w:p>
      <w:pPr>
        <w:spacing w:before="240" w:after="240"/>
        <w:rPr>
          <w:lang w:val="el" w:eastAsia="el"/>
        </w:rPr>
      </w:pPr>
      <w:r>
        <w:rPr>
          <w:lang w:val="el" w:eastAsia="el"/>
        </w:rPr>
        <w:t>Οι υποκείµενοι στο φόρο που παραδίδουν ή αγοράζουν τα αγαθά της παρούσας παραγράφου, υποχρεούνται σε αναφορά στοιχείων για τις εν λόγω παραδόσεις ή αγορές.</w:t>
      </w:r>
      <w:r>
        <w:rPr>
          <w:rStyle w:val="Hyperlink"/>
          <w:color w:val="000000"/>
          <w:sz w:val="20"/>
          <w:szCs w:val="20"/>
          <w:u w:val="none" w:color="0000EE"/>
          <w:vertAlign w:val="superscript"/>
          <w:lang w:val="el" w:eastAsia="el"/>
        </w:rPr>
        <w:footnoteReference w:id="439"/>
      </w:r>
    </w:p>
    <w:p>
      <w:pPr>
        <w:pStyle w:val="MainText"/>
        <w:spacing w:before="120" w:after="0"/>
        <w:rPr>
          <w:lang w:val="el" w:eastAsia="el"/>
        </w:rPr>
      </w:pPr>
      <w:r>
        <w:rPr>
          <w:b/>
          <w:bCs/>
          <w:lang w:val="el" w:eastAsia="el"/>
        </w:rPr>
        <w:t>6.</w:t>
      </w:r>
      <w:r>
        <w:rPr>
          <w:lang w:val="el" w:eastAsia="el"/>
        </w:rPr>
        <w:t xml:space="preserve"> Με απόφαση του Διοικητή Α.Α.Δ.Ε. ρυθµίζεται κάθε αναγκαία λεπτοµέρεια για την εφαρµογή του παρόντος άρθρου.</w:t>
      </w:r>
      <w:r>
        <w:rPr>
          <w:rStyle w:val="Hyperlink"/>
          <w:color w:val="000000"/>
          <w:sz w:val="20"/>
          <w:szCs w:val="20"/>
          <w:u w:val="none" w:color="0000EE"/>
          <w:vertAlign w:val="superscript"/>
          <w:lang w:val="el" w:eastAsia="el"/>
        </w:rPr>
        <w:footnoteReference w:id="440"/>
      </w:r>
    </w:p>
    <w:p>
      <w:pPr>
        <w:pStyle w:val="Heading6"/>
        <w:spacing w:before="240" w:after="240"/>
        <w:rPr>
          <w:lang w:val="el" w:eastAsia="el"/>
        </w:rPr>
      </w:pPr>
      <w:r>
        <w:rPr>
          <w:b/>
          <w:bCs/>
          <w:lang w:val="el" w:eastAsia="el"/>
        </w:rPr>
        <w:t xml:space="preserve">Άρθρο 39β </w:t>
      </w:r>
    </w:p>
    <w:p>
      <w:pPr>
        <w:pStyle w:val="Heading6"/>
        <w:spacing w:before="240" w:after="240"/>
        <w:rPr>
          <w:lang w:val="el" w:eastAsia="el"/>
        </w:rPr>
      </w:pPr>
      <w:r>
        <w:rPr>
          <w:b/>
          <w:bCs/>
          <w:lang w:val="el" w:eastAsia="el"/>
        </w:rPr>
        <w:t>Ειδικό καθεστώς καταβολής του φόρου κατά το χρόνο είσπραξης της αντιπαροχής</w:t>
      </w:r>
      <w:r>
        <w:rPr>
          <w:rStyle w:val="Hyperlink"/>
          <w:color w:val="000000"/>
          <w:sz w:val="20"/>
          <w:szCs w:val="20"/>
          <w:u w:val="none" w:color="0000EE"/>
          <w:vertAlign w:val="superscript"/>
          <w:lang w:val="el" w:eastAsia="el"/>
        </w:rPr>
        <w:footnoteReference w:id="441"/>
      </w:r>
    </w:p>
    <w:p>
      <w:pPr>
        <w:pStyle w:val="MainText"/>
        <w:spacing w:before="120" w:after="0"/>
        <w:rPr>
          <w:lang w:val="el" w:eastAsia="el"/>
        </w:rPr>
      </w:pPr>
      <w:r>
        <w:rPr>
          <w:b/>
          <w:bCs/>
          <w:lang w:val="el" w:eastAsia="el"/>
        </w:rPr>
        <w:t>1.</w:t>
      </w:r>
      <w:r>
        <w:rPr>
          <w:lang w:val="el" w:eastAsia="el"/>
        </w:rPr>
        <w:t xml:space="preserve"> Κατά παρέκκλιση των γενικών διατάξεων του παρόντος Κώδικα, οι υποκείμενοι των οποίων ο ετήσιος κύκλος εργασιών δεν υπερβαίνει τα δύο εκατομμύρια (2.000.000) ευρώ, μπορούν να επιλέξουν την εφαρμογή του ειδικού καθεστώτος του παρόντος άρθρου. Για τους υποκείμενους που δεν έχουν λειτουργήσει επί ένα πλήρες φορολογικό έτος, ο ετήσιος κύκλος εργασιών υπολογίζεται με αναγωγή του ήδη πραγματοποιηθέντος κύκλου εργασιών σε 12μηνη περίοδο.</w:t>
      </w:r>
      <w:r>
        <w:rPr>
          <w:rStyle w:val="Hyperlink"/>
          <w:color w:val="000000"/>
          <w:sz w:val="20"/>
          <w:szCs w:val="20"/>
          <w:u w:val="none" w:color="0000EE"/>
          <w:vertAlign w:val="superscript"/>
          <w:lang w:val="el" w:eastAsia="el"/>
        </w:rPr>
        <w:footnoteReference w:id="442"/>
      </w:r>
    </w:p>
    <w:p>
      <w:pPr>
        <w:pStyle w:val="MainText"/>
        <w:spacing w:before="120" w:after="0"/>
        <w:rPr>
          <w:lang w:val="el" w:eastAsia="el"/>
        </w:rPr>
      </w:pPr>
      <w:r>
        <w:rPr>
          <w:b/>
          <w:bCs/>
          <w:lang w:val="el" w:eastAsia="el"/>
        </w:rPr>
        <w:t>2.</w:t>
      </w:r>
      <w:r>
        <w:rPr>
          <w:lang w:val="el" w:eastAsia="el"/>
        </w:rPr>
        <w:t xml:space="preserve"> Για τα πρόσωπα που εντάσσονται στο ειδικό αυτό καθεστώς:</w:t>
      </w:r>
    </w:p>
    <w:p>
      <w:pPr>
        <w:pStyle w:val="StructureList1"/>
        <w:spacing w:before="120" w:after="0"/>
        <w:rPr>
          <w:lang w:val="el" w:eastAsia="el"/>
        </w:rPr>
      </w:pPr>
      <w:r>
        <w:rPr>
          <w:lang w:val="el" w:eastAsia="el"/>
        </w:rPr>
        <w:t>α)</w:t>
      </w:r>
      <w:r>
        <w:rPr>
          <w:lang w:val="en" w:eastAsia="en"/>
        </w:rPr>
        <w:tab/>
      </w:r>
      <w:r>
        <w:rPr>
          <w:lang w:val="el" w:eastAsia="el"/>
        </w:rPr>
        <w:t>Ο φόρος καθίσταται απαιτητός κατά το χρόνο είσπραξης της αντιπαροχής ή μέρους αυτής που αφορά τις πραγματοποιούμενες από τα πρόσωπα αυτά φορολογητέες πράξεις.</w:t>
      </w:r>
    </w:p>
    <w:p>
      <w:pPr>
        <w:pStyle w:val="StructureList1"/>
        <w:spacing w:before="120" w:after="0"/>
        <w:rPr>
          <w:lang w:val="el" w:eastAsia="el"/>
        </w:rPr>
      </w:pPr>
      <w:r>
        <w:rPr>
          <w:lang w:val="el" w:eastAsia="el"/>
        </w:rPr>
        <w:t>β)</w:t>
      </w:r>
      <w:r>
        <w:rPr>
          <w:lang w:val="en" w:eastAsia="en"/>
        </w:rPr>
        <w:tab/>
      </w:r>
      <w:r>
        <w:rPr>
          <w:lang w:val="el" w:eastAsia="el"/>
        </w:rPr>
        <w:t>Ο φόρος εισροών εκπίπτεται κατά το χρόνο πληρωμής του τιμήματος ή μέρους αυτού που αφορά τις φορολογητέες πράξεις που λαμβάνουν από άλλους υποκείμενους στο φόρο.</w:t>
      </w:r>
      <w:r>
        <w:rPr>
          <w:rStyle w:val="Hyperlink"/>
          <w:color w:val="000000"/>
          <w:sz w:val="20"/>
          <w:szCs w:val="20"/>
          <w:u w:val="none" w:color="0000EE"/>
          <w:vertAlign w:val="superscript"/>
          <w:lang w:val="el" w:eastAsia="el"/>
        </w:rPr>
        <w:footnoteReference w:id="443"/>
      </w:r>
    </w:p>
    <w:p>
      <w:pPr>
        <w:pStyle w:val="MainText"/>
        <w:spacing w:before="120" w:after="0"/>
        <w:rPr>
          <w:lang w:val="el" w:eastAsia="el"/>
        </w:rPr>
      </w:pPr>
      <w:r>
        <w:rPr>
          <w:b/>
          <w:bCs/>
          <w:lang w:val="el" w:eastAsia="el"/>
        </w:rPr>
        <w:t>2.</w:t>
      </w:r>
      <w:r>
        <w:rPr>
          <w:lang w:val="el" w:eastAsia="el"/>
        </w:rPr>
        <w:t xml:space="preserve"> α. Οι εφαρμοζόμενοι συντελεστές είναι, σε κάθε περίπτωση, οι ισχύοντες κατά το χρόνο που νομίμως εκδίδεται το φορολογικό στοιχείο.</w:t>
      </w:r>
      <w:r>
        <w:rPr>
          <w:rStyle w:val="Hyperlink"/>
          <w:color w:val="000000"/>
          <w:sz w:val="20"/>
          <w:szCs w:val="20"/>
          <w:u w:val="none" w:color="0000EE"/>
          <w:vertAlign w:val="superscript"/>
          <w:lang w:val="el" w:eastAsia="el"/>
        </w:rPr>
        <w:footnoteReference w:id="444"/>
      </w:r>
    </w:p>
    <w:p>
      <w:pPr>
        <w:pStyle w:val="MainText"/>
        <w:spacing w:before="120" w:after="0"/>
        <w:rPr>
          <w:lang w:val="el" w:eastAsia="el"/>
        </w:rPr>
      </w:pPr>
      <w:r>
        <w:rPr>
          <w:b/>
          <w:bCs/>
          <w:lang w:val="el" w:eastAsia="el"/>
        </w:rPr>
        <w:t>3.</w:t>
      </w:r>
      <w:r>
        <w:rPr>
          <w:lang w:val="el" w:eastAsia="el"/>
        </w:rPr>
        <w:t xml:space="preserve"> Οι υποκείμενοι στο φόρο λήπτες παράδοσης αγαθών ή παροχής υπηρεσιών από τα πρόσωπα που έχουν ενταχθεί στο ειδικό καθεστώς, εκπίπτουν το φόρο που αναλογεί στις πράξεις αυτές κατά το χρόνο πληρωμής του τιμήματος.</w:t>
      </w:r>
      <w:r>
        <w:rPr>
          <w:rStyle w:val="Hyperlink"/>
          <w:color w:val="000000"/>
          <w:sz w:val="20"/>
          <w:szCs w:val="20"/>
          <w:u w:val="none" w:color="0000EE"/>
          <w:vertAlign w:val="superscript"/>
          <w:lang w:val="el" w:eastAsia="el"/>
        </w:rPr>
        <w:footnoteReference w:id="445"/>
      </w:r>
    </w:p>
    <w:p>
      <w:pPr>
        <w:pStyle w:val="MainText"/>
        <w:spacing w:before="120" w:after="0"/>
        <w:rPr>
          <w:lang w:val="el" w:eastAsia="el"/>
        </w:rPr>
      </w:pPr>
      <w:r>
        <w:rPr>
          <w:b/>
          <w:bCs/>
          <w:lang w:val="el" w:eastAsia="el"/>
        </w:rPr>
        <w:t>4.</w:t>
      </w:r>
      <w:r>
        <w:rPr>
          <w:lang w:val="el" w:eastAsia="el"/>
        </w:rPr>
        <w:t xml:space="preserve"> Στο ειδικό καθεστώς δεν υπάγονται οι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Παραδόσεις αγαθών και παροχές υπηρεσιών οι οποίες απαλλάσσονται από το φόρο, σύμφωνα με τις διατάξεις των άρθρων 22 έως 28.</w:t>
      </w:r>
      <w:r>
        <w:rPr>
          <w:rStyle w:val="Hyperlink"/>
          <w:color w:val="000000"/>
          <w:sz w:val="20"/>
          <w:szCs w:val="20"/>
          <w:u w:val="none" w:color="0000EE"/>
          <w:vertAlign w:val="superscript"/>
          <w:lang w:val="el" w:eastAsia="el"/>
        </w:rPr>
        <w:footnoteReference w:id="446"/>
      </w:r>
    </w:p>
    <w:p>
      <w:pPr>
        <w:pStyle w:val="StructureList1"/>
        <w:spacing w:before="120" w:after="0"/>
        <w:rPr>
          <w:lang w:val="el" w:eastAsia="el"/>
        </w:rPr>
      </w:pPr>
      <w:r>
        <w:rPr>
          <w:lang w:val="el" w:eastAsia="el"/>
        </w:rPr>
        <w:t>β)</w:t>
      </w:r>
      <w:r>
        <w:rPr>
          <w:lang w:val="en" w:eastAsia="en"/>
        </w:rPr>
        <w:tab/>
      </w:r>
      <w:r>
        <w:rPr>
          <w:lang w:val="el" w:eastAsia="el"/>
        </w:rPr>
        <w:t>Εισαγωγές αγαθών.</w:t>
      </w:r>
    </w:p>
    <w:p>
      <w:pPr>
        <w:pStyle w:val="StructureList1"/>
        <w:spacing w:before="120" w:after="0"/>
        <w:rPr>
          <w:lang w:val="el" w:eastAsia="el"/>
        </w:rPr>
      </w:pPr>
      <w:r>
        <w:rPr>
          <w:lang w:val="el" w:eastAsia="el"/>
        </w:rPr>
        <w:t>γ)</w:t>
      </w:r>
      <w:r>
        <w:rPr>
          <w:lang w:val="en" w:eastAsia="en"/>
        </w:rPr>
        <w:tab/>
      </w:r>
      <w:r>
        <w:rPr>
          <w:lang w:val="el" w:eastAsia="el"/>
        </w:rPr>
        <w:t>Ενδοκοινοτικές αποκτήσεις αγαθών.</w:t>
      </w:r>
    </w:p>
    <w:p>
      <w:pPr>
        <w:pStyle w:val="StructureList1"/>
        <w:spacing w:before="120" w:after="0"/>
        <w:rPr>
          <w:lang w:val="el" w:eastAsia="el"/>
        </w:rPr>
      </w:pPr>
      <w:r>
        <w:rPr>
          <w:lang w:val="el" w:eastAsia="el"/>
        </w:rPr>
        <w:t>δ)</w:t>
      </w:r>
      <w:r>
        <w:rPr>
          <w:lang w:val="en" w:eastAsia="en"/>
        </w:rPr>
        <w:tab/>
      </w:r>
      <w:r>
        <w:rPr>
          <w:lang w:val="el" w:eastAsia="el"/>
        </w:rPr>
        <w:t>Πράξεις για τις οποίες υπόχρεος για την καταβολή του φόρου καθίσταται ο λήπτης των αγαθών ή υπηρεσιών.</w:t>
      </w:r>
    </w:p>
    <w:p>
      <w:pPr>
        <w:pStyle w:val="StructureList1"/>
        <w:spacing w:before="120" w:after="0"/>
        <w:rPr>
          <w:lang w:val="el" w:eastAsia="el"/>
        </w:rPr>
      </w:pPr>
      <w:r>
        <w:rPr>
          <w:lang w:val="el" w:eastAsia="el"/>
        </w:rPr>
        <w:t>ε)</w:t>
      </w:r>
      <w:r>
        <w:rPr>
          <w:lang w:val="en" w:eastAsia="en"/>
        </w:rPr>
        <w:tab/>
      </w:r>
      <w:r>
        <w:rPr>
          <w:lang w:val="el" w:eastAsia="el"/>
        </w:rPr>
        <w:t>Λιανικές πωλήσεις αγαθών και υπηρεσιών.</w:t>
      </w:r>
    </w:p>
    <w:p>
      <w:pPr>
        <w:pStyle w:val="StructureList1"/>
        <w:spacing w:before="120" w:after="0"/>
        <w:rPr>
          <w:lang w:val="el" w:eastAsia="el"/>
        </w:rPr>
      </w:pPr>
      <w:r>
        <w:rPr>
          <w:lang w:val="el" w:eastAsia="el"/>
        </w:rPr>
        <w:t>στ)</w:t>
      </w:r>
      <w:r>
        <w:rPr>
          <w:lang w:val="en" w:eastAsia="en"/>
        </w:rPr>
        <w:tab/>
      </w:r>
      <w:r>
        <w:rPr>
          <w:lang w:val="el" w:eastAsia="el"/>
        </w:rPr>
        <w:t>Πράξεις για τις οποίες ο τόπος φορολόγησης δεν βρίσκεται στο εσωτερικό της χώρας.</w:t>
      </w:r>
      <w:r>
        <w:rPr>
          <w:rStyle w:val="Hyperlink"/>
          <w:color w:val="000000"/>
          <w:sz w:val="20"/>
          <w:szCs w:val="20"/>
          <w:u w:val="none" w:color="0000EE"/>
          <w:vertAlign w:val="superscript"/>
          <w:lang w:val="el" w:eastAsia="el"/>
        </w:rPr>
        <w:footnoteReference w:id="447"/>
      </w:r>
    </w:p>
    <w:p>
      <w:pPr>
        <w:pStyle w:val="MainText"/>
        <w:spacing w:before="120" w:after="0"/>
        <w:rPr>
          <w:lang w:val="el" w:eastAsia="el"/>
        </w:rPr>
      </w:pPr>
      <w:r>
        <w:rPr>
          <w:b/>
          <w:bCs/>
          <w:lang w:val="el" w:eastAsia="el"/>
        </w:rPr>
        <w:t>5.</w:t>
      </w:r>
      <w:r>
        <w:rPr>
          <w:lang w:val="el" w:eastAsia="el"/>
        </w:rPr>
        <w:t xml:space="preserve"> Η ένταξη στο καθεστώς πραγματοποιείται με υποβολή δήλωσης στην αρμόδια υπηρεσία της Φορολογικής Διοίκησης, ισχύει από την έναρξη της επόμενης φορολογικής περιόδου και δεν μπορεί να παύσει πριν το πέρας του επόμενου φορολογικού έτους. Η δήλωση ένταξης στο ειδικό καθεστώς μπορεί να ανακληθεί με υποβολή δήλωσης εξόδου, μέχρι την τελευταία ημέρα πριν την έναρξη της φορολογικής περιόδου για την οποία ισχύει.</w:t>
      </w:r>
      <w:r>
        <w:rPr>
          <w:rStyle w:val="Hyperlink"/>
          <w:color w:val="000000"/>
          <w:sz w:val="20"/>
          <w:szCs w:val="20"/>
          <w:u w:val="none" w:color="0000EE"/>
          <w:vertAlign w:val="superscript"/>
          <w:lang w:val="el" w:eastAsia="el"/>
        </w:rPr>
        <w:footnoteReference w:id="448"/>
      </w:r>
    </w:p>
    <w:p>
      <w:pPr>
        <w:pStyle w:val="MainText"/>
        <w:spacing w:before="120" w:after="0"/>
        <w:rPr>
          <w:lang w:val="el" w:eastAsia="el"/>
        </w:rPr>
      </w:pPr>
      <w:r>
        <w:rPr>
          <w:b/>
          <w:bCs/>
          <w:lang w:val="el" w:eastAsia="el"/>
        </w:rPr>
        <w:t>6.</w:t>
      </w:r>
      <w:r>
        <w:rPr>
          <w:lang w:val="el" w:eastAsia="el"/>
        </w:rPr>
        <w:t xml:space="preserve"> Στο ειδικό καθεστώς δεν μπορεί να ενταχθεί υποκείμενος στο φόρο, ο οποίος αποδεδειγμένα κατά τη διάρκεια των δύο προηγούμενων φορολογικών ετών δεν έχει υποβάλλει δηλώσεις ΦΠΑ και εισοδήματος.</w:t>
      </w:r>
      <w:r>
        <w:rPr>
          <w:rStyle w:val="Hyperlink"/>
          <w:color w:val="000000"/>
          <w:sz w:val="20"/>
          <w:szCs w:val="20"/>
          <w:u w:val="none" w:color="0000EE"/>
          <w:vertAlign w:val="superscript"/>
          <w:lang w:val="el" w:eastAsia="el"/>
        </w:rPr>
        <w:footnoteReference w:id="449"/>
      </w:r>
    </w:p>
    <w:p>
      <w:pPr>
        <w:pStyle w:val="MainText"/>
        <w:spacing w:before="120" w:after="0"/>
        <w:rPr>
          <w:lang w:val="el" w:eastAsia="el"/>
        </w:rPr>
      </w:pPr>
      <w:r>
        <w:rPr>
          <w:b/>
          <w:bCs/>
          <w:lang w:val="el" w:eastAsia="el"/>
        </w:rPr>
        <w:t>7.</w:t>
      </w:r>
      <w:r>
        <w:rPr>
          <w:lang w:val="el" w:eastAsia="el"/>
        </w:rPr>
        <w:t xml:space="preserve"> Οι υποκείμενοι στο φόρο που εντάσσονται στο ειδικό καθεστώς υποχρεούνται να αναγράφουν στα φορολογικά στοιχεία που εκδίδουν την ένδειξη «ειδικό καθεστώς καταβολής του φόρου κατά το χρόνο είσπραξης της αντιπαροχής - άρθρο 226.7α Οδηγίας 2006/112/ΕΚ».</w:t>
      </w:r>
      <w:r>
        <w:rPr>
          <w:rStyle w:val="Hyperlink"/>
          <w:color w:val="000000"/>
          <w:sz w:val="20"/>
          <w:szCs w:val="20"/>
          <w:u w:val="none" w:color="0000EE"/>
          <w:vertAlign w:val="superscript"/>
          <w:lang w:val="el" w:eastAsia="el"/>
        </w:rPr>
        <w:footnoteReference w:id="450"/>
      </w:r>
    </w:p>
    <w:p>
      <w:pPr>
        <w:pStyle w:val="MainText"/>
        <w:spacing w:before="120" w:after="0"/>
        <w:rPr>
          <w:lang w:val="el" w:eastAsia="el"/>
        </w:rPr>
      </w:pPr>
      <w:r>
        <w:rPr>
          <w:b/>
          <w:bCs/>
          <w:lang w:val="el" w:eastAsia="el"/>
        </w:rPr>
        <w:t>8.</w:t>
      </w:r>
      <w:r>
        <w:rPr>
          <w:lang w:val="el" w:eastAsia="el"/>
        </w:rPr>
        <w:t xml:space="preserve"> Οι υποκείμενοι στο φόρο που εντάσσονται στο ειδικό καθεστώς υποχρεούνται να τηρούν τα λογιστικά αρχεία τους με τρόπο που να διαπιστώνονται οι εισπράξεις και οι πληρωμές της αντιπαροχής για παραδόσεις αγαθών και παροχές υπηρεσιών που πραγματοποιούν ή λαμβάνουν και να παρέχουν ηλεκτρονικά πληροφορίες στη Φορολογική Διοίκηση για τις εν λόγω εισπράξεις και πληρωμές. Επίσης οι υποκείμενοι στο φόρο, που λαμβάνουν παραδόσεις αγαθών και παροχές υπηρεσιών, από υποκείμενους του ειδικού καθεστώτος, υποχρεούνται να τηρούν τα λογιστικά αρχεία τους με τρόπο που να διαπιστώνονται οι πληρωμές που πραγματοποιούν για τις εν λόγω πράξεις και να παρέχουν ηλεκτρονικά πληροφορίες στη Φορολογική Διοίκηση για τις εν λόγω πληρωμές.</w:t>
      </w:r>
      <w:r>
        <w:rPr>
          <w:rStyle w:val="Hyperlink"/>
          <w:color w:val="000000"/>
          <w:sz w:val="20"/>
          <w:szCs w:val="20"/>
          <w:u w:val="none" w:color="0000EE"/>
          <w:vertAlign w:val="superscript"/>
          <w:lang w:val="el" w:eastAsia="el"/>
        </w:rPr>
        <w:footnoteReference w:id="451"/>
      </w:r>
    </w:p>
    <w:p>
      <w:pPr>
        <w:pStyle w:val="MainText"/>
        <w:spacing w:before="120" w:after="0"/>
        <w:rPr>
          <w:lang w:val="el" w:eastAsia="el"/>
        </w:rPr>
      </w:pPr>
      <w:r>
        <w:rPr>
          <w:b/>
          <w:bCs/>
          <w:lang w:val="el" w:eastAsia="el"/>
        </w:rPr>
        <w:t>9.</w:t>
      </w:r>
      <w:r>
        <w:rPr>
          <w:lang w:val="el" w:eastAsia="el"/>
        </w:rPr>
        <w:t xml:space="preserve"> Ο υποκείμενος στον φόρο δεν μπορεί να παραμείνει στο ειδικό καθεστώς στην περίπτωση που δεν εκπληρώνει τις υποχρεώσεις, όπως ορίζονται από αυτό. Στην περίπτωση αυτή η Φορολογική Διοίκηση ενημερώνει αιτιολογημένα τον υποκείμενο για την έξοδό του από το καθεστώς, καθώς και για τη φορολογική περίοδο υπαγωγής του στους κανόνες του κανονικού καθεστώτος. Στην περίπτωση υπέρβασης του ορίου που προβλέπεται στην παράγραφο 1, ο υποκείμενος οφείλει να υποβάλλει στη Φορολογική Διοίκηση αίτηση εξόδου από το καθεστώς. Η ένταξη στο κανονικό καθεστώς θα ισχύει από το φορολογικό έτος που ακολουθεί το φορολογικό έτος εντός του οποίου πραγματοποιήθηκε η εν λόγω υπέρβαση. Ο υποκείμενος στο φόρο μπορεί να ζητήσει την έξοδό του με δήλωση που υποβάλλει στη Φορολογική Διοίκηση και η έξοδος ισχύει από τη φορολογική περίοδο που έπεται της φορολογικής περιόδου κατά την οποία υποβάλλεται η εν λόγω δήλωση εξόδου, υπό την προϋπόθεση ότι έχει εξαντληθεί το χρονικό διάστημα της υποχρεωτικής παραμονής στο ειδικό καθεστώς. Οι υποκείμενοι στο φόρο που εξέρχονται από το ειδικό καθεστώς οφείλουν, με τη δήλωση της τελευταίας πριν την έξοδό τους, φορολογικής περιόδου, να αποδώσουν το φόρο για όλα τα ανεξόφλητα φορολογικά στοιχεία που έχουν εκδώσει, με αντίστοιχη άσκηση δικαιώματος έκπτωσης των ανεξόφλητων φορολογικών στοιχείων που έχουν λάβει από μη ενταγμένους στο ειδικό καθεστώς προμηθευτές τους. Κατά τον ίδιο χρόνο ασκείται το δικαίωμα έκπτωσης των πελατών των ανωτέρω προσώπων για τα ανεξόφλητα φορολογικά στοιχεία που έχουν λάβει από τα πρόσωπα αυτά, μέχρι το τέλος της φορολογικής αυτής περιόδου.</w:t>
      </w:r>
      <w:r>
        <w:rPr>
          <w:rStyle w:val="Hyperlink"/>
          <w:color w:val="000000"/>
          <w:sz w:val="20"/>
          <w:szCs w:val="20"/>
          <w:u w:val="none" w:color="0000EE"/>
          <w:vertAlign w:val="superscript"/>
          <w:lang w:val="el" w:eastAsia="el"/>
        </w:rPr>
        <w:footnoteReference w:id="452"/>
      </w:r>
    </w:p>
    <w:p>
      <w:pPr>
        <w:pStyle w:val="MainText"/>
        <w:spacing w:before="120" w:after="0"/>
        <w:rPr>
          <w:lang w:val="el" w:eastAsia="el"/>
        </w:rPr>
      </w:pPr>
      <w:r>
        <w:rPr>
          <w:b/>
          <w:bCs/>
          <w:lang w:val="el" w:eastAsia="el"/>
        </w:rPr>
        <w:t>10.</w:t>
      </w:r>
      <w:r>
        <w:rPr>
          <w:lang w:val="el" w:eastAsia="el"/>
        </w:rPr>
        <w:t xml:space="preserve"> Με αποφάσεις του Γενικού Γραμματέα Δημοσίων Εσόδων καθορίζονται: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ο χρόνος υποβολής της δήλωσης ένταξης ή εξόδου από το ειδικό καθεστώς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Ο τρόπος τήρησης των λογιστικών αρχείων, ώστε να είναι δυνατός ο έλεγχος της είσπραξης ή πληρωμής του οφειλόμενου φόρου, καθώς και ο τρόπος είσπραξης και πληρωμής.</w:t>
      </w:r>
    </w:p>
    <w:p>
      <w:pPr>
        <w:pStyle w:val="StructureList1"/>
        <w:spacing w:before="120" w:after="0"/>
        <w:rPr>
          <w:lang w:val="el" w:eastAsia="el"/>
        </w:rPr>
      </w:pPr>
      <w:r>
        <w:rPr>
          <w:lang w:val="el" w:eastAsia="el"/>
        </w:rPr>
        <w:t>γ)</w:t>
      </w:r>
      <w:r>
        <w:rPr>
          <w:lang w:val="en" w:eastAsia="en"/>
        </w:rPr>
        <w:tab/>
      </w:r>
      <w:r>
        <w:rPr>
          <w:lang w:val="el" w:eastAsia="el"/>
        </w:rPr>
        <w:t>Ο τρόπος ηλεκτρονικής ενημέρωσης της Φορολογικής Διοίκησης.</w:t>
      </w:r>
    </w:p>
    <w:p>
      <w:pPr>
        <w:pStyle w:val="StructureList1"/>
        <w:spacing w:before="120" w:after="0"/>
        <w:rPr>
          <w:lang w:val="el" w:eastAsia="el"/>
        </w:rPr>
      </w:pPr>
      <w:r>
        <w:rPr>
          <w:lang w:val="el" w:eastAsia="el"/>
        </w:rPr>
        <w:t>δ)</w:t>
      </w:r>
      <w:r>
        <w:rPr>
          <w:lang w:val="en" w:eastAsia="en"/>
        </w:rPr>
        <w:tab/>
      </w:r>
      <w:r>
        <w:rPr>
          <w:lang w:val="el" w:eastAsia="el"/>
        </w:rPr>
        <w:t>Κάθε άλλο θέμα που απαιτείται για την εφαρμογή του παρόντος άρθρου.</w:t>
      </w:r>
      <w:r>
        <w:rPr>
          <w:rStyle w:val="Hyperlink"/>
          <w:color w:val="000000"/>
          <w:sz w:val="20"/>
          <w:szCs w:val="20"/>
          <w:u w:val="none" w:color="0000EE"/>
          <w:vertAlign w:val="superscript"/>
          <w:lang w:val="el" w:eastAsia="el"/>
        </w:rPr>
        <w:footnoteReference w:id="453"/>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Ειδικό καθεστώς κατ΄ αποκοπή καταβολής του φόρου</w:t>
      </w:r>
    </w:p>
    <w:p>
      <w:pPr>
        <w:pStyle w:val="MainText"/>
        <w:spacing w:before="120" w:after="0"/>
        <w:rPr>
          <w:lang w:val="el" w:eastAsia="el"/>
        </w:rPr>
      </w:pPr>
      <w:r>
        <w:rPr>
          <w:b/>
          <w:bCs/>
          <w:lang w:val="el" w:eastAsia="el"/>
        </w:rPr>
        <w:t>1.</w:t>
      </w:r>
      <w:r>
        <w:rPr>
          <w:lang w:val="el" w:eastAsia="el"/>
        </w:rPr>
        <w:t xml:space="preserve"> Καθιερώνεται ειδικό κατ΄αποκοπή καθεστώς καταβολής του φόρου, για ορισμένους κλάδους μικρών επιχειρήσεων, για τις οποίες, λόγω της φύσης άσκησης της δραστηριότητας τους, της δομής τους και της οργάνωσης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w:t>
      </w:r>
    </w:p>
    <w:p>
      <w:pPr>
        <w:spacing w:before="240" w:after="240"/>
        <w:rPr>
          <w:lang w:val="el" w:eastAsia="el"/>
        </w:rPr>
      </w:pPr>
      <w:r>
        <w:rPr>
          <w:lang w:val="el" w:eastAsia="el"/>
        </w:rPr>
        <w:t>Το κατ΄ αποκοπή αυτό ποσό Φ.Π.Α, προσδιορίζεται λαμβάνοντας υπόψη μακροοικονομικά και στατιστικά στοιχεία των υπόψη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lang w:val="el" w:eastAsia="el"/>
        </w:rPr>
        <w:t>α)</w:t>
      </w:r>
      <w:r>
        <w:rPr>
          <w:lang w:val="en" w:eastAsia="en"/>
        </w:rPr>
        <w:tab/>
      </w:r>
      <w:r>
        <w:rPr>
          <w:lang w:val="el" w:eastAsia="el"/>
        </w:rPr>
        <w:t>τις εισροές της δραστηριότητας και τον αντίστοιχο φόρο που τις επιβαρύνει,</w:t>
      </w:r>
    </w:p>
    <w:p>
      <w:pPr>
        <w:pStyle w:val="StructureList1"/>
        <w:spacing w:before="120" w:after="0"/>
        <w:rPr>
          <w:lang w:val="el" w:eastAsia="el"/>
        </w:rPr>
      </w:pPr>
      <w:r>
        <w:rPr>
          <w:lang w:val="el" w:eastAsia="el"/>
        </w:rPr>
        <w:t>β)</w:t>
      </w:r>
      <w:r>
        <w:rPr>
          <w:lang w:val="en" w:eastAsia="en"/>
        </w:rPr>
        <w:tab/>
      </w:r>
      <w:r>
        <w:rPr>
          <w:lang w:val="el" w:eastAsia="el"/>
        </w:rPr>
        <w:t>τις εκροές της δραστηριότητας και τον αντίστοιχο φόρο, που αναλογεί,</w:t>
      </w:r>
    </w:p>
    <w:p>
      <w:pPr>
        <w:pStyle w:val="StructureList1"/>
        <w:spacing w:before="120" w:after="0"/>
        <w:rPr>
          <w:lang w:val="el" w:eastAsia="el"/>
        </w:rPr>
      </w:pPr>
      <w:r>
        <w:rPr>
          <w:lang w:val="el" w:eastAsia="el"/>
        </w:rPr>
        <w:t>γ)</w:t>
      </w:r>
      <w:r>
        <w:rPr>
          <w:lang w:val="en" w:eastAsia="en"/>
        </w:rPr>
        <w:tab/>
      </w:r>
      <w:r>
        <w:rPr>
          <w:lang w:val="el" w:eastAsia="el"/>
        </w:rPr>
        <w:t>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lang w:val="el" w:eastAsia="el"/>
        </w:rPr>
        <w:t xml:space="preserve"> Στο ειδικό καθεστώς του παρόντος άρθρου δεν μπορούν να ενταχθούν επιχειρήσεις που ασκούν τη δραστηριότητα υπό μορφή εταιρίας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lang w:val="el" w:eastAsia="el"/>
        </w:rPr>
        <w:t xml:space="preserve"> Η εφαρμογή του ειδικού καθεστώτος δεν είναι υποχρεωτική για τις επιχειρήσεις, οι οποίες μπορούν με δήλωση τους να υπάγονται στο κανονικό καθεστώς του φόρου. Η δήλωση αυτή υποβάλλεται εντός τριάντα (30) ημερών από την έναρξη της διαχειριστικής περιόδου εντός της οποίας γίνεται η ένταξη στο κανονικό καθεστώς του φόρου και και δεν μπορεί να ανακληθεί πριν από την παρέλευση πενταετίας.</w:t>
      </w:r>
      <w:r>
        <w:rPr>
          <w:rStyle w:val="Hyperlink"/>
          <w:color w:val="000000"/>
          <w:sz w:val="20"/>
          <w:szCs w:val="20"/>
          <w:u w:val="none" w:color="0000EE"/>
          <w:vertAlign w:val="superscript"/>
          <w:lang w:val="el" w:eastAsia="el"/>
        </w:rPr>
        <w:footnoteReference w:id="454"/>
      </w:r>
    </w:p>
    <w:p>
      <w:pPr>
        <w:pStyle w:val="MainText"/>
        <w:spacing w:before="120" w:after="0"/>
        <w:rPr>
          <w:lang w:val="el" w:eastAsia="el"/>
        </w:rPr>
      </w:pPr>
      <w:r>
        <w:rPr>
          <w:b/>
          <w:bCs/>
          <w:lang w:val="el" w:eastAsia="el"/>
        </w:rPr>
        <w:t>6.</w:t>
      </w:r>
      <w:r>
        <w:rPr>
          <w:lang w:val="el" w:eastAsia="el"/>
        </w:rPr>
        <w:t xml:space="preserve"> Οι επιχειρήσεις που εντάσσονται στο ειδικό καθεστώς του παρόντος άρθρου δεν έχουν υποχρέωση υποβολής των περιοδικών και εκκαθαριστικών δηλώσεων του άρθρ. 38 και δεν τους παρέχεται δικαίωμα έκπτωσης ή επιστροφής του φόρου των εισροών τους.</w:t>
      </w:r>
    </w:p>
    <w:p>
      <w:pPr>
        <w:pStyle w:val="MainText"/>
        <w:spacing w:before="120" w:after="0"/>
        <w:rPr>
          <w:lang w:val="el" w:eastAsia="el"/>
        </w:rPr>
      </w:pPr>
      <w:r>
        <w:rPr>
          <w:b/>
          <w:bCs/>
          <w:lang w:val="el" w:eastAsia="el"/>
        </w:rPr>
        <w:t>7.</w:t>
      </w:r>
      <w:r>
        <w:rPr>
          <w:lang w:val="el" w:eastAsia="el"/>
        </w:rPr>
        <w:t xml:space="preserve"> Η ένταξη στο καθεστώς θεσπίζεται με αποφάσεις του Υπουργού Οικονομικών και μετά από τη σύμφωνη γνώμη των αρμόδιων οργάνων της Ευρωπαϊκής Ένωσης. Με τις αποφάσεις αυτές καθορίζεται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Ειδικό καθεστώς αγροτών</w:t>
      </w:r>
      <w:r>
        <w:rPr>
          <w:rStyle w:val="Hyperlink"/>
          <w:color w:val="000000"/>
          <w:sz w:val="20"/>
          <w:szCs w:val="20"/>
          <w:u w:val="none" w:color="0000EE"/>
          <w:vertAlign w:val="superscript"/>
          <w:lang w:val="el" w:eastAsia="el"/>
        </w:rPr>
        <w:footnoteReference w:id="455"/>
      </w:r>
    </w:p>
    <w:p>
      <w:pPr>
        <w:pStyle w:val="MainText"/>
        <w:spacing w:before="120" w:after="0"/>
        <w:rPr>
          <w:lang w:val="el" w:eastAsia="el"/>
        </w:rPr>
      </w:pPr>
      <w:r>
        <w:rPr>
          <w:b/>
          <w:bCs/>
          <w:lang w:val="el" w:eastAsia="el"/>
        </w:rPr>
        <w:t>1.</w:t>
      </w:r>
      <w:r>
        <w:rPr>
          <w:lang w:val="el" w:eastAsia="el"/>
        </w:rPr>
        <w:t xml:space="preserve"> Οι αγρότες, οι οποίοι κατά το προηγούμενο φορολογικό έτος πραγματοποίησαν προς οποιοδήποτε πρόσωπο παραδόσεις αγροτικών προϊόντων παραγωγής τους και παροχές αγροτικών υπηρεσιών των οποίων η αξία ήταν κατώτερη των δεκαπέντε χιλιάδων (15.000) ευρώ και έλαβαν επιδοτήσεις κατώτερες των πέντε χιλιάδων (5.000) ευρώ, υπάγονται στο ειδικό καθεστώς του παρόντος άρθρου, με την επιφύλαξη της παραγράφου 5. Οι εν λόγω αγρότες δεν επιβαρύνουν με φόρο προστιθέμενης αξίας τις παραδόσεις των αγαθών τους και τις παροχές των υπηρεσιών τους και δικαιούνται επιστροφής του φόρου του παρόντος νόμου που επιβάρυνε τις αγορές αγαθών ή λήψεις υπηρεσιών, τις οποίες πραγματοποίησαν για την άσκηση της αγροτικής εκμετάλλευσής τους, σύμφωνα με τα οριζόμενα στις παραγράφους 2 και 3. Ειδικά, για το φορολογικό έτος 2017, στον προσδιορισμό του ορίου των πέντε χιλιάδων (5.000) ευρώ από επιδοτήσεις που έλαβαν οι αγρότες κατά το προηγούμενο φορολογικό έτος, λαμβάνονται υπόψη τα ποσά των επιδοτήσεων που αφορούν μόνο το έτος 2016.</w:t>
      </w:r>
      <w:r>
        <w:rPr>
          <w:rStyle w:val="Hyperlink"/>
          <w:color w:val="000000"/>
          <w:sz w:val="20"/>
          <w:szCs w:val="20"/>
          <w:u w:val="none" w:color="0000EE"/>
          <w:vertAlign w:val="superscript"/>
          <w:lang w:val="el" w:eastAsia="el"/>
        </w:rPr>
        <w:footnoteReference w:id="456"/>
      </w:r>
    </w:p>
    <w:p>
      <w:pPr>
        <w:pStyle w:val="MainText"/>
        <w:spacing w:before="120" w:after="0"/>
        <w:rPr>
          <w:lang w:val="el" w:eastAsia="el"/>
        </w:rPr>
      </w:pPr>
      <w:r>
        <w:rPr>
          <w:b/>
          <w:bCs/>
          <w:lang w:val="el" w:eastAsia="el"/>
        </w:rPr>
        <w:t>2.</w:t>
      </w:r>
      <w:r>
        <w:rPr>
          <w:lang w:val="el" w:eastAsia="el"/>
        </w:rPr>
        <w:t xml:space="preserve">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Για την εφαρμογή των διατάξεων της παραγράφου αυτής, ως αξία των παραδιδόμενων προϊόντων ή των παρεχόμενων υπηρεσιών, λαμβάνεται αυτή που προκύπτει από τα οικεία νόμιμα λογιστικά στοιχεία (παραστατικά), με την προϋπόθεση ότι η παραγωγή προϊόντων και η</w:t>
      </w:r>
    </w:p>
    <w:p>
      <w:pPr>
        <w:spacing w:before="240" w:after="240"/>
        <w:rPr>
          <w:lang w:val="el" w:eastAsia="el"/>
        </w:rPr>
      </w:pPr>
      <w:r>
        <w:rPr>
          <w:lang w:val="el" w:eastAsia="el"/>
        </w:rPr>
        <w:t>παροχή υπηρεσιών προέρχεται από εκμετάλλευση περιουσιακών στοιχείων που είτε ανήκουν στον αγρότη κατά κυριότητα είτε έχει το δικαίωμα εκμετάλλευσης με οποιαδήποτε έννομη σχέση.</w:t>
      </w:r>
    </w:p>
    <w:p>
      <w:pPr>
        <w:spacing w:before="240" w:after="240"/>
        <w:rPr>
          <w:lang w:val="el" w:eastAsia="el"/>
        </w:rPr>
      </w:pPr>
      <w:r>
        <w:rPr>
          <w:lang w:val="el" w:eastAsia="el"/>
        </w:rPr>
        <w:t>Σε περίπτωση παράδοσης αγροτικών προϊόντων από τρίτους υποκείμενους στο φόρο, για λογαριασμό των παραγωγών αγροτών, η παραπάνω αξία λαμβάνεται χωρίς φόρο και προμήθεια.</w:t>
      </w:r>
      <w:r>
        <w:rPr>
          <w:rStyle w:val="Hyperlink"/>
          <w:color w:val="000000"/>
          <w:sz w:val="20"/>
          <w:szCs w:val="20"/>
          <w:u w:val="none" w:color="0000EE"/>
          <w:vertAlign w:val="superscript"/>
          <w:lang w:val="el" w:eastAsia="el"/>
        </w:rPr>
        <w:footnoteReference w:id="457"/>
      </w:r>
    </w:p>
    <w:p>
      <w:pPr>
        <w:pStyle w:val="MainText"/>
        <w:spacing w:before="120" w:after="0"/>
        <w:rPr>
          <w:lang w:val="el" w:eastAsia="el"/>
        </w:rPr>
      </w:pPr>
      <w:r>
        <w:rPr>
          <w:b/>
          <w:bCs/>
          <w:lang w:val="el" w:eastAsia="el"/>
        </w:rPr>
        <w:t>3.</w:t>
      </w:r>
      <w:r>
        <w:rPr>
          <w:lang w:val="el" w:eastAsia="el"/>
        </w:rPr>
        <w:t xml:space="preserve"> Οι διατάξεις της παραγράφου 2 δεν εφαρμόζονται για παραδόσεις αγροτικών προϊόντων παραγωγής τους και για παροχές αγροτικών υπηρεσιών που πραγματοποιούνται προς άλλους αγρότες που υπάγονται στο καθεστώς του παρόντος άρθρου ή προς μη υποκείμενα στο φόρο πρόσωπα. Για τις εν λόγω πράξεις εκδίδεται ειδικό στοιχείο που περιλαμβάνει το είδος, την ποσότητα και την αξία των παραδιδόμενων αγαθών ή το είδος και την αξία των παρεχόμενων υπηρεσιών. Η αξία που αναγράφεται επί του ειδικού στοιχείου λαμβάνεται υπόψη για τον προσδιορισμό της αξίας του πρώτου εδαφίου της παραγράφου 1.</w:t>
      </w:r>
      <w:r>
        <w:rPr>
          <w:rStyle w:val="Hyperlink"/>
          <w:color w:val="000000"/>
          <w:sz w:val="20"/>
          <w:szCs w:val="20"/>
          <w:u w:val="none" w:color="0000EE"/>
          <w:vertAlign w:val="superscript"/>
          <w:lang w:val="el" w:eastAsia="el"/>
        </w:rPr>
        <w:footnoteReference w:id="458"/>
      </w:r>
    </w:p>
    <w:p>
      <w:pPr>
        <w:pStyle w:val="MainText"/>
        <w:spacing w:before="120" w:after="0"/>
        <w:rPr>
          <w:lang w:val="el" w:eastAsia="el"/>
        </w:rPr>
      </w:pPr>
      <w:r>
        <w:rPr>
          <w:b/>
          <w:bCs/>
          <w:lang w:val="el" w:eastAsia="el"/>
        </w:rPr>
        <w:t>4.</w:t>
      </w:r>
      <w:r>
        <w:rPr>
          <w:lang w:val="el" w:eastAsia="el"/>
        </w:rPr>
        <w:t xml:space="preserve"> Οι διατάξεις των άρθρων 30, 31 και 32 δεν εφαρμόζονται για τους αγρότες που υπάγονται στο καθεστώς του άρθρου αυτού. Το αυτό ισχύει και για τις διατάξεις των άρθρων 36 και 38, με εξαίρεση τις υποχρεώσεις που αφορούν ενδοκοινοτικές αποκτήσεις αγαθών ή λήψεις υπηρεσιών.</w:t>
      </w:r>
      <w:r>
        <w:rPr>
          <w:rStyle w:val="Hyperlink"/>
          <w:color w:val="000000"/>
          <w:sz w:val="20"/>
          <w:szCs w:val="20"/>
          <w:u w:val="none" w:color="0000EE"/>
          <w:vertAlign w:val="superscript"/>
          <w:lang w:val="el" w:eastAsia="el"/>
        </w:rPr>
        <w:footnoteReference w:id="459"/>
      </w:r>
    </w:p>
    <w:p>
      <w:pPr>
        <w:pStyle w:val="MainText"/>
        <w:spacing w:before="120" w:after="0"/>
        <w:rPr>
          <w:lang w:val="el" w:eastAsia="el"/>
        </w:rPr>
      </w:pPr>
      <w:r>
        <w:rPr>
          <w:b/>
          <w:bCs/>
          <w:lang w:val="el" w:eastAsia="el"/>
        </w:rPr>
        <w:t>5.</w:t>
      </w:r>
      <w:r>
        <w:rPr>
          <w:lang w:val="el" w:eastAsia="el"/>
        </w:rPr>
        <w:t xml:space="preserve"> Δεν υπάγονται στο καθεστώς του παρόντος άρθρου, αλλά εντάσσονται στο κανονικό καθεστώς οι αγρότες οι οποίοι:</w:t>
      </w:r>
      <w:r>
        <w:rPr>
          <w:rStyle w:val="Hyperlink"/>
          <w:color w:val="000000"/>
          <w:sz w:val="20"/>
          <w:szCs w:val="20"/>
          <w:u w:val="none" w:color="0000EE"/>
          <w:vertAlign w:val="superscript"/>
          <w:lang w:val="el" w:eastAsia="el"/>
        </w:rPr>
        <w:footnoteReference w:id="460"/>
      </w:r>
    </w:p>
    <w:p>
      <w:pPr>
        <w:pStyle w:val="StructureList1"/>
        <w:spacing w:before="120" w:after="0"/>
        <w:rPr>
          <w:lang w:val="el" w:eastAsia="el"/>
        </w:rPr>
      </w:pPr>
      <w:r>
        <w:rPr>
          <w:lang w:val="el" w:eastAsia="el"/>
        </w:rPr>
        <w:t>α)</w:t>
      </w:r>
      <w:r>
        <w:rPr>
          <w:lang w:val="en" w:eastAsia="en"/>
        </w:rPr>
        <w:tab/>
      </w:r>
      <w:r>
        <w:rPr>
          <w:lang w:val="el" w:eastAsia="el"/>
        </w:rPr>
        <w:t>ασκούν τις αγροτικές εκμεταλλεύσεις και παρέχουν τις αγροτικές υπηρεσίες που προβλέπουν οι διατάξεις του άρθρου 42, με τη μορφή εταιρείας οποιουδήποτε τύπου ή αγροτικών συνεταιρισμών,</w:t>
      </w:r>
      <w:r>
        <w:rPr>
          <w:rStyle w:val="Hyperlink"/>
          <w:color w:val="000000"/>
          <w:sz w:val="20"/>
          <w:szCs w:val="20"/>
          <w:u w:val="none" w:color="0000EE"/>
          <w:vertAlign w:val="superscript"/>
          <w:lang w:val="el" w:eastAsia="el"/>
        </w:rPr>
        <w:footnoteReference w:id="461"/>
      </w:r>
    </w:p>
    <w:p>
      <w:pPr>
        <w:pStyle w:val="StructureList1"/>
        <w:spacing w:before="120" w:after="0"/>
        <w:rPr>
          <w:lang w:val="el" w:eastAsia="el"/>
        </w:rPr>
      </w:pPr>
      <w:r>
        <w:rPr>
          <w:lang w:val="el" w:eastAsia="el"/>
        </w:rPr>
        <w:t>β)</w:t>
      </w:r>
      <w:r>
        <w:rPr>
          <w:lang w:val="en" w:eastAsia="en"/>
        </w:rPr>
        <w:tab/>
      </w:r>
      <w:r>
        <w:rPr>
          <w:lang w:val="el" w:eastAsia="el"/>
        </w:rPr>
        <w:t>πωλούν αγροτικά προϊόντα παραγωγής τους, ύστερα από επεξεργασία που μπορεί να προσδώσει σε αυτά χαρακτήρα βιομηχανικών ή βιοτεχνικών προϊόντων,</w:t>
      </w:r>
      <w:r>
        <w:rPr>
          <w:rStyle w:val="Hyperlink"/>
          <w:color w:val="000000"/>
          <w:sz w:val="20"/>
          <w:szCs w:val="20"/>
          <w:u w:val="none" w:color="0000EE"/>
          <w:vertAlign w:val="superscript"/>
          <w:lang w:val="el" w:eastAsia="el"/>
        </w:rPr>
        <w:footnoteReference w:id="462"/>
      </w:r>
    </w:p>
    <w:p>
      <w:pPr>
        <w:pStyle w:val="StructureList1"/>
        <w:spacing w:before="120" w:after="0"/>
        <w:rPr>
          <w:lang w:val="el" w:eastAsia="el"/>
        </w:rPr>
      </w:pPr>
      <w:r>
        <w:rPr>
          <w:lang w:val="el" w:eastAsia="el"/>
        </w:rPr>
        <w:t>γ)</w:t>
      </w:r>
      <w:r>
        <w:rPr>
          <w:lang w:val="en" w:eastAsia="en"/>
        </w:rPr>
        <w:tab/>
      </w:r>
      <w:r>
        <w:rPr>
          <w:lang w:val="el" w:eastAsia="el"/>
        </w:rPr>
        <w:t>ασκούν παράλληλα και άλλη οικονομική δραστηριότητα, για την οποία έχουν υποχρέωση να τηρούν λογιστικά αρχεία (βιβλία) σύμφωνα με τη φορολογική νομοθεσία.</w:t>
      </w:r>
      <w:r>
        <w:rPr>
          <w:rStyle w:val="Hyperlink"/>
          <w:color w:val="000000"/>
          <w:sz w:val="20"/>
          <w:szCs w:val="20"/>
          <w:u w:val="none" w:color="0000EE"/>
          <w:vertAlign w:val="superscript"/>
          <w:lang w:val="el" w:eastAsia="el"/>
        </w:rPr>
        <w:footnoteReference w:id="463"/>
      </w:r>
    </w:p>
    <w:p>
      <w:pPr>
        <w:pStyle w:val="StructureList1"/>
        <w:spacing w:before="120" w:after="0"/>
        <w:rPr>
          <w:lang w:val="el" w:eastAsia="el"/>
        </w:rPr>
      </w:pPr>
      <w:r>
        <w:rPr>
          <w:lang w:val="el" w:eastAsia="el"/>
        </w:rPr>
        <w:t>δ)</w:t>
      </w:r>
      <w:r>
        <w:rPr>
          <w:lang w:val="en" w:eastAsia="en"/>
        </w:rPr>
        <w:tab/>
      </w:r>
      <w:r>
        <w:rPr>
          <w:lang w:val="el" w:eastAsia="el"/>
        </w:rPr>
        <w:t>παραδίδουν προϊόντα παραγωγής τους από λαϊκές αγορές ή από δικό τους κατάστημα ή πραγματοποιούν εξαγωγές ή παραδόσεις των προϊόντων τους προς άλλο κράτος - μέλος της Ε.Ε..</w:t>
      </w:r>
      <w:r>
        <w:rPr>
          <w:rStyle w:val="Hyperlink"/>
          <w:color w:val="000000"/>
          <w:sz w:val="20"/>
          <w:szCs w:val="20"/>
          <w:u w:val="none" w:color="0000EE"/>
          <w:vertAlign w:val="superscript"/>
          <w:lang w:val="el" w:eastAsia="el"/>
        </w:rPr>
        <w:footnoteReference w:id="464"/>
      </w:r>
    </w:p>
    <w:p>
      <w:pPr>
        <w:spacing w:before="240" w:after="240"/>
        <w:rPr>
          <w:lang w:val="el" w:eastAsia="el"/>
        </w:rPr>
      </w:pPr>
      <w:r>
        <w:rPr>
          <w:lang w:val="el" w:eastAsia="el"/>
        </w:rPr>
        <w:t>Η ένταξη στο κανονικό καθεστώς ισχύει από την ημερομηνία κατά την οποία συντρέχει μία των προϋποθέσεων της ανωτέρω περίπτωσης. Για την ένταξη στο κανονικό καθεστώς υποβάλλεται δήλωση έναρξης ή μεταβολών, κατά περίπτωση, σύμφωνα με τα οριζόμενα στις διατάξεις του ν. 4174/2013 (Α`170). Αν η ένταξη στο κανονικό καθεστώς πραγματοποιείται εντός του φορολογικού έτους, οι αγρότες έχουν δικαίωμα επιστροφής, σύμφωνα με τις παραγράφους 1 και 2, για πράξεις που πραγματοποιούνται κατά το χρόνο ένταξής τους στο καθεστώς του παρόντος άρθρου.</w:t>
      </w:r>
      <w:r>
        <w:rPr>
          <w:rStyle w:val="Hyperlink"/>
          <w:color w:val="000000"/>
          <w:sz w:val="20"/>
          <w:szCs w:val="20"/>
          <w:u w:val="none" w:color="0000EE"/>
          <w:vertAlign w:val="superscript"/>
          <w:lang w:val="el" w:eastAsia="el"/>
        </w:rPr>
        <w:footnoteReference w:id="465"/>
      </w:r>
    </w:p>
    <w:p>
      <w:pPr>
        <w:pStyle w:val="MainText"/>
        <w:spacing w:before="120" w:after="0"/>
        <w:rPr>
          <w:lang w:val="el" w:eastAsia="el"/>
        </w:rPr>
      </w:pPr>
      <w:r>
        <w:rPr>
          <w:b/>
          <w:bCs/>
          <w:lang w:val="el" w:eastAsia="el"/>
        </w:rPr>
        <w:t>6.</w:t>
      </w:r>
      <w:r>
        <w:rPr>
          <w:lang w:val="el" w:eastAsia="el"/>
        </w:rPr>
        <w:t xml:space="preserve"> Οι αγρότες που εντάσσονται στο καθεστώς του παρόντος άρθρου μπορούν να επιλέξουν τη μετάταξή τους στο κανονικό καθεστώς με υποβολή δήλωσης μεταβολών στη φορολογική διοίκηση.</w:t>
      </w:r>
    </w:p>
    <w:p>
      <w:pPr>
        <w:spacing w:before="240" w:after="240"/>
        <w:rPr>
          <w:lang w:val="el" w:eastAsia="el"/>
        </w:rPr>
      </w:pPr>
      <w:r>
        <w:rPr>
          <w:lang w:val="el" w:eastAsia="el"/>
        </w:rPr>
        <w:t xml:space="preserve">H προαιρετική μετάταξη από το ειδικό στο κανονικό καθεστώς ισχύει είτε από την έναρξη του φορολογικού έτους και δεν μπορεί να ανακληθεί πριν την πάροδο τριετίας είτε από την ημερομηνία υποβολής της ανωτέρω δήλωσης, αν η μετάταξη πραγματοποιείται κατά τη διάρκεια του φορολογικού έτους και δεν μπορεί να ανακληθεί πριν την πάροδο τριετίας, η οποία αρχίζει από την έναρξη του επόμενου από τη μετάταξη φορολογικού έτους. Η υποχρεωτική μετάταξη από το ειδικό στο κανονικό καθεστώς, λόγω μη πλήρωσης των κριτηρίων που αναφέρονται στην παρ. 1, ισχύει από την έναρξη του φορολογικού έτους με υποβολή δήλωσης μεταβολών. Η μη υποβολή της δήλωσης μεταβολών δεν επηρεάζει την υποχρεωτική μετάταξη στο κανονικό καθεστώς. Ειδικά, η υποχρεωτική μετάταξη στο κανονικό καθεστώς για τα φορολογικά έτη 2018, 2019 και 2020, λόγω είσπραξης, κατά το εκάστοτε προηγούμενο φορολογικό έτος, ποσών επιδοτήσεων που υπερβαίνουν τις πέντε χιλιάδες ευρώ (5.000), αγροτών που δεν εντάχθηκαν στο κανονικό καθεστώς, ισχύει από 1ης.1.2021 και η σχετική δήλωση μεταβολών υποβάλλεται μέχρι 31.3.2021, ενώ πρόστιμα του ν. 4174/2013 (Α΄ </w:t>
      </w:r>
    </w:p>
    <w:p>
      <w:pPr>
        <w:spacing w:before="240" w:after="240"/>
        <w:rPr>
          <w:lang w:val="el" w:eastAsia="el"/>
        </w:rPr>
      </w:pPr>
      <w:r>
        <w:rPr>
          <w:lang w:val="el" w:eastAsia="el"/>
        </w:rPr>
        <w:t>170), που τυχόν επιβλήθηκαν στους εν λόγω αγρότες για εκπρόθεσμη υποβολή δηλώσεων μεταβολών και δηλώσεων του άρθρου 38, δεν οφείλονται και, εφόσον έχουν καταβληθεί, επιστρέφονται. Δήλωση μεταβολών δεν υποβάλλεται και οι αγρότες του προηγούμενου εδαφίου παραμένουν στο ειδικό καθεστώς και μετά την 1η.1.2021, εφόσον πληρούν τις προϋποθέσεις της παρ. 1. Με απόφαση του Υπουργού Οικονομικών κατόπιν εισήγησης του Διοικητή της Ανεξάρτητης Αρχής Δημοσίων Εσόδων (Α.Α.Δ.Ε.) δύναται, για το φορολογικό έτος 2021, να παρατείνεται η προθεσμία για την υποβολή των δηλώσεων μεταβολών της παρούσας και να ορίζεται η διαδικασία και κάθε άλλη αναγκαία λεπτομέρεια για την εφαρμογή των δύο προηγούμενων εδαφίων. Μετάταξη από το κανονικό καθεστώς στο ειδικό καθεστώς του παρόντος άρθρου μπορεί να πραγματοποιηθεί μόνο από την έναρξη του φορολογικού έτους με υποβολή δήλωσης μεταβολών στη φορολογική διοίκηση, με την προϋπόθεση ότι πληρούνται τα κριτήρια της παρ. 1 και δεν υφίστανται οι περιορισμοί των περ. α΄ έως και δ΄ της παρ. 5. Ειδικά για το φορολογικό έτος 2021, παρατείνεται έως τις 31.3.2021 η προθεσμία για την υποβολή δηλώσεων μεταβολών της παρούσας που υποβάλλονται κατά νόμο μέχρι την 31η.1.2021.</w:t>
      </w:r>
      <w:r>
        <w:rPr>
          <w:rStyle w:val="Hyperlink"/>
          <w:color w:val="000000"/>
          <w:sz w:val="20"/>
          <w:szCs w:val="20"/>
          <w:u w:val="none" w:color="0000EE"/>
          <w:vertAlign w:val="superscript"/>
          <w:lang w:val="el" w:eastAsia="el"/>
        </w:rPr>
        <w:footnoteReference w:id="466"/>
      </w:r>
    </w:p>
    <w:p>
      <w:pPr>
        <w:pStyle w:val="MainText"/>
        <w:spacing w:before="120" w:after="0"/>
        <w:rPr>
          <w:lang w:val="el" w:eastAsia="el"/>
        </w:rPr>
      </w:pPr>
      <w:r>
        <w:rPr>
          <w:b/>
          <w:bCs/>
          <w:lang w:val="el" w:eastAsia="el"/>
        </w:rPr>
        <w:t>7.</w:t>
      </w:r>
      <w:r>
        <w:rPr>
          <w:lang w:val="el" w:eastAsia="el"/>
        </w:rPr>
        <w:t xml:space="preserve"> Οι μετατασσόμενοι είναι υποχρεωμένοι να διενεργούν, μέσα σε προθεσμία δύο (2) μηνών από τη μετάταξη, απογραφή που να περιλαμβάνει:</w:t>
      </w:r>
      <w:r>
        <w:rPr>
          <w:rStyle w:val="Hyperlink"/>
          <w:color w:val="000000"/>
          <w:sz w:val="20"/>
          <w:szCs w:val="20"/>
          <w:u w:val="none" w:color="0000EE"/>
          <w:vertAlign w:val="superscript"/>
          <w:lang w:val="el" w:eastAsia="el"/>
        </w:rPr>
        <w:footnoteReference w:id="467"/>
      </w:r>
    </w:p>
    <w:p>
      <w:pPr>
        <w:pStyle w:val="StructureList1"/>
        <w:spacing w:before="120" w:after="0"/>
        <w:rPr>
          <w:lang w:val="el" w:eastAsia="el"/>
        </w:rPr>
      </w:pPr>
      <w:r>
        <w:rPr>
          <w:lang w:val="el" w:eastAsia="el"/>
        </w:rPr>
        <w:t>α)</w:t>
      </w:r>
      <w:r>
        <w:rPr>
          <w:lang w:val="en" w:eastAsia="en"/>
        </w:rPr>
        <w:tab/>
      </w:r>
      <w:r>
        <w:rPr>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w:t>
      </w:r>
      <w:r>
        <w:rPr>
          <w:rStyle w:val="Hyperlink"/>
          <w:color w:val="000000"/>
          <w:sz w:val="20"/>
          <w:szCs w:val="20"/>
          <w:u w:val="none" w:color="0000EE"/>
          <w:vertAlign w:val="superscript"/>
          <w:lang w:val="el" w:eastAsia="el"/>
        </w:rPr>
        <w:footnoteReference w:id="468"/>
      </w:r>
    </w:p>
    <w:p>
      <w:pPr>
        <w:pStyle w:val="StructureList1"/>
        <w:spacing w:before="120" w:after="0"/>
        <w:rPr>
          <w:lang w:val="el" w:eastAsia="el"/>
        </w:rPr>
      </w:pPr>
      <w:r>
        <w:rPr>
          <w:lang w:val="el" w:eastAsia="el"/>
        </w:rPr>
        <w:t>β)</w:t>
      </w:r>
      <w:r>
        <w:rPr>
          <w:lang w:val="en" w:eastAsia="en"/>
        </w:rPr>
        <w:tab/>
      </w:r>
      <w:r>
        <w:rPr>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r>
        <w:rPr>
          <w:rStyle w:val="Hyperlink"/>
          <w:color w:val="000000"/>
          <w:sz w:val="20"/>
          <w:szCs w:val="20"/>
          <w:u w:val="none" w:color="0000EE"/>
          <w:vertAlign w:val="superscript"/>
          <w:lang w:val="el" w:eastAsia="el"/>
        </w:rPr>
        <w:footnoteReference w:id="469"/>
      </w:r>
    </w:p>
    <w:p>
      <w:pPr>
        <w:pStyle w:val="StructureList1"/>
        <w:spacing w:before="120" w:after="0"/>
        <w:rPr>
          <w:lang w:val="el" w:eastAsia="el"/>
        </w:rPr>
      </w:pPr>
      <w:r>
        <w:rPr>
          <w:lang w:val="el" w:eastAsia="el"/>
        </w:rPr>
        <w:t>γ)</w:t>
      </w:r>
      <w:r>
        <w:rPr>
          <w:lang w:val="en" w:eastAsia="en"/>
        </w:rPr>
        <w:tab/>
      </w:r>
      <w:r>
        <w:rPr>
          <w:lang w:val="el" w:eastAsia="el"/>
        </w:rPr>
        <w:t>τα αγαθά επένδυσης, εφόσον χρησιμοποιούνται για τους σκοπούς της επιχείρησης και δεν παρήλθε η πενταετής περίοδος του διακανονισμού.</w:t>
      </w:r>
      <w:r>
        <w:rPr>
          <w:rStyle w:val="Hyperlink"/>
          <w:color w:val="000000"/>
          <w:sz w:val="20"/>
          <w:szCs w:val="20"/>
          <w:u w:val="none" w:color="0000EE"/>
          <w:vertAlign w:val="superscript"/>
          <w:lang w:val="el" w:eastAsia="el"/>
        </w:rPr>
        <w:footnoteReference w:id="470"/>
      </w:r>
    </w:p>
    <w:p>
      <w:pPr>
        <w:spacing w:before="240" w:after="240"/>
        <w:rPr>
          <w:lang w:val="el" w:eastAsia="el"/>
        </w:rPr>
      </w:pPr>
      <w:r>
        <w:rPr>
          <w:lang w:val="el" w:eastAsia="el"/>
        </w:rPr>
        <w:t>Τα αποθέματα των πιο πάνω περιπτώσεων β` και γ` απογράφονται σε τιμές κόστους.</w:t>
      </w:r>
      <w:r>
        <w:rPr>
          <w:rStyle w:val="Hyperlink"/>
          <w:color w:val="000000"/>
          <w:sz w:val="20"/>
          <w:szCs w:val="20"/>
          <w:u w:val="none" w:color="0000EE"/>
          <w:vertAlign w:val="superscript"/>
          <w:lang w:val="el" w:eastAsia="el"/>
        </w:rPr>
        <w:footnoteReference w:id="471"/>
      </w:r>
    </w:p>
    <w:p>
      <w:pPr>
        <w:pStyle w:val="MainText"/>
        <w:spacing w:before="120" w:after="0"/>
        <w:rPr>
          <w:lang w:val="el" w:eastAsia="el"/>
        </w:rPr>
      </w:pPr>
      <w:r>
        <w:rPr>
          <w:b/>
          <w:bCs/>
          <w:lang w:val="el" w:eastAsia="el"/>
        </w:rPr>
        <w:t>8.</w:t>
      </w:r>
      <w:r>
        <w:rPr>
          <w:lang w:val="el" w:eastAsia="el"/>
        </w:rPr>
        <w:t xml:space="preserve"> Τα αποθέματα των αγροτικών προϊόντων θεωρούνται:</w:t>
      </w:r>
      <w:r>
        <w:rPr>
          <w:rStyle w:val="Hyperlink"/>
          <w:color w:val="000000"/>
          <w:sz w:val="20"/>
          <w:szCs w:val="20"/>
          <w:u w:val="none" w:color="0000EE"/>
          <w:vertAlign w:val="superscript"/>
          <w:lang w:val="el" w:eastAsia="el"/>
        </w:rPr>
        <w:footnoteReference w:id="472"/>
      </w:r>
    </w:p>
    <w:p>
      <w:pPr>
        <w:pStyle w:val="StructureList1"/>
        <w:spacing w:before="120" w:after="0"/>
        <w:rPr>
          <w:lang w:val="el" w:eastAsia="el"/>
        </w:rPr>
      </w:pPr>
      <w:r>
        <w:rPr>
          <w:lang w:val="el" w:eastAsia="el"/>
        </w:rPr>
        <w:t>α)</w:t>
      </w:r>
      <w:r>
        <w:rPr>
          <w:lang w:val="en" w:eastAsia="en"/>
        </w:rPr>
        <w:tab/>
      </w:r>
      <w:r>
        <w:rPr>
          <w:lang w:val="el" w:eastAsia="el"/>
        </w:rPr>
        <w:t>ως αγορές του κανονικού καθεστώτος απόδοσης του φόρου, σε τιμή πώλησης κατά το χρόνο της μετάταξης, με δικαίωμα να εκπέσουν τον κατ` αποκοπή φόρο, αν γίνεται μετάταξη από το ειδικό καθεστώς του παρόντος άρθρου στο κανονικό καθεστώς,</w:t>
      </w:r>
      <w:r>
        <w:rPr>
          <w:rStyle w:val="Hyperlink"/>
          <w:color w:val="000000"/>
          <w:sz w:val="20"/>
          <w:szCs w:val="20"/>
          <w:u w:val="none" w:color="0000EE"/>
          <w:vertAlign w:val="superscript"/>
          <w:lang w:val="el" w:eastAsia="el"/>
        </w:rPr>
        <w:footnoteReference w:id="473"/>
      </w:r>
    </w:p>
    <w:p>
      <w:pPr>
        <w:pStyle w:val="StructureList1"/>
        <w:spacing w:before="120" w:after="0"/>
        <w:rPr>
          <w:lang w:val="el" w:eastAsia="el"/>
        </w:rPr>
      </w:pPr>
      <w:r>
        <w:rPr>
          <w:lang w:val="el" w:eastAsia="el"/>
        </w:rPr>
        <w:t>β)</w:t>
      </w:r>
      <w:r>
        <w:rPr>
          <w:lang w:val="en" w:eastAsia="en"/>
        </w:rPr>
        <w:tab/>
      </w:r>
      <w:r>
        <w:rPr>
          <w:lang w:val="el" w:eastAsia="el"/>
        </w:rPr>
        <w:t>ως παράδοση αγαθών σε τιμή πώλησης, υποκείμενη στο φόρο με τον κατ` αποκοπή συντελεστή, αν γίνεται μετάταξη από το κανονικό καθεστώς στο ειδικό καθεστώς.</w:t>
      </w:r>
      <w:r>
        <w:rPr>
          <w:rStyle w:val="Hyperlink"/>
          <w:color w:val="000000"/>
          <w:sz w:val="20"/>
          <w:szCs w:val="20"/>
          <w:u w:val="none" w:color="0000EE"/>
          <w:vertAlign w:val="superscript"/>
          <w:lang w:val="el" w:eastAsia="el"/>
        </w:rPr>
        <w:footnoteReference w:id="474"/>
      </w:r>
    </w:p>
    <w:p>
      <w:pPr>
        <w:pStyle w:val="MainText"/>
        <w:spacing w:before="120" w:after="0"/>
        <w:rPr>
          <w:lang w:val="el" w:eastAsia="el"/>
        </w:rPr>
      </w:pPr>
      <w:r>
        <w:rPr>
          <w:b/>
          <w:bCs/>
          <w:lang w:val="el" w:eastAsia="el"/>
        </w:rPr>
        <w:t>9.</w:t>
      </w:r>
      <w:r>
        <w:rPr>
          <w:lang w:val="el" w:eastAsia="el"/>
        </w:rPr>
        <w:t xml:space="preserve"> Σε περίπτωση μετάταξης από το ειδικό καθεστώς στο κανονικό καθεστώς απόδοσης του φόρου, οι μετατασσόμενοι δικαιούνται να εκπέσουν το φόρο με τον οποίο έχουν επιβαρυνθεί:</w:t>
      </w:r>
      <w:r>
        <w:rPr>
          <w:rStyle w:val="Hyperlink"/>
          <w:color w:val="000000"/>
          <w:sz w:val="20"/>
          <w:szCs w:val="20"/>
          <w:u w:val="none" w:color="0000EE"/>
          <w:vertAlign w:val="superscript"/>
          <w:lang w:val="el" w:eastAsia="el"/>
        </w:rPr>
        <w:footnoteReference w:id="475"/>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r>
        <w:rPr>
          <w:rStyle w:val="Hyperlink"/>
          <w:color w:val="000000"/>
          <w:sz w:val="20"/>
          <w:szCs w:val="20"/>
          <w:u w:val="none" w:color="0000EE"/>
          <w:vertAlign w:val="superscript"/>
          <w:lang w:val="el" w:eastAsia="el"/>
        </w:rPr>
        <w:footnoteReference w:id="476"/>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 φόρου που αναλογεί στα υπόλοιπα έτη της πενταετούς περιόδου διακανονισμού.</w:t>
      </w:r>
      <w:r>
        <w:rPr>
          <w:rStyle w:val="Hyperlink"/>
          <w:color w:val="000000"/>
          <w:sz w:val="20"/>
          <w:szCs w:val="20"/>
          <w:u w:val="none" w:color="0000EE"/>
          <w:vertAlign w:val="superscript"/>
          <w:lang w:val="el" w:eastAsia="el"/>
        </w:rPr>
        <w:footnoteReference w:id="477"/>
      </w:r>
    </w:p>
    <w:p>
      <w:pPr>
        <w:pStyle w:val="MainText"/>
        <w:spacing w:before="120" w:after="0"/>
        <w:rPr>
          <w:lang w:val="el" w:eastAsia="el"/>
        </w:rPr>
      </w:pPr>
      <w:r>
        <w:rPr>
          <w:b/>
          <w:bCs/>
          <w:lang w:val="el" w:eastAsia="el"/>
        </w:rPr>
        <w:t>10.</w:t>
      </w:r>
      <w:r>
        <w:rPr>
          <w:lang w:val="el" w:eastAsia="el"/>
        </w:rPr>
        <w:t xml:space="preserve"> Σε περίπτωση μετάταξης από το κανονικό καθεστώς στο ειδικό καθεστώς του παρόντος άρθρου, οι μετατασσόμενοι είναι υποχρεωμένοι να καταβάλλουν το φόρο με τον οποίο έχουν επιβαρυνθεί:</w:t>
      </w:r>
      <w:r>
        <w:rPr>
          <w:rStyle w:val="Hyperlink"/>
          <w:color w:val="000000"/>
          <w:sz w:val="20"/>
          <w:szCs w:val="20"/>
          <w:u w:val="none" w:color="0000EE"/>
          <w:vertAlign w:val="superscript"/>
          <w:lang w:val="el" w:eastAsia="el"/>
        </w:rPr>
        <w:footnoteReference w:id="478"/>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r>
        <w:rPr>
          <w:rStyle w:val="Hyperlink"/>
          <w:color w:val="000000"/>
          <w:sz w:val="20"/>
          <w:szCs w:val="20"/>
          <w:u w:val="none" w:color="0000EE"/>
          <w:vertAlign w:val="superscript"/>
          <w:lang w:val="el" w:eastAsia="el"/>
        </w:rPr>
        <w:footnoteReference w:id="479"/>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τους που αναλογεί στα υπόλοιπα έτη του διακανονισμού της πενταετούς περιόδου.</w:t>
      </w:r>
      <w:r>
        <w:rPr>
          <w:rStyle w:val="Hyperlink"/>
          <w:color w:val="000000"/>
          <w:sz w:val="20"/>
          <w:szCs w:val="20"/>
          <w:u w:val="none" w:color="0000EE"/>
          <w:vertAlign w:val="superscript"/>
          <w:lang w:val="el" w:eastAsia="el"/>
        </w:rPr>
        <w:footnoteReference w:id="480"/>
      </w:r>
    </w:p>
    <w:p>
      <w:pPr>
        <w:pStyle w:val="MainText"/>
        <w:spacing w:before="120" w:after="0"/>
        <w:rPr>
          <w:lang w:val="el" w:eastAsia="el"/>
        </w:rPr>
      </w:pPr>
      <w:r>
        <w:rPr>
          <w:b/>
          <w:bCs/>
          <w:lang w:val="el" w:eastAsia="el"/>
        </w:rPr>
        <w:t>11.</w:t>
      </w:r>
      <w:r>
        <w:rPr>
          <w:lang w:val="el" w:eastAsia="el"/>
        </w:rPr>
        <w:t xml:space="preserve"> Για τα απογραφόμενα αγαθά που προβλέπουν οι διατάξεις της παραγράφου 7 υποβάλλεται, μέσα σε δύο (2) μήνες από τη μετάταξη, δήλωση που περιλαμβάνει την αξία των αποθεμάτων και το φόρο που εκπίπτεται ή καταβάλλεται, κατά περίπτωση, σύμφωνα με τις διατάξεις των πιο πάνω παραγράφου 8, 9 και 10.</w:t>
      </w:r>
    </w:p>
    <w:p>
      <w:pPr>
        <w:spacing w:before="240" w:after="240"/>
        <w:rPr>
          <w:lang w:val="el" w:eastAsia="el"/>
        </w:rPr>
      </w:pPr>
      <w:r>
        <w:rPr>
          <w:lang w:val="el" w:eastAsia="el"/>
        </w:rPr>
        <w:t>Ο φόρος αυτός εκπίπτει με τη δήλωση ΦΠΑ του άρθρου 38 της φορολογικής περιόδου κατά την οποία υποβάλλεται η δήλωση αποθεμάτων. Για τους αγρότες που μετατάσσονται από το κανονικό καθεστώς στο ειδικό καθεστώς του παρόντος άρθρου, η δήλωση για την απόδοση του φόρου υποβάλλεται μέχρι την τελευταία εργάσιμη ημέρα του επόμενου μήνα από αυτόν που υποβάλλεται η δήλωση αποθεμάτων.</w:t>
      </w:r>
      <w:r>
        <w:rPr>
          <w:rStyle w:val="Hyperlink"/>
          <w:color w:val="000000"/>
          <w:sz w:val="20"/>
          <w:szCs w:val="20"/>
          <w:u w:val="none" w:color="0000EE"/>
          <w:vertAlign w:val="superscript"/>
          <w:lang w:val="el" w:eastAsia="el"/>
        </w:rPr>
        <w:footnoteReference w:id="481"/>
      </w:r>
    </w:p>
    <w:p>
      <w:pPr>
        <w:pStyle w:val="MainText"/>
        <w:spacing w:before="120" w:after="0"/>
        <w:rPr>
          <w:lang w:val="el" w:eastAsia="el"/>
        </w:rPr>
      </w:pPr>
      <w:r>
        <w:rPr>
          <w:b/>
          <w:bCs/>
          <w:lang w:val="el" w:eastAsia="el"/>
        </w:rPr>
        <w:t>12.</w:t>
      </w:r>
      <w:r>
        <w:rPr>
          <w:lang w:val="el" w:eastAsia="el"/>
        </w:rPr>
        <w:t xml:space="preserve"> Οι αγρότες που αρχίζουν για πρώτη φορά τις εργασίες τους και επιθυμούν να υπαχθούν στο κανονικό καθεστώς υποβάλλουν δήλωση έναρξης.</w:t>
      </w:r>
    </w:p>
    <w:p>
      <w:pPr>
        <w:spacing w:before="240" w:after="240"/>
        <w:rPr>
          <w:lang w:val="el" w:eastAsia="el"/>
        </w:rPr>
      </w:pPr>
      <w:r>
        <w:rPr>
          <w:lang w:val="el" w:eastAsia="el"/>
        </w:rPr>
        <w:t>Οι αγρότες που εντάσσονται στο ειδικό καθεστώς του παρόντος άρθρου, πριν την υποβολή της δήλωσης - αίτησης επιστροφής του φόρου εγγράφονται στο καθεστώς αυτό με δηλούμενη ημερομηνία τουλάχιστον την 31η Δεκεμβρίου του προηγούμενου φορολογικού έτους, προκειμένου να έχουν δικαίωμα επιστροφής για πωλήσεις αγροτικών προϊόντων και παροχές αγροτικών υπηρεσιών που πραγματοποίησαν κατά το φορολογικό έτος αυτό.</w:t>
      </w:r>
    </w:p>
    <w:p>
      <w:pPr>
        <w:spacing w:before="240" w:after="240"/>
        <w:rPr>
          <w:lang w:val="el" w:eastAsia="el"/>
        </w:rPr>
      </w:pPr>
      <w:r>
        <w:rPr>
          <w:lang w:val="el" w:eastAsia="el"/>
        </w:rPr>
        <w:t>Η ανωτέρω υποχρέωση εγγραφής στο ειδικό καθεστώς αγροτών καταλαμβάνει και τους αγρότες που πραγματοποιούν αποκλειστικά τις πράξεις της παραγράφου 3. Ειδικά, για την πρώτη εφαρμογή, οι δηλώσεις έναρξης ή μεταβολών για την υποχρεωτική ένταξη στο κανονικό καθεστώς Φ.Π.Α. από 1.1.2017, σύμφωνα με τις παραγράφους 5 και 6 του παρόντος άρθρου, υποβάλλονται έως και 12.5.2017. Εξαιρετικά, όσοι εντάχθηκαν στο κανονικό καθεστώς Φ.Π.Α. από 1.1.2017, αλλά πληρούν τις προϋποθέσεις του τελευταίου εδαφίου της παραγράφου 1 του παρόντος άρθρου, μπορούν να προβούν σε δήλωση μεταβολής μετάταξης στο ειδικό καθεστώς των αγροτών έως και 12.5.2017.</w:t>
      </w:r>
      <w:r>
        <w:rPr>
          <w:rStyle w:val="Hyperlink"/>
          <w:color w:val="000000"/>
          <w:sz w:val="20"/>
          <w:szCs w:val="20"/>
          <w:u w:val="none" w:color="0000EE"/>
          <w:vertAlign w:val="superscript"/>
          <w:lang w:val="el" w:eastAsia="el"/>
        </w:rPr>
        <w:footnoteReference w:id="482"/>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μπορεί να ορίζεται ότι η επιστροφή του φόρου ενεργείται από τον αγοραστή των αγροτικών προϊόντων ή τον λήπτη των αγροτικών υπηρεσιών.</w:t>
      </w:r>
      <w:r>
        <w:rPr>
          <w:rStyle w:val="Hyperlink"/>
          <w:color w:val="000000"/>
          <w:sz w:val="20"/>
          <w:szCs w:val="20"/>
          <w:u w:val="none" w:color="0000EE"/>
          <w:vertAlign w:val="superscript"/>
          <w:lang w:val="el" w:eastAsia="el"/>
        </w:rPr>
        <w:footnoteReference w:id="483"/>
      </w:r>
    </w:p>
    <w:p>
      <w:pPr>
        <w:pStyle w:val="MainText"/>
        <w:spacing w:before="120" w:after="0"/>
        <w:rPr>
          <w:lang w:val="el" w:eastAsia="el"/>
        </w:rPr>
      </w:pPr>
      <w:r>
        <w:rPr>
          <w:b/>
          <w:bCs/>
          <w:lang w:val="el" w:eastAsia="el"/>
        </w:rPr>
        <w:t>14.</w:t>
      </w:r>
      <w:r>
        <w:rPr>
          <w:lang w:val="el" w:eastAsia="el"/>
        </w:rPr>
        <w:t xml:space="preserve"> Με αποφάσεις του Γενικού Γραμματέα Δημοσίων Εσόδων ορίζονται:</w:t>
      </w:r>
      <w:r>
        <w:rPr>
          <w:rStyle w:val="Hyperlink"/>
          <w:color w:val="000000"/>
          <w:sz w:val="20"/>
          <w:szCs w:val="20"/>
          <w:u w:val="none" w:color="0000EE"/>
          <w:vertAlign w:val="superscript"/>
          <w:lang w:val="el" w:eastAsia="el"/>
        </w:rPr>
        <w:footnoteReference w:id="484"/>
      </w:r>
    </w:p>
    <w:p>
      <w:pPr>
        <w:pStyle w:val="StructureList1"/>
        <w:spacing w:before="120" w:after="0"/>
        <w:rPr>
          <w:lang w:val="el" w:eastAsia="el"/>
        </w:rPr>
      </w:pPr>
      <w:r>
        <w:rPr>
          <w:lang w:val="el" w:eastAsia="el"/>
        </w:rPr>
        <w:t>α)</w:t>
      </w:r>
      <w:r>
        <w:rPr>
          <w:lang w:val="en" w:eastAsia="en"/>
        </w:rPr>
        <w:tab/>
      </w:r>
      <w:r>
        <w:rPr>
          <w:lang w:val="el" w:eastAsia="el"/>
        </w:rPr>
        <w:t>ο τρόπος και ο χρόνος υποβολής της δήλωσης - αίτησης επιστροφής, ο τύπος και το περιεχόμενο αυτής, τα απαιτούμενα δικαιολογητικά, καθώς και κάθε σχετικό θέμα για την εκκαθάριση και την απόδοση του επιστρε- πτέου φόρου,</w:t>
      </w:r>
      <w:r>
        <w:rPr>
          <w:rStyle w:val="Hyperlink"/>
          <w:color w:val="000000"/>
          <w:sz w:val="20"/>
          <w:szCs w:val="20"/>
          <w:u w:val="none" w:color="0000EE"/>
          <w:vertAlign w:val="superscript"/>
          <w:lang w:val="el" w:eastAsia="el"/>
        </w:rPr>
        <w:footnoteReference w:id="485"/>
      </w:r>
    </w:p>
    <w:p>
      <w:pPr>
        <w:pStyle w:val="StructureList1"/>
        <w:spacing w:before="120" w:after="0"/>
        <w:rPr>
          <w:lang w:val="el" w:eastAsia="el"/>
        </w:rPr>
      </w:pPr>
      <w:r>
        <w:rPr>
          <w:lang w:val="el" w:eastAsia="el"/>
        </w:rPr>
        <w:t>β)</w:t>
      </w:r>
      <w:r>
        <w:rPr>
          <w:lang w:val="en" w:eastAsia="en"/>
        </w:rPr>
        <w:tab/>
      </w:r>
      <w:r>
        <w:rPr>
          <w:lang w:val="el" w:eastAsia="el"/>
        </w:rPr>
        <w:t>ο τύπος και το περιεχόμενο του ειδικού στοιχείου που προβλέπουν οι διατάξεις της παραγράφου 3, καθώς και κάθε άλλο διαδικαστικό θέμα,</w:t>
      </w:r>
      <w:r>
        <w:rPr>
          <w:rStyle w:val="Hyperlink"/>
          <w:color w:val="000000"/>
          <w:sz w:val="20"/>
          <w:szCs w:val="20"/>
          <w:u w:val="none" w:color="0000EE"/>
          <w:vertAlign w:val="superscript"/>
          <w:lang w:val="el" w:eastAsia="el"/>
        </w:rPr>
        <w:footnoteReference w:id="486"/>
      </w:r>
    </w:p>
    <w:p>
      <w:pPr>
        <w:pStyle w:val="StructureList1"/>
        <w:spacing w:before="120" w:after="0"/>
        <w:rPr>
          <w:lang w:val="el" w:eastAsia="el"/>
        </w:rPr>
      </w:pPr>
      <w:r>
        <w:rPr>
          <w:lang w:val="el" w:eastAsia="el"/>
        </w:rPr>
        <w:t>γ)</w:t>
      </w:r>
      <w:r>
        <w:rPr>
          <w:lang w:val="en" w:eastAsia="en"/>
        </w:rPr>
        <w:tab/>
      </w:r>
      <w:r>
        <w:rPr>
          <w:lang w:val="el" w:eastAsia="el"/>
        </w:rPr>
        <w:t>ο τύπος και το περιεχόμενο της δήλωσης μετάταξης που προβλέπουν οι διατάξεις της παραγράφου 7 και της δήλωσης αποθεμάτων που προβλέπουν οι διατάξεις της παραγράφου 12, καθώς επίσης και τα συνυποβαλλόμενα με αυτές στοιχεία.</w:t>
      </w:r>
      <w:r>
        <w:rPr>
          <w:rStyle w:val="Hyperlink"/>
          <w:color w:val="000000"/>
          <w:sz w:val="20"/>
          <w:szCs w:val="20"/>
          <w:u w:val="none" w:color="0000EE"/>
          <w:vertAlign w:val="superscript"/>
          <w:lang w:val="el" w:eastAsia="el"/>
        </w:rPr>
        <w:footnoteReference w:id="487"/>
      </w:r>
    </w:p>
    <w:p>
      <w:pPr>
        <w:pStyle w:val="MainText"/>
        <w:spacing w:before="120" w:after="0"/>
        <w:rPr>
          <w:lang w:val="el" w:eastAsia="el"/>
        </w:rPr>
      </w:pPr>
      <w:r>
        <w:rPr>
          <w:b/>
          <w:bCs/>
          <w:lang w:val="el" w:eastAsia="el"/>
        </w:rPr>
        <w:t>15.</w:t>
      </w:r>
      <w:r>
        <w:rPr>
          <w:lang w:val="el" w:eastAsia="el"/>
        </w:rPr>
        <w:t xml:space="preserve"> Με απόφαση του Υπουργού Οικονομικών μπορούν να ορίζονται οι αγροτικοί συνεταιρισμοί ως φορείς που μεσολαβούν στην υποβολή των δηλώσεων - αιτήσεων επιστροφής και γενικά στη διαδικασία επιστροφής του φόρου.</w:t>
      </w:r>
      <w:r>
        <w:rPr>
          <w:rStyle w:val="Hyperlink"/>
          <w:color w:val="000000"/>
          <w:sz w:val="20"/>
          <w:szCs w:val="20"/>
          <w:u w:val="none" w:color="0000EE"/>
          <w:vertAlign w:val="superscript"/>
          <w:lang w:val="el" w:eastAsia="el"/>
        </w:rPr>
        <w:footnoteReference w:id="488"/>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lang w:val="el" w:eastAsia="el"/>
        </w:rPr>
        <w:t>Για την εφαρμογή των διατάξεων του άρθρου 41 θεωρούνται:</w:t>
      </w:r>
    </w:p>
    <w:p>
      <w:pPr>
        <w:pStyle w:val="MainText"/>
        <w:spacing w:before="120" w:after="0"/>
        <w:rPr>
          <w:lang w:val="el" w:eastAsia="el"/>
        </w:rPr>
      </w:pPr>
      <w:r>
        <w:rPr>
          <w:b/>
          <w:bCs/>
          <w:lang w:val="el" w:eastAsia="el"/>
        </w:rPr>
        <w:t>1.</w:t>
      </w:r>
      <w:r>
        <w:rPr>
          <w:lang w:val="el" w:eastAsia="el"/>
        </w:rPr>
        <w:t xml:space="preserve"> Ως αγρότες, αυτοί που ασκούν προσωπικά ή με τα μέλη της οικογένειας τους ή με μισθωτούς ή εργάτες τις αγροτικές εκμεταλλεύσεις και υπηρεσίες που προβλέπουν οι διατάξεις των παραγράφων 3 και 4.</w:t>
      </w:r>
    </w:p>
    <w:p>
      <w:pPr>
        <w:pStyle w:val="MainText"/>
        <w:spacing w:before="120" w:after="0"/>
        <w:rPr>
          <w:lang w:val="el" w:eastAsia="el"/>
        </w:rPr>
      </w:pPr>
      <w:r>
        <w:rPr>
          <w:b/>
          <w:bCs/>
          <w:lang w:val="el" w:eastAsia="el"/>
        </w:rPr>
        <w:t>2.</w:t>
      </w:r>
      <w:r>
        <w:rPr>
          <w:lang w:val="el" w:eastAsia="el"/>
        </w:rPr>
        <w:t xml:space="preserve"> Ως αγροτικά προϊόντα, τα αγαθά που παράγονται από τους αγρότες στα πλαίσια των αγροτικών τους εκμεταλλεύσεων.</w:t>
      </w:r>
    </w:p>
    <w:p>
      <w:pPr>
        <w:pStyle w:val="MainText"/>
        <w:spacing w:before="120" w:after="0"/>
        <w:rPr>
          <w:lang w:val="el" w:eastAsia="el"/>
        </w:rPr>
      </w:pPr>
      <w:r>
        <w:rPr>
          <w:b/>
          <w:bCs/>
          <w:lang w:val="el" w:eastAsia="el"/>
        </w:rPr>
        <w:t>3.</w:t>
      </w:r>
      <w:r>
        <w:rPr>
          <w:lang w:val="el" w:eastAsia="el"/>
        </w:rPr>
        <w:t xml:space="preserve"> Ως αγροτικές εκμεταλλεύσεις:</w:t>
      </w:r>
    </w:p>
    <w:p>
      <w:pPr>
        <w:pStyle w:val="StructureList1"/>
        <w:spacing w:before="120" w:after="0"/>
        <w:rPr>
          <w:lang w:val="el" w:eastAsia="el"/>
        </w:rPr>
      </w:pPr>
      <w:r>
        <w:rPr>
          <w:lang w:val="el" w:eastAsia="el"/>
        </w:rPr>
        <w:t>α)</w:t>
      </w:r>
      <w:r>
        <w:rPr>
          <w:lang w:val="en" w:eastAsia="en"/>
        </w:rPr>
        <w:tab/>
      </w:r>
      <w:r>
        <w:rPr>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lang w:val="el" w:eastAsia="el"/>
        </w:rPr>
        <w:t>β)</w:t>
      </w:r>
      <w:r>
        <w:rPr>
          <w:lang w:val="en" w:eastAsia="en"/>
        </w:rPr>
        <w:tab/>
      </w:r>
      <w:r>
        <w:rPr>
          <w:lang w:val="el" w:eastAsia="el"/>
        </w:rPr>
        <w:t>η εκτροφή ζώων γενικά, στην οποία περιλαμβάνονται ιδίως η 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lang w:val="el" w:eastAsia="el"/>
        </w:rPr>
        <w:t>γ)</w:t>
      </w:r>
      <w:r>
        <w:rPr>
          <w:lang w:val="en" w:eastAsia="en"/>
        </w:rPr>
        <w:tab/>
      </w:r>
      <w:r>
        <w:rPr>
          <w:lang w:val="el" w:eastAsia="el"/>
        </w:rPr>
        <w:t>η δασοκομία γενικά,</w:t>
      </w:r>
    </w:p>
    <w:p>
      <w:pPr>
        <w:pStyle w:val="StructureList1"/>
        <w:spacing w:before="120" w:after="0"/>
        <w:rPr>
          <w:lang w:val="el" w:eastAsia="el"/>
        </w:rPr>
      </w:pPr>
      <w:r>
        <w:rPr>
          <w:lang w:val="el" w:eastAsia="el"/>
        </w:rPr>
        <w:t>δ)</w:t>
      </w:r>
      <w:r>
        <w:rPr>
          <w:lang w:val="en" w:eastAsia="en"/>
        </w:rPr>
        <w:tab/>
      </w:r>
      <w:r>
        <w:rPr>
          <w:lang w:val="el" w:eastAsia="el"/>
        </w:rPr>
        <w:t>η αλιεία σε γλυκά νερά. η βατραχοτροφία,η ιχθυοτροφία, η καλλιέργεια μυδιών, στρειδιών και η εκτροφή μαλακίων και μαλακοστράκων,</w:t>
      </w:r>
    </w:p>
    <w:p>
      <w:pPr>
        <w:pStyle w:val="StructureList1"/>
        <w:spacing w:before="120" w:after="0"/>
        <w:rPr>
          <w:lang w:val="el" w:eastAsia="el"/>
        </w:rPr>
      </w:pPr>
      <w:r>
        <w:rPr>
          <w:lang w:val="el" w:eastAsia="el"/>
        </w:rPr>
        <w:t>ε)</w:t>
      </w:r>
      <w:r>
        <w:rPr>
          <w:lang w:val="en" w:eastAsia="en"/>
        </w:rPr>
        <w:tab/>
      </w:r>
      <w:r>
        <w:rPr>
          <w:lang w:val="el" w:eastAsia="el"/>
        </w:rPr>
        <w:t>οι μεταποιητικές δραστηριότητες του αγρότη, που πραγματοποιούνται με συνήθη μέσα, στα πλαίσια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lang w:val="el" w:eastAsia="el"/>
        </w:rPr>
        <w:t xml:space="preserve"> Ως αγροτικές υπηρεσίες, οι παρεχόμενες από τους αγρότες με χειρωνακτική εργασία ή με το συνήθη εξοπλισμό της εκμετάλλευσης τους, οι οποίες συμβάλλουν στην παραγωγή αγροτικών προϊόντων.</w:t>
      </w:r>
    </w:p>
    <w:p>
      <w:pPr>
        <w:spacing w:before="240" w:after="240"/>
        <w:rPr>
          <w:lang w:val="el" w:eastAsia="el"/>
        </w:rPr>
      </w:pPr>
      <w:r>
        <w:rPr>
          <w:lang w:val="el" w:eastAsia="el"/>
        </w:rPr>
        <w:t>Στις υπηρεσίες αυτές περιλαμβάνονται κυρίως:</w:t>
      </w:r>
    </w:p>
    <w:p>
      <w:pPr>
        <w:pStyle w:val="StructureList1"/>
        <w:spacing w:before="120" w:after="0"/>
        <w:rPr>
          <w:lang w:val="el" w:eastAsia="el"/>
        </w:rPr>
      </w:pPr>
      <w:r>
        <w:rPr>
          <w:lang w:val="el" w:eastAsia="el"/>
        </w:rPr>
        <w:t>α)</w:t>
      </w:r>
      <w:r>
        <w:rPr>
          <w:lang w:val="en" w:eastAsia="en"/>
        </w:rPr>
        <w:tab/>
      </w:r>
      <w:r>
        <w:rPr>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lang w:val="el" w:eastAsia="el"/>
        </w:rPr>
        <w:t>β)</w:t>
      </w:r>
      <w:r>
        <w:rPr>
          <w:lang w:val="en" w:eastAsia="en"/>
        </w:rPr>
        <w:tab/>
      </w:r>
      <w:r>
        <w:rPr>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lang w:val="el" w:eastAsia="el"/>
        </w:rPr>
        <w:t>γ)</w:t>
      </w:r>
      <w:r>
        <w:rPr>
          <w:lang w:val="en" w:eastAsia="en"/>
        </w:rPr>
        <w:tab/>
      </w:r>
      <w:r>
        <w:rPr>
          <w:lang w:val="el" w:eastAsia="el"/>
        </w:rPr>
        <w:t>η φύλαξη, η πάχυνση και η εκτροφή ζώων,</w:t>
      </w:r>
    </w:p>
    <w:p>
      <w:pPr>
        <w:pStyle w:val="StructureList1"/>
        <w:spacing w:before="120" w:after="0"/>
        <w:rPr>
          <w:lang w:val="el" w:eastAsia="el"/>
        </w:rPr>
      </w:pPr>
      <w:r>
        <w:rPr>
          <w:lang w:val="el" w:eastAsia="el"/>
        </w:rPr>
        <w:t>δ)</w:t>
      </w:r>
      <w:r>
        <w:rPr>
          <w:lang w:val="en" w:eastAsia="en"/>
        </w:rPr>
        <w:tab/>
      </w:r>
      <w:r>
        <w:rPr>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lang w:val="el" w:eastAsia="el"/>
        </w:rPr>
        <w:t>ε)</w:t>
      </w:r>
      <w:r>
        <w:rPr>
          <w:lang w:val="en" w:eastAsia="en"/>
        </w:rPr>
        <w:tab/>
      </w:r>
      <w:r>
        <w:rPr>
          <w:lang w:val="el" w:eastAsia="el"/>
        </w:rPr>
        <w:t>η τεχνική βοήθεια.</w:t>
      </w:r>
    </w:p>
    <w:p>
      <w:pPr>
        <w:pStyle w:val="StructureList1"/>
        <w:spacing w:before="120" w:after="0"/>
        <w:rPr>
          <w:lang w:val="el" w:eastAsia="el"/>
        </w:rPr>
      </w:pPr>
      <w:r>
        <w:rPr>
          <w:lang w:val="el" w:eastAsia="el"/>
        </w:rPr>
        <w:t>στ)</w:t>
      </w:r>
      <w:r>
        <w:rPr>
          <w:lang w:val="en" w:eastAsia="en"/>
        </w:rPr>
        <w:tab/>
      </w:r>
      <w:r>
        <w:rPr>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lang w:val="el" w:eastAsia="el"/>
        </w:rPr>
        <w:t>ζ)</w:t>
      </w:r>
      <w:r>
        <w:rPr>
          <w:lang w:val="en" w:eastAsia="en"/>
        </w:rPr>
        <w:tab/>
      </w:r>
      <w:r>
        <w:rPr>
          <w:lang w:val="el" w:eastAsia="el"/>
        </w:rPr>
        <w:t>η χρησιμοποίηση αρδευτικών, αποξηραντικών μέσων και εξοπλισμού,</w:t>
      </w:r>
    </w:p>
    <w:p>
      <w:pPr>
        <w:pStyle w:val="StructureList1"/>
        <w:spacing w:before="120" w:after="0"/>
        <w:rPr>
          <w:lang w:val="el" w:eastAsia="el"/>
        </w:rPr>
      </w:pPr>
      <w:r>
        <w:rPr>
          <w:lang w:val="el" w:eastAsia="el"/>
        </w:rPr>
        <w:t>η)</w:t>
      </w:r>
      <w:r>
        <w:rPr>
          <w:lang w:val="en" w:eastAsia="en"/>
        </w:rPr>
        <w:tab/>
      </w:r>
      <w:r>
        <w:rPr>
          <w:lang w:val="el" w:eastAsia="el"/>
        </w:rPr>
        <w:t>η υλοτομία, η κοπή ξύλων, καθώς και άλλες δασοκομικές υπηρεσίες.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lang w:val="el" w:eastAsia="el"/>
        </w:rPr>
        <w:t xml:space="preserve"> Οι επιχειρήσεις πρακτορείων ταξιδιών , με τις οποίες εξομοιώνονται και οι οργανωτές τουριστικών περιηγήσεων που ενεργούν στο όνομα τους έναντι των ταξιδιωτών, υπάγονται στο ειδικό καθεστώς υπολογισμού του φόρου που προβλέπουν οι διατάξεις του άρθρου αυτού,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 φόρο.</w:t>
      </w:r>
    </w:p>
    <w:p>
      <w:pPr>
        <w:pStyle w:val="MainText"/>
        <w:spacing w:before="120" w:after="0"/>
        <w:rPr>
          <w:lang w:val="el" w:eastAsia="el"/>
        </w:rPr>
      </w:pPr>
      <w:r>
        <w:rPr>
          <w:b/>
          <w:bCs/>
          <w:lang w:val="el" w:eastAsia="el"/>
        </w:rPr>
        <w:t>2.</w:t>
      </w:r>
      <w:r>
        <w:rPr>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w:t>
      </w:r>
    </w:p>
    <w:p>
      <w:pPr>
        <w:spacing w:before="240" w:after="240"/>
        <w:rPr>
          <w:lang w:val="el" w:eastAsia="el"/>
        </w:rPr>
      </w:pPr>
      <w:r>
        <w:rPr>
          <w:lang w:val="el" w:eastAsia="el"/>
        </w:rPr>
        <w:t>Η παροχή αυτή φορολογείται στην Ελλάδα, εφόσον η έδρα της οικονομικής δραστηριότητας του πρακτορείου ή η μόνιμη εγκατάσταση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 φόρο και οι οποίες πραγματοποιούνται από τους τελευταίους στο εσωτερικό της χώρας ή εντός της Κοινότητας.</w:t>
      </w:r>
    </w:p>
    <w:p>
      <w:pPr>
        <w:spacing w:before="240" w:after="240"/>
        <w:rPr>
          <w:lang w:val="el" w:eastAsia="el"/>
        </w:rPr>
      </w:pPr>
      <w:r>
        <w:rPr>
          <w:lang w:val="el" w:eastAsia="el"/>
        </w:rPr>
        <w:t>Αντίθετα δεν υπάγεται στις διατάξεις του παρόντος άρθρου, το μέρος των παρεχομένων υπηρεσιών από το πρακτορείο ταξιδιών που αναλογεί στις πράξεις τις οποίες αυτό αναθέτει σε άλλους υποκείμενους στο φόρο και οι οποίες πραγματοποιούνται από τους τελευταίους εκτός της Κοινότητας. Για τις υπηρεσίες αυτές, έχουν εφαρμογή οι διατάξεις της περίπτωσης στ της παρ. 1 του άρθρου 24.</w:t>
      </w:r>
    </w:p>
    <w:p>
      <w:pPr>
        <w:pStyle w:val="MainText"/>
        <w:spacing w:before="120" w:after="0"/>
        <w:rPr>
          <w:lang w:val="el" w:eastAsia="el"/>
        </w:rPr>
      </w:pPr>
      <w:r>
        <w:rPr>
          <w:b/>
          <w:bCs/>
          <w:lang w:val="el" w:eastAsia="el"/>
        </w:rPr>
        <w:t>3.</w:t>
      </w:r>
      <w:r>
        <w:rPr>
          <w:lang w:val="el" w:eastAsia="el"/>
        </w:rPr>
        <w:t xml:space="preserve"> Ως φορολογητέα αξία λαμβάνεται η μεικτή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 φόρο) που γίνονται σ΄ αυτό από άλλους υποκείμενους στο φόρο για άμεση εξυπηρέτηση του ταξιδιώτη.</w:t>
      </w:r>
    </w:p>
    <w:p>
      <w:pPr>
        <w:spacing w:before="240" w:after="240"/>
        <w:rPr>
          <w:lang w:val="el" w:eastAsia="el"/>
        </w:rPr>
      </w:pPr>
      <w:r>
        <w:rPr>
          <w:lang w:val="el" w:eastAsia="el"/>
        </w:rPr>
        <w:t>Στα τιμολόγια παροχής υπηρεσιών που αφορούν τις πράξεις για τις οποίες η φορολογητέα αξία προσδιορίζεται κατά τις διατάξεις του προηγούμενου εδαφίου, ο φόρος δύναται να ενσωματώνεται στην τιμή.</w:t>
      </w:r>
    </w:p>
    <w:p>
      <w:pPr>
        <w:pStyle w:val="MainText"/>
        <w:spacing w:before="120" w:after="0"/>
        <w:rPr>
          <w:lang w:val="el" w:eastAsia="el"/>
        </w:rPr>
      </w:pPr>
      <w:r>
        <w:rPr>
          <w:b/>
          <w:bCs/>
          <w:lang w:val="el" w:eastAsia="el"/>
        </w:rPr>
        <w:t>4.</w:t>
      </w:r>
      <w:r>
        <w:rPr>
          <w:lang w:val="el" w:eastAsia="el"/>
        </w:rPr>
        <w:t xml:space="preserve"> Τα ποσά του φόρου με τα οποία επιβαρύνεται το πρακτορείο από άλλους υποκείμενους στο φόρο για τις πράξεις που προβλέπουν οι διατάξεις των παραγράφων 2 και 3 δεν εκπίπτονται ούτε επιστρέφονται. </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εφαρμόζονται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και από υπηρεσίες μεταφοράς, οι οποίες παρέχονται με μεταφορικά μέσα που εκμεταλλεύεται το ίδιο το πρακτορείο. </w:t>
      </w:r>
    </w:p>
    <w:p>
      <w:pPr>
        <w:pStyle w:val="MainText"/>
        <w:spacing w:before="120" w:after="0"/>
        <w:rPr>
          <w:lang w:val="el" w:eastAsia="el"/>
        </w:rPr>
      </w:pPr>
      <w:r>
        <w:rPr>
          <w:b/>
          <w:bCs/>
          <w:lang w:val="el" w:eastAsia="el"/>
        </w:rPr>
        <w:t>6.</w:t>
      </w:r>
      <w:r>
        <w:rPr>
          <w:lang w:val="el" w:eastAsia="el"/>
        </w:rPr>
        <w:t xml:space="preserve"> Με προεδρικά διατάγματα, που εκδίδονται με πρόταση του Υπουργού Οικονομικών, μπορεί να ορίζεται άλλος τρόπος προσδιορισμού της φορολογητέας αξίας για την οποία προβλέπουν οι διατάξεις της παρ. 3.</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 ν τιμή λιανικής πώλησης, χωρίς φόρο προστιθέμενης αξίας. Ως βιομηχανοποιημένα καπνά θεωρούνται τα οριζόμενα στη διάταξη του άρθρου 39 του Ν. 2127/1993 (ΦΕΚ 48 Α΄). </w:t>
      </w:r>
    </w:p>
    <w:p>
      <w:pPr>
        <w:pStyle w:val="MainText"/>
        <w:spacing w:before="120" w:after="0"/>
        <w:rPr>
          <w:lang w:val="el" w:eastAsia="el"/>
        </w:rPr>
      </w:pPr>
      <w:r>
        <w:rPr>
          <w:b/>
          <w:bCs/>
          <w:lang w:val="el" w:eastAsia="el"/>
        </w:rPr>
        <w:t>2.</w:t>
      </w:r>
      <w:r>
        <w:rPr>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τα οριζόμενα στο άρθρο 56, καθώς και στις ειδικές περιπτώσεις απαιτητού του φόρου, σύμφωνα με τα οριζόμενα στο άρθρο 57 του ν. 2960/2001, όπως ισχύει Ο φόρος καταβάλλεται μαζί με τον ειδικό φόρο κατανάλωσης των βιομηχανοποιημένων καπνών, από τα υπόχρεα πρόσωπα του άρθρου 101 του ν. 2960/2001 και σύμφωνα με τις διατάξει των άρθρων 104 και 111 του ίδιου νόμου.</w:t>
      </w:r>
      <w:r>
        <w:rPr>
          <w:rStyle w:val="Hyperlink"/>
          <w:color w:val="000000"/>
          <w:sz w:val="20"/>
          <w:szCs w:val="20"/>
          <w:u w:val="none" w:color="0000EE"/>
          <w:vertAlign w:val="superscript"/>
          <w:lang w:val="el" w:eastAsia="el"/>
        </w:rPr>
        <w:footnoteReference w:id="489"/>
      </w:r>
    </w:p>
    <w:p>
      <w:pPr>
        <w:pStyle w:val="MainText"/>
        <w:spacing w:before="120" w:after="0"/>
        <w:rPr>
          <w:lang w:val="el" w:eastAsia="el"/>
        </w:rPr>
      </w:pPr>
      <w:r>
        <w:rPr>
          <w:b/>
          <w:bCs/>
          <w:lang w:val="el" w:eastAsia="el"/>
        </w:rPr>
        <w:t>3.</w:t>
      </w:r>
      <w:r>
        <w:rPr>
          <w:lang w:val="el" w:eastAsia="el"/>
        </w:rPr>
        <w:t xml:space="preserve"> Οι υπόχρεοι καταβολής του φόρου ασκούν το δικαίωμα έκπτωσης του άρθρου 30 κατά την εκκαθάριση των φόρων που γίνεται με την αίτηση φορολογίας βιομηχανοποιημένων καπνών, με βάση τα δικαιολογητικά του άρθρου 32 που κατέχουν αυτοί κατά το χρόνο της εκκαθάρισης. Οι υπόχρεοι του προηγούμενου εδαφίου έχουν τις υποχρεώσεις που προβλέπονται από τις διατάξεις των άρθρων 36 και 38.</w:t>
      </w:r>
      <w:r>
        <w:rPr>
          <w:rStyle w:val="Hyperlink"/>
          <w:color w:val="000000"/>
          <w:sz w:val="20"/>
          <w:szCs w:val="20"/>
          <w:u w:val="none" w:color="0000EE"/>
          <w:vertAlign w:val="superscript"/>
          <w:lang w:val="el" w:eastAsia="el"/>
        </w:rPr>
        <w:footnoteReference w:id="490"/>
      </w:r>
    </w:p>
    <w:p>
      <w:pPr>
        <w:pStyle w:val="MainText"/>
        <w:spacing w:before="120" w:after="0"/>
        <w:rPr>
          <w:lang w:val="el" w:eastAsia="el"/>
        </w:rPr>
      </w:pPr>
      <w:r>
        <w:rPr>
          <w:b/>
          <w:bCs/>
          <w:lang w:val="el" w:eastAsia="el"/>
        </w:rPr>
        <w:t>4.</w:t>
      </w:r>
      <w:r>
        <w:rPr>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εκπτιπτόμενος".</w:t>
      </w:r>
    </w:p>
    <w:p>
      <w:pPr>
        <w:pStyle w:val="MainText"/>
        <w:spacing w:before="120" w:after="0"/>
        <w:rPr>
          <w:lang w:val="el" w:eastAsia="el"/>
        </w:rPr>
      </w:pPr>
      <w:r>
        <w:rPr>
          <w:b/>
          <w:bCs/>
          <w:lang w:val="el" w:eastAsia="el"/>
        </w:rPr>
        <w:t>5.</w:t>
      </w:r>
      <w:r>
        <w:rPr>
          <w:lang w:val="el" w:eastAsia="el"/>
        </w:rPr>
        <w:t xml:space="preserve"> Σε περίπτωση φθοράς ή βλάβης βιομηχανοποιημένων καπνών, για τις οποίες προβλέπουν οι διατάξεις του άρθρου 105 του ν.2960/2001, παρέχεται στις ενδιαφερόμενες επιχειρήσεις δικαίωμα συμψηφισμού του φόρου του παρόντος νόμου. Ο φόρος επιστρέφεται μόνον εφόσον είναι αδύνατος ο συμψηφισμός του.</w:t>
      </w:r>
      <w:r>
        <w:rPr>
          <w:rStyle w:val="Hyperlink"/>
          <w:color w:val="000000"/>
          <w:sz w:val="20"/>
          <w:szCs w:val="20"/>
          <w:u w:val="none" w:color="0000EE"/>
          <w:vertAlign w:val="superscript"/>
          <w:lang w:val="el" w:eastAsia="el"/>
        </w:rPr>
        <w:footnoteReference w:id="491"/>
      </w:r>
    </w:p>
    <w:p>
      <w:pPr>
        <w:pStyle w:val="MainText"/>
        <w:spacing w:before="120" w:after="0"/>
        <w:rPr>
          <w:lang w:val="el" w:eastAsia="el"/>
        </w:rPr>
      </w:pPr>
      <w:r>
        <w:rPr>
          <w:b/>
          <w:bCs/>
          <w:lang w:val="el" w:eastAsia="el"/>
        </w:rPr>
        <w:t>6.</w:t>
      </w:r>
      <w:r>
        <w:rPr>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38, ούτε δικαίωμα έκπτωσης του φόρου που προβλέπουν οι διατάξεις του άρθρου 30. Για την εφαρμογή των διατάξεων της παραγράφου 1 του άρθρου 31, το ποσό του ετήσιου κύκλου εργασιών των πιο πάνω προσώπων που προέρχεται από παραδόσεις βιομηχανοποιημένων καπνών προστίθεται στον παρανομαστή του κλάσματος που ορίζει η διάταξη αυτή. </w:t>
      </w:r>
    </w:p>
    <w:p>
      <w:pPr>
        <w:pStyle w:val="MainText"/>
        <w:spacing w:before="120" w:after="0"/>
        <w:rPr>
          <w:lang w:val="el" w:eastAsia="el"/>
        </w:rPr>
      </w:pPr>
      <w:r>
        <w:rPr>
          <w:b/>
          <w:bCs/>
          <w:lang w:val="el" w:eastAsia="el"/>
        </w:rPr>
        <w:t>7.</w:t>
      </w:r>
      <w:r>
        <w:rPr>
          <w:lang w:val="el" w:eastAsia="el"/>
        </w:rPr>
        <w:t xml:space="preserve"> Τα πρόσωπα της προηγούμενης παραγράφου υποχρεούνται να καταχωρούν τις αγορές βιομηχανοποιημένων καπνών σε ιδιαίτερη στήλη των βιβλίων τους ή εφόσον δεν τηρούν βιβλία, σε ιδιαίτερες καταστάσεις.</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Ειδικό καθεστώς φορολογίας των υποκειμένων στο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lang w:val="el" w:eastAsia="el"/>
        </w:rPr>
        <w:t xml:space="preserve"> Η παράδοση μεταχειρισμένων αγαθών, όπως αυτά ορίζονται με τις διατάξεις της περίπτωσης α΄ της παραγράφου 8 του άρθρου 46,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 φόρο μεταπωλητή, σύμφωνα με τις διατάξεις του άρθρου αυτού.</w:t>
      </w:r>
    </w:p>
    <w:p>
      <w:pPr>
        <w:pStyle w:val="MainText"/>
        <w:spacing w:before="120" w:after="0"/>
        <w:rPr>
          <w:lang w:val="el" w:eastAsia="el"/>
        </w:rPr>
      </w:pPr>
      <w:r>
        <w:rPr>
          <w:b/>
          <w:bCs/>
          <w:lang w:val="el" w:eastAsia="el"/>
        </w:rPr>
        <w:t>2.</w:t>
      </w:r>
      <w:r>
        <w:rPr>
          <w:lang w:val="el" w:eastAsia="el"/>
        </w:rPr>
        <w:t xml:space="preserve"> Για την εφαρμογή της παραγράφου 1, ως παράδοση αγαθών που εμπίπτει στο ειδικό καθεστώς, θεωρείται η παράδοση των αγαθών αυτών, που πραγματοποιείται από -υποκείμενο στο φόρο μεταπωλητή, κατά την έννοια της περίπτωσης β΄ της παραγράφου 8 του άρθρου 46, εφόσον τα αγαθά αυτά του παραδόθηκαν:</w:t>
      </w:r>
    </w:p>
    <w:p>
      <w:pPr>
        <w:spacing w:before="240" w:after="240"/>
        <w:rPr>
          <w:lang w:val="el" w:eastAsia="el"/>
        </w:rPr>
      </w:pPr>
      <w:r>
        <w:rPr>
          <w:lang w:val="el" w:eastAsia="el"/>
        </w:rPr>
        <w:t>Στο εσωτερικό της Κοινότητας, από:</w:t>
      </w:r>
    </w:p>
    <w:p>
      <w:pPr>
        <w:pStyle w:val="StructureList1"/>
        <w:spacing w:before="120" w:after="0"/>
        <w:rPr>
          <w:lang w:val="el" w:eastAsia="el"/>
        </w:rPr>
      </w:pPr>
      <w:r>
        <w:rPr>
          <w:lang w:val="el" w:eastAsia="el"/>
        </w:rPr>
        <w:t>-</w:t>
      </w:r>
      <w:r>
        <w:rPr>
          <w:lang w:val="en" w:eastAsia="en"/>
        </w:rPr>
        <w:tab/>
      </w:r>
      <w:r>
        <w:rPr>
          <w:lang w:val="el" w:eastAsia="el"/>
        </w:rPr>
        <w:t>Πρόσωπο μη υποκείμενο στο φόρο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εφόσον πρόκειται για παράδοση η οποία απαλλάσσεται από το φόρο σύμφωνα με τις διατάξεις της περίπτωσης κθ΄ της παραγράφου 1 του άρθρου 22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το οποίο υπάγεται στις διατάξεις της παρ. 2 του άρθρου 39, εφόσον πρόκειται για αγαθά που αποτελούσαν γι΄αυτόν αγαθά επένδυσης, κατά την έννοια των διατάξεων της παραγράφου 4 του άρθρου 33,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`Άλλον υποκείμενο στο φόρο μεταπωλητή, εφόσον η παράδοση του αγαθού από αυτόν έχει υπαχθεί στο φόρο, σύμφωνα με το ειδικό καθεστώς του περιθωρίου κέρδους του παρόντος άρθρου ή αντίστοιχης διάταξης άλλου κράτους - μέλους.</w:t>
      </w:r>
    </w:p>
    <w:p>
      <w:pPr>
        <w:pStyle w:val="MainText"/>
        <w:spacing w:before="120" w:after="0"/>
        <w:rPr>
          <w:lang w:val="el" w:eastAsia="el"/>
        </w:rPr>
      </w:pPr>
      <w:r>
        <w:rPr>
          <w:b/>
          <w:bCs/>
          <w:lang w:val="el" w:eastAsia="el"/>
        </w:rPr>
        <w:t>3.</w:t>
      </w:r>
      <w:r>
        <w:rPr>
          <w:lang w:val="el" w:eastAsia="el"/>
        </w:rPr>
        <w:t xml:space="preserve"> Φορολογητέα αξία της παράδοσης αγαθών είναι το περιθώριο κέρδους που πραγματοποιεί ο υποκείμενος στο φόρο μεταπωλητής.</w:t>
      </w:r>
    </w:p>
    <w:p>
      <w:pPr>
        <w:pStyle w:val="StructureList1"/>
        <w:spacing w:before="120" w:after="0"/>
        <w:rPr>
          <w:lang w:val="el" w:eastAsia="el"/>
        </w:rPr>
      </w:pPr>
      <w:r>
        <w:rPr>
          <w:lang w:val="el" w:eastAsia="el"/>
        </w:rPr>
        <w:t>-</w:t>
      </w:r>
      <w:r>
        <w:rPr>
          <w:lang w:val="en" w:eastAsia="en"/>
        </w:rPr>
        <w:tab/>
      </w:r>
      <w:r>
        <w:rPr>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του, μειωμένο με το φόρο προστιθέμενης αξίας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 φόρο μεταπωλητή.</w:t>
      </w:r>
    </w:p>
    <w:p>
      <w:pPr>
        <w:pStyle w:val="StructureList1"/>
        <w:spacing w:before="120" w:after="0"/>
        <w:rPr>
          <w:lang w:val="el" w:eastAsia="el"/>
        </w:rPr>
      </w:pPr>
      <w:r>
        <w:rPr>
          <w:lang w:val="el" w:eastAsia="el"/>
        </w:rPr>
        <w:t>-</w:t>
      </w:r>
      <w:r>
        <w:rPr>
          <w:lang w:val="en" w:eastAsia="en"/>
        </w:rPr>
        <w:tab/>
      </w:r>
      <w:r>
        <w:rPr>
          <w:lang w:val="el" w:eastAsia="el"/>
        </w:rPr>
        <w:t>Ως τιμή πώλησης λαμβάνεται, το σύνολο του αντιτίμου που έλαβε ή πρόκειται να λάβει ο υποκείμενος στο φόρο μεταπωλητής από τον αγοραστή, όπως αυτό προσδιορίζεται από τις διατάξεις του άρθρ. 19, περιλαμβανομένου και του φόρου προστιθέμενης αξίας.</w:t>
      </w:r>
    </w:p>
    <w:p>
      <w:pPr>
        <w:pStyle w:val="StructureList1"/>
        <w:spacing w:before="120" w:after="0"/>
        <w:rPr>
          <w:lang w:val="el" w:eastAsia="el"/>
        </w:rPr>
      </w:pPr>
      <w:r>
        <w:rPr>
          <w:lang w:val="el" w:eastAsia="el"/>
        </w:rPr>
        <w:t>-</w:t>
      </w:r>
      <w:r>
        <w:rPr>
          <w:lang w:val="en" w:eastAsia="en"/>
        </w:rPr>
        <w:tab/>
      </w:r>
      <w:r>
        <w:rPr>
          <w:lang w:val="el" w:eastAsia="el"/>
        </w:rPr>
        <w:t>Ως τιμή αγοράς λαμβάνεται, το σύνολο του αντιτίμου που κατέβαλε ή θα καταβάλει ο υποκείμενος στο φόρο μεταπωλητής στον προμηθευτή του.</w:t>
      </w:r>
    </w:p>
    <w:p>
      <w:pPr>
        <w:pStyle w:val="MainText"/>
        <w:spacing w:before="120" w:after="0"/>
        <w:rPr>
          <w:lang w:val="el" w:eastAsia="el"/>
        </w:rPr>
      </w:pPr>
      <w:r>
        <w:rPr>
          <w:b/>
          <w:bCs/>
          <w:lang w:val="el" w:eastAsia="el"/>
        </w:rPr>
        <w:t>4.</w:t>
      </w:r>
      <w:r>
        <w:rPr>
          <w:lang w:val="el" w:eastAsia="el"/>
        </w:rPr>
        <w:t xml:space="preserve"> Ο υποκείμενος στο φόρο μεταπωλητής μπορεί να επιλέξει την εφαρμογή του ειδικού καθεστώτος του άρθρου αυτού και στις παρακάτω παραδόσεις:</w:t>
      </w:r>
    </w:p>
    <w:p>
      <w:pPr>
        <w:pStyle w:val="StructureList1"/>
        <w:spacing w:before="120" w:after="0"/>
        <w:rPr>
          <w:lang w:val="el" w:eastAsia="el"/>
        </w:rPr>
      </w:pPr>
      <w:r>
        <w:rPr>
          <w:lang w:val="el" w:eastAsia="el"/>
        </w:rPr>
        <w:t>α)</w:t>
      </w:r>
      <w:r>
        <w:rPr>
          <w:lang w:val="en" w:eastAsia="en"/>
        </w:rPr>
        <w:tab/>
      </w:r>
      <w:r>
        <w:rPr>
          <w:lang w:val="el" w:eastAsia="el"/>
        </w:rPr>
        <w:t>Αντικειμένων καλλιτεχνικής, συλλεκτικής ή αρχαιολογικής αξίας, τα οποία εισήγαγε ο ίδιος, σύμφωνα με τις διατάξεις του άρθρου 10.</w:t>
      </w:r>
    </w:p>
    <w:p>
      <w:pPr>
        <w:pStyle w:val="StructureList1"/>
        <w:spacing w:before="120" w:after="0"/>
        <w:rPr>
          <w:lang w:val="el" w:eastAsia="el"/>
        </w:rPr>
      </w:pPr>
      <w:r>
        <w:rPr>
          <w:lang w:val="el" w:eastAsia="el"/>
        </w:rPr>
        <w:t>β)</w:t>
      </w:r>
      <w:r>
        <w:rPr>
          <w:lang w:val="en" w:eastAsia="en"/>
        </w:rPr>
        <w:tab/>
      </w:r>
      <w:r>
        <w:rPr>
          <w:lang w:val="el" w:eastAsia="el"/>
        </w:rPr>
        <w:t>Αντικειμένων καλλιτεχνικής αξίας που του παραδόθηκαν από τον ίδιο το δημιουργό τους ή τους διαδόχους του.</w:t>
      </w:r>
    </w:p>
    <w:p>
      <w:pPr>
        <w:pStyle w:val="StructureList1"/>
        <w:spacing w:before="120" w:after="0"/>
        <w:rPr>
          <w:lang w:val="el" w:eastAsia="el"/>
        </w:rPr>
      </w:pPr>
      <w:r>
        <w:rPr>
          <w:lang w:val="el" w:eastAsia="el"/>
        </w:rPr>
        <w:t>γ)</w:t>
      </w:r>
      <w:r>
        <w:rPr>
          <w:lang w:val="en" w:eastAsia="en"/>
        </w:rPr>
        <w:tab/>
      </w:r>
      <w:r>
        <w:rPr>
          <w:lang w:val="el" w:eastAsia="el"/>
        </w:rPr>
        <w:t>Αντικειμένων καλλιτεχνικής αξίας που του παραδόθηκαν από άλλο υποκείμενο στο φόρο πρόσωπο, εκτός του υποκείμενου στο φόρο μεταπωλητή, εφόσον η παράδοση από το άλλο αυτό πρόσωπο φορολογήθηκε με το μειωμένο συντελεστή που προβλέπεται για τα αγαθά αυτά ή παρασχέθηκε στον υποκείμενο πλήρες δικαίωμα έκπτωσης του φόρου.</w:t>
      </w:r>
    </w:p>
    <w:p>
      <w:pPr>
        <w:spacing w:before="240" w:after="240"/>
        <w:rPr>
          <w:lang w:val="el" w:eastAsia="el"/>
        </w:rPr>
      </w:pPr>
      <w:r>
        <w:rPr>
          <w:lang w:val="el" w:eastAsia="el"/>
        </w:rPr>
        <w:t>Η παραπάνω επιλογή γίνεται με υποβολή δήλωσης στην αρμόδια Δ.Ο.Υ. εντός τριάντα (30) ημερών από την έναρξη της διαχειριστικής περιόδου στην οποία υποβάλλεται. Η δήλωση αυτή ισχύει τουλάχιστον για δύο πλήρεις διαχειριστικές περιόδους μετά την πάροδο των οποίων μπορεί να ανακληθεί. Η ανάκληση ισχύει από την επόμενη διαχειριστική περίοδο.</w:t>
      </w:r>
      <w:r>
        <w:rPr>
          <w:rStyle w:val="Hyperlink"/>
          <w:color w:val="000000"/>
          <w:sz w:val="20"/>
          <w:szCs w:val="20"/>
          <w:u w:val="none" w:color="0000EE"/>
          <w:vertAlign w:val="superscript"/>
          <w:lang w:val="el" w:eastAsia="el"/>
        </w:rPr>
        <w:footnoteReference w:id="492"/>
      </w:r>
    </w:p>
    <w:p>
      <w:pPr>
        <w:spacing w:before="240" w:after="240"/>
        <w:rPr>
          <w:lang w:val="el" w:eastAsia="el"/>
        </w:rPr>
      </w:pPr>
      <w:r>
        <w:rPr>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τις διατάξεις του άρθρου 20 ή η φορολογητέα αξία της παράδοσης σύμφωνα με τις διατάξεις του άρθρου 19, κατά περίπτωση, προσαυξημένη με το φόρο προστιθέμενης αξίας με τον οποίο επιβαρύνθηκαν οι πράξεις αυτές.</w:t>
      </w:r>
    </w:p>
    <w:p>
      <w:pPr>
        <w:pStyle w:val="MainText"/>
        <w:spacing w:before="120" w:after="0"/>
        <w:rPr>
          <w:lang w:val="el" w:eastAsia="el"/>
        </w:rPr>
      </w:pPr>
      <w:r>
        <w:rPr>
          <w:b/>
          <w:bCs/>
          <w:lang w:val="el" w:eastAsia="el"/>
        </w:rPr>
        <w:t>5.</w:t>
      </w:r>
      <w:r>
        <w:rPr>
          <w:lang w:val="el" w:eastAsia="el"/>
        </w:rPr>
        <w:t xml:space="preserve"> Απαλλάσσονται από το φόρο οι παραδόσεις αγαθών της παραγράφου 1, που πραγματοποιούνται σύμφωνα με τις διατάξεις των άρθρ. 24 και 27, για τις οποίες η φορολογητέα αξία υπολογίζεται σύμφωνα με τις διατάξεις της παραγράφου 3.</w:t>
      </w:r>
    </w:p>
    <w:p>
      <w:pPr>
        <w:pStyle w:val="MainText"/>
        <w:spacing w:before="120" w:after="0"/>
        <w:rPr>
          <w:lang w:val="el" w:eastAsia="el"/>
        </w:rPr>
      </w:pPr>
      <w:r>
        <w:rPr>
          <w:b/>
          <w:bCs/>
          <w:lang w:val="el" w:eastAsia="el"/>
        </w:rPr>
        <w:t>6.</w:t>
      </w:r>
      <w:r>
        <w:rPr>
          <w:lang w:val="el" w:eastAsia="el"/>
        </w:rPr>
        <w:t xml:space="preserve"> Ο υποκείμενος στο φόρο, κατά την έννοια των διατάξεων του άρθρου 3, δεν δικαιούται να εκπίπτει από το φόρο τον οποίο οφείλει, το φόρο με τον οποίο έχουν επιβαρυνθεί τα αγαθά της παραγράφου 1, εφόσον πρόκειται για αγαθά που παραδόθηκαν σε αυτόν από υποκείμενο στο φόρο μεταπωλητή, ο οποίος εφήρμοσε το ειδικό καθεστώς του άρθρου αυτού.</w:t>
      </w:r>
    </w:p>
    <w:p>
      <w:pPr>
        <w:pStyle w:val="MainText"/>
        <w:spacing w:before="120" w:after="0"/>
        <w:rPr>
          <w:lang w:val="el" w:eastAsia="el"/>
        </w:rPr>
      </w:pPr>
      <w:r>
        <w:rPr>
          <w:b/>
          <w:bCs/>
          <w:lang w:val="el" w:eastAsia="el"/>
        </w:rPr>
        <w:t>7.</w:t>
      </w:r>
      <w:r>
        <w:rPr>
          <w:lang w:val="el" w:eastAsia="el"/>
        </w:rPr>
        <w:t xml:space="preserve"> Ο υποκείμενος στο φόρο μεταπωλητής, που εφαρμόζει το ειδικό καθεστώς του άρθρου αυτού, δεν μπορεί να εκπίπτει από το φόρο που οφείλει για τις παραδόσεις αγαθών που πραγματοποιεί, σύμφωνα με τις διατάξεις του άρθρου αυτού, το φόρο προστιθέμενης αξίας που κατέβαλε ή πρόκειται να καταβάλλει για απόκτηση αντικειμένων σύμφωνα με τις διατάξεις της παραγράφου 4.</w:t>
      </w:r>
    </w:p>
    <w:p>
      <w:pPr>
        <w:pStyle w:val="MainText"/>
        <w:spacing w:before="120" w:after="0"/>
        <w:rPr>
          <w:lang w:val="el" w:eastAsia="el"/>
        </w:rPr>
      </w:pPr>
      <w:r>
        <w:rPr>
          <w:b/>
          <w:bCs/>
          <w:lang w:val="el" w:eastAsia="el"/>
        </w:rPr>
        <w:t>8.</w:t>
      </w:r>
      <w:r>
        <w:rPr>
          <w:lang w:val="el" w:eastAsia="el"/>
        </w:rPr>
        <w:t xml:space="preserve"> Ο υποκείμενος στο φόρο μεταπωλητής, που εφαρμόζει το ειδικό καθεστώς του άρθρου αυτού, υποχρεούται:</w:t>
      </w:r>
    </w:p>
    <w:p>
      <w:pPr>
        <w:pStyle w:val="StructureList1"/>
        <w:spacing w:before="120" w:after="0"/>
        <w:rPr>
          <w:lang w:val="el" w:eastAsia="el"/>
        </w:rPr>
      </w:pPr>
      <w:r>
        <w:rPr>
          <w:lang w:val="el" w:eastAsia="el"/>
        </w:rPr>
        <w:t>α)</w:t>
      </w:r>
      <w:r>
        <w:rPr>
          <w:lang w:val="en" w:eastAsia="en"/>
        </w:rPr>
        <w:tab/>
      </w:r>
      <w:r>
        <w:rPr>
          <w:lang w:val="el" w:eastAsia="el"/>
        </w:rPr>
        <w:t>Να τηρεί ειδικό βιβλίο, στο οποίο να καταχωρεί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τις διατάξεις της παρ. 3.</w:t>
      </w:r>
    </w:p>
    <w:p>
      <w:pPr>
        <w:spacing w:before="240" w:after="240"/>
        <w:rPr>
          <w:lang w:val="el" w:eastAsia="el"/>
        </w:rPr>
      </w:pPr>
      <w:r>
        <w:rPr>
          <w:lang w:val="el" w:eastAsia="el"/>
        </w:rPr>
        <w:t>Σε περίπτωση συγκεντρωτικών αγορών ή πωλήσεων, υποχρεούται να επιμερίζει την αξία των αγαθών, στο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lang w:val="el" w:eastAsia="el"/>
        </w:rPr>
        <w:t>β)</w:t>
      </w:r>
      <w:r>
        <w:rPr>
          <w:lang w:val="en" w:eastAsia="en"/>
        </w:rPr>
        <w:tab/>
      </w:r>
      <w:r>
        <w:rPr>
          <w:lang w:val="el" w:eastAsia="el"/>
        </w:rPr>
        <w:t>Στα φορολογικά στοιχεία που εκδίδει, κατά τις διατάξεις του Κώδικα Βιβλίων και Στοιχείων, να ενσωματώνει, στην τιμή, το φόρο που αναλογεί στις παραδόσεις αγαθών, οι οποίες φορολογούνται, σύμφωνα με τις διατάξεις της παραγράφου 3.</w:t>
      </w:r>
    </w:p>
    <w:p>
      <w:pPr>
        <w:pStyle w:val="MainText"/>
        <w:spacing w:before="120" w:after="0"/>
        <w:rPr>
          <w:lang w:val="el" w:eastAsia="el"/>
        </w:rPr>
      </w:pPr>
      <w:r>
        <w:rPr>
          <w:b/>
          <w:bCs/>
          <w:lang w:val="el" w:eastAsia="el"/>
        </w:rPr>
        <w:t>9.</w:t>
      </w:r>
      <w:r>
        <w:rPr>
          <w:lang w:val="el" w:eastAsia="el"/>
        </w:rPr>
        <w:t xml:space="preserve"> Σε περίπτωση, κατά την οποία, ο υποκείμενος στο φόρο μεταπωλητής πραγματοποιεί παράλληλα πράξεις, τόσο του άρθρου αυτού, όσο και του κανονικού καθεστώτος, υποχρεούται να καταχωρεί σε ιδιαίτερες στήλες ή σε ειδικούς λογαριασμούς στα τηρούμενα από αυτόν βιβλία του Κώδικα Βιβλίων και Στοιχείων,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lang w:val="el" w:eastAsia="el"/>
        </w:rPr>
        <w:t xml:space="preserve"> Κατά παρέκκλιση από τις διατάξεις της παραγράφου 3, στις περιπτώσεις όπου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w:t>
      </w:r>
    </w:p>
    <w:p>
      <w:pPr>
        <w:spacing w:before="240" w:after="240"/>
        <w:rPr>
          <w:lang w:val="el" w:eastAsia="el"/>
        </w:rPr>
      </w:pPr>
      <w:r>
        <w:rPr>
          <w:lang w:val="el" w:eastAsia="el"/>
        </w:rPr>
        <w:t>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 φόρο μεταπωλητής κατά τη συγκεκριμένη φορολογική περίοδο.</w:t>
      </w:r>
    </w:p>
    <w:p>
      <w:pPr>
        <w:spacing w:before="240" w:after="240"/>
        <w:rPr>
          <w:lang w:val="el" w:eastAsia="el"/>
        </w:rPr>
      </w:pPr>
      <w:r>
        <w:rPr>
          <w:lang w:val="el" w:eastAsia="el"/>
        </w:rPr>
        <w:t>Το συνολικό περιθώριο κέρδους ισούται με τη διαφορά μεταξύ των συνολικών τιμών πωλήσεων και των συνολικών τιμών αγορών που πραγματοποιεί ο υποκείμενος στο φόρο μεταπωλητής κατά τη διάρκεια της φορολογικής περιόδου, για κάθε συντελεστή φόρου προστιθέμενης αξίας χωριστά, μειωμένη κατά το ποσό του φόρου προστιθέμενης αξίας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lang w:val="el" w:eastAsia="el"/>
        </w:rPr>
        <w:t>Σε περίπτωση που η διαφορά μεταξύ των συνολικών τιμών πωλήσεων και συνολικών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στην ίδια διαχειριστική περίοδο. Τυχόν προκύπτουσα αρνητική διαφορά στην τελευταία φορολογική περίοδο, δεν μεταφέρεται για συμψηφισμό σε επόμενη διαχειριστική περίοδο.</w:t>
      </w:r>
    </w:p>
    <w:p>
      <w:pPr>
        <w:spacing w:before="240" w:after="240"/>
        <w:rPr>
          <w:lang w:val="el" w:eastAsia="el"/>
        </w:rPr>
      </w:pPr>
      <w:r>
        <w:rPr>
          <w:lang w:val="el" w:eastAsia="el"/>
        </w:rPr>
        <w:t>Όταν η φορολογητέα αξία υπολογίζεται με τις διατάξεις της παραγράφου αυτής, ο υποκείμενος στο φόρο μεταπωλητής δεν δικαιούται επιστροφής του φόρου που προκύπτει από αρνητικό περιθώριο στη συγκεκριμένη φορολογική ή διαχειριστική περίοδο.</w:t>
      </w:r>
    </w:p>
    <w:p>
      <w:pPr>
        <w:spacing w:before="240" w:after="240"/>
        <w:rPr>
          <w:lang w:val="el" w:eastAsia="el"/>
        </w:rPr>
      </w:pPr>
      <w:r>
        <w:rPr>
          <w:lang w:val="el" w:eastAsia="el"/>
        </w:rPr>
        <w:t>Ο υποκείμενος στο φόρο μεταπωλητής που υπάγεται στο καθεστώς της παραγράφου αυτής μπορεί να επιλέξει, για ορισμένες παραδόσεις που πραγματοποιεί, να υπαχθεί σας γενικές διατάξεις του φόρου.</w:t>
      </w:r>
    </w:p>
    <w:p>
      <w:pPr>
        <w:spacing w:before="240" w:after="240"/>
        <w:rPr>
          <w:lang w:val="el" w:eastAsia="el"/>
        </w:rPr>
      </w:pPr>
      <w:r>
        <w:rPr>
          <w:lang w:val="el" w:eastAsia="el"/>
        </w:rPr>
        <w:t>Στην περίπτωση που κάνει χρήση της ευχέρειας του προηγούμενου εδαφίου, καθώς και σε κάθε περίπτωση πραγματοποίησης πράξεων που προβλέπονται από τις διατάξεις της παρ. 5 του παρόντος άρθρου,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lang w:val="el" w:eastAsia="el"/>
        </w:rPr>
        <w:t>Οι παραδόσεις κάθε είδους μεταχειρισμένων μεταφορικών μέσων δεν μπορούν να υπαχθούν στο απλοποιημένο καθεστώς της παραγράφου αυτής.</w:t>
      </w:r>
    </w:p>
    <w:p>
      <w:pPr>
        <w:pStyle w:val="MainText"/>
        <w:spacing w:before="120" w:after="0"/>
        <w:rPr>
          <w:lang w:val="el" w:eastAsia="el"/>
        </w:rPr>
      </w:pPr>
      <w:r>
        <w:rPr>
          <w:b/>
          <w:bCs/>
          <w:lang w:val="el" w:eastAsia="el"/>
        </w:rPr>
        <w:t>11.</w:t>
      </w:r>
      <w:r>
        <w:rPr>
          <w:lang w:val="el" w:eastAsia="el"/>
        </w:rPr>
        <w:t xml:space="preserve"> Ο υποκείμενος στο φόρο μεταπωλητής μπορεί να εφαρμόζει το κανονικό καθεστώς φορολογίας για παραδόσεις αγαθών της παραγράφου 1, έστω και αν πληρούνται οι προϋποθέσεις των παραγράφων 2 και 4 του άρθρου αυτού, για την εφαρμογή του ειδικού καθεστώτος του περιθωρίου κέρδους. Στην περίπτωση αυτή, ο υποκείμενος στο φόρο μεταπωλητής δύναται να εκπίπτει από το φόρο που αναλογεί στις ενεργούμενες από αυτόν πράξεις, το φόρο που επιβάρυνε τα αγαθά σύμφωνα με τις διατάξεις της παραγράφου 4 του παρόντος άρθρου.</w:t>
      </w:r>
    </w:p>
    <w:p>
      <w:pPr>
        <w:spacing w:before="240" w:after="240"/>
        <w:rPr>
          <w:lang w:val="el" w:eastAsia="el"/>
        </w:rPr>
      </w:pPr>
      <w:r>
        <w:rPr>
          <w:lang w:val="el" w:eastAsia="el"/>
        </w:rPr>
        <w:t>Το δικαίωμα έκπτωσης, κατά τις διατάξεις του προηγούμενου εδαφίου, γεννάται κατά το χρόνο που ο φόρος καθίσταται απαιτητός, σύμφωνα με τις διατάξεις των άρθρων 16 και 17.</w:t>
      </w:r>
    </w:p>
    <w:p>
      <w:pPr>
        <w:pStyle w:val="MainText"/>
        <w:spacing w:before="120" w:after="0"/>
        <w:rPr>
          <w:lang w:val="el" w:eastAsia="el"/>
        </w:rPr>
      </w:pPr>
      <w:r>
        <w:rPr>
          <w:b/>
          <w:bCs/>
          <w:lang w:val="el" w:eastAsia="el"/>
        </w:rPr>
        <w:t>12.</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καθορίζονται σαφέστερα κριτήρια για την εφαρμογή της παραγράφου 10 του άρθρου αυτού. Επίσης με αποφάσεις του Υπουργού Οικονομικών είναι δυνατόν να καθοριστούν κατώτατα όρια περιθωρίου κέρδους, για την εφαρμογή του άρθρου αυτού,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lang w:val="el" w:eastAsia="el"/>
        </w:rPr>
        <w:t xml:space="preserve"> Κατά παρέκκλιση από το άρθρο 45, στις περιπτώσεις παράδοσης μεταχειρισμένων αγαθών και αντικειμένων καλλιτεχνικής, συλλεκτικής ή αρχαιολογικής αξίας από το διοργανωτή δημοπρασίας, ο οποίος ενεργεί κατά την έννοια των διατάξεων της παραγράφου 2 του άρθρου 5, η φορολογητέα αξία προσδιορίζεται σύμφωνα με τις διατάξεις της επόμενης παραγράφου, εφόσον η παράδοση των αγαθών σε δημοπρασία ενεργείται για λογαριασμό των προσώπων, που αναφέρονται στις διατάξεις της παραγράφου 2 του άρθρου 45.</w:t>
      </w:r>
    </w:p>
    <w:p>
      <w:pPr>
        <w:pStyle w:val="MainText"/>
        <w:spacing w:before="120" w:after="0"/>
        <w:rPr>
          <w:lang w:val="el" w:eastAsia="el"/>
        </w:rPr>
      </w:pPr>
      <w:r>
        <w:rPr>
          <w:b/>
          <w:bCs/>
          <w:lang w:val="el" w:eastAsia="el"/>
        </w:rPr>
        <w:t>2.</w:t>
      </w:r>
      <w:r>
        <w:rPr>
          <w:lang w:val="el" w:eastAsia="el"/>
        </w:rPr>
        <w:t xml:space="preserve"> Ως φορολογητέα αξία, για κάθε παράδοση αγαθών της προηγούμενης παραγράφου, λαμβάνεται η αξία με την οποία ο διοργανωτής της δημοπρασίας χρεώνει τον αγοραστή, σύμφωνα με την παράγραφο 3 του παρόντος, μειωμένη:</w:t>
      </w:r>
    </w:p>
    <w:p>
      <w:pPr>
        <w:pStyle w:val="StructureList1"/>
        <w:spacing w:before="120" w:after="0"/>
        <w:rPr>
          <w:lang w:val="el" w:eastAsia="el"/>
        </w:rPr>
      </w:pPr>
      <w:r>
        <w:rPr>
          <w:lang w:val="el" w:eastAsia="el"/>
        </w:rPr>
        <w:t>α)</w:t>
      </w:r>
      <w:r>
        <w:rPr>
          <w:lang w:val="en" w:eastAsia="en"/>
        </w:rPr>
        <w:tab/>
      </w:r>
      <w:r>
        <w:rPr>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lang w:val="el" w:eastAsia="el"/>
        </w:rPr>
        <w:t>β)</w:t>
      </w:r>
      <w:r>
        <w:rPr>
          <w:lang w:val="en" w:eastAsia="en"/>
        </w:rPr>
        <w:tab/>
      </w:r>
      <w:r>
        <w:rPr>
          <w:lang w:val="el" w:eastAsia="el"/>
        </w:rPr>
        <w:t>Κατά το ποσό του φόρου που εμπεριέχεται στην προμήθεια που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lang w:val="el" w:eastAsia="el"/>
        </w:rPr>
        <w:t>Για την εφαρμογή των διατάξεων της περίπτωσης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lang w:val="el" w:eastAsia="el"/>
        </w:rPr>
        <w:t xml:space="preserve"> Ο διοργανωτής της δημοπρασίας υποχρεούται, στο φορολογικό στοιχείο που εκδίδει προς τον αγοραστή, σύμφωνα με τις διατάξεις του Κ.Β.Σ., να αναγράφει χωριστά:</w:t>
      </w:r>
    </w:p>
    <w:p>
      <w:pPr>
        <w:pStyle w:val="StructureList1"/>
        <w:spacing w:before="120" w:after="0"/>
        <w:rPr>
          <w:lang w:val="el" w:eastAsia="el"/>
        </w:rPr>
      </w:pPr>
      <w:r>
        <w:rPr>
          <w:lang w:val="el" w:eastAsia="el"/>
        </w:rPr>
        <w:t>α)</w:t>
      </w:r>
      <w:r>
        <w:rPr>
          <w:lang w:val="en" w:eastAsia="en"/>
        </w:rPr>
        <w:tab/>
      </w:r>
      <w:r>
        <w:rPr>
          <w:lang w:val="el" w:eastAsia="el"/>
        </w:rPr>
        <w:t>την τιμή κατακύρωσης του αγαθού περιλαμβανομένου και του φόρου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lang w:val="el" w:eastAsia="el"/>
        </w:rPr>
        <w:t>γ)</w:t>
      </w:r>
      <w:r>
        <w:rPr>
          <w:lang w:val="en" w:eastAsia="en"/>
        </w:rPr>
        <w:tab/>
      </w:r>
      <w:r>
        <w:rPr>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lang w:val="el" w:eastAsia="el"/>
        </w:rPr>
        <w:t xml:space="preserve"> Ο διοργανωτής της δημοπρασίας εκδίδει προς τον εντολέα του εκκαθάριση, σύμφωνα με τις διατάξεις του Κώδικα Βιβλίων και Στοιχείων.</w:t>
      </w:r>
    </w:p>
    <w:p>
      <w:pPr>
        <w:spacing w:before="240" w:after="240"/>
        <w:rPr>
          <w:lang w:val="el" w:eastAsia="el"/>
        </w:rPr>
      </w:pPr>
      <w:r>
        <w:rPr>
          <w:lang w:val="el" w:eastAsia="el"/>
        </w:rPr>
        <w:t>Στην εν λόγω εκκαθάριση, η οποία επέχει θέση τιμολογίου για τον εντολέα υποκείμενο στο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w:t>
      </w:r>
    </w:p>
    <w:p>
      <w:pPr>
        <w:spacing w:before="240" w:after="240"/>
        <w:rPr>
          <w:lang w:val="el" w:eastAsia="el"/>
        </w:rPr>
      </w:pPr>
      <w:r>
        <w:rPr>
          <w:lang w:val="el" w:eastAsia="el"/>
        </w:rPr>
        <w:t>Στην περίπτωση αυτή, στην προμήθεια που εισπράττει ο διοργανωτής της δημοπρασίας εμπεριέχεται και ο φόρος προστιθέμενης αξίας που αναλογεί σε αυτήν.</w:t>
      </w:r>
    </w:p>
    <w:p>
      <w:pPr>
        <w:pStyle w:val="MainText"/>
        <w:spacing w:before="120" w:after="0"/>
        <w:rPr>
          <w:lang w:val="el" w:eastAsia="el"/>
        </w:rPr>
      </w:pPr>
      <w:r>
        <w:rPr>
          <w:b/>
          <w:bCs/>
          <w:lang w:val="el" w:eastAsia="el"/>
        </w:rPr>
        <w:t>5.</w:t>
      </w:r>
      <w:r>
        <w:rPr>
          <w:lang w:val="el" w:eastAsia="el"/>
        </w:rPr>
        <w:t xml:space="preserve"> Ο διοργανωτής της δημοπρασίας, ο οποίος παραδίδει αγαθά με τις προϋποθέσεις της παραγράφου 1, οφείλει να καταχωρεί σε προσωρινούς λογαριασμούς στα τηρούμενα από αυτόν βιβλία του Κώδικα Βιβλίων και Στοιχείων τα παρακάτω ποσά. τα οποία πρέπει να αιτιολογούνται:</w:t>
      </w:r>
    </w:p>
    <w:p>
      <w:pPr>
        <w:pStyle w:val="StructureList1"/>
        <w:spacing w:before="120" w:after="0"/>
        <w:rPr>
          <w:lang w:val="el" w:eastAsia="el"/>
        </w:rPr>
      </w:pPr>
      <w:r>
        <w:rPr>
          <w:lang w:val="el" w:eastAsia="el"/>
        </w:rPr>
        <w:t>α)</w:t>
      </w:r>
      <w:r>
        <w:rPr>
          <w:lang w:val="en" w:eastAsia="en"/>
        </w:rPr>
        <w:tab/>
      </w:r>
      <w:r>
        <w:rPr>
          <w:lang w:val="el" w:eastAsia="el"/>
        </w:rPr>
        <w:t>τα ποσά που εισέπραξε ή θα εισπράξει από τον αγοραστή των αγαθών.</w:t>
      </w:r>
    </w:p>
    <w:p>
      <w:pPr>
        <w:pStyle w:val="StructureList1"/>
        <w:spacing w:before="120" w:after="0"/>
        <w:rPr>
          <w:lang w:val="el" w:eastAsia="el"/>
        </w:rPr>
      </w:pPr>
      <w:r>
        <w:rPr>
          <w:lang w:val="el" w:eastAsia="el"/>
        </w:rPr>
        <w:t>β)</w:t>
      </w:r>
      <w:r>
        <w:rPr>
          <w:lang w:val="en" w:eastAsia="en"/>
        </w:rPr>
        <w:tab/>
      </w:r>
      <w:r>
        <w:rPr>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lang w:val="el" w:eastAsia="el"/>
        </w:rPr>
        <w:t xml:space="preserve"> Ως χρόνος παράδοσης των αγαθών, στον υποκείμενο στο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8.</w:t>
      </w:r>
      <w:r>
        <w:rPr>
          <w:lang w:val="el" w:eastAsia="el"/>
        </w:rPr>
        <w:t xml:space="preserve"> Για την εφαρμογή των διατάξεων του άρθρου αυτού και του άρθρου 45, θεωρούνται ως:</w:t>
      </w:r>
    </w:p>
    <w:p>
      <w:pPr>
        <w:pStyle w:val="StructureList1"/>
        <w:spacing w:before="120" w:after="0"/>
        <w:rPr>
          <w:lang w:val="el" w:eastAsia="el"/>
        </w:rPr>
      </w:pPr>
      <w:r>
        <w:rPr>
          <w:lang w:val="el" w:eastAsia="el"/>
        </w:rPr>
        <w:t>α)</w:t>
      </w:r>
      <w:r>
        <w:rPr>
          <w:lang w:val="en" w:eastAsia="en"/>
        </w:rPr>
        <w:tab/>
      </w:r>
      <w:r>
        <w:rPr>
          <w:lang w:val="el" w:eastAsia="el"/>
        </w:rPr>
        <w:t>"Μεταχειρισμένα αγαθά", τα κινητά ενσώματα αγαθά</w:t>
      </w:r>
    </w:p>
    <w:p>
      <w:pPr>
        <w:spacing w:before="240" w:after="240"/>
        <w:rPr>
          <w:lang w:val="el" w:eastAsia="el"/>
        </w:rPr>
      </w:pPr>
      <w:r>
        <w:rPr>
          <w:lang w:val="el" w:eastAsia="el"/>
        </w:rPr>
        <w:t>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lang w:val="el" w:eastAsia="el"/>
        </w:rPr>
        <w:t>β)</w:t>
      </w:r>
      <w:r>
        <w:rPr>
          <w:lang w:val="en" w:eastAsia="en"/>
        </w:rPr>
        <w:tab/>
      </w:r>
      <w:r>
        <w:rPr>
          <w:lang w:val="el" w:eastAsia="el"/>
        </w:rPr>
        <w:t>"Υποκείμενος στο φόρο μεταπωλητής", ο υποκείμενος στο φόρο κατά την έννοια των διατάξεων του άρθρου 3, ο οποίος στα πλαίσια άσκησης της οικονομικής του δραστηριότητας εισάγει, αγοράζει ή διαθέτει για τις ανάγκες της επιχείρησης του, με σκοπό τη μεταπώληση τους, μεταχειρισμένα αγαθά ή και αντικείμενα καλλιτεχνικής, συλλεκτικής ή αρχαιολογικής αξίας, είτε ενεργεί για ίδιο λογαριασμό είτε για λογαριασμό τρίτου, κατά την έννοια των διατάξεων της παραγράφου 2 του άρθρου 5.</w:t>
      </w:r>
    </w:p>
    <w:p>
      <w:pPr>
        <w:pStyle w:val="StructureList1"/>
        <w:spacing w:before="120" w:after="0"/>
        <w:rPr>
          <w:lang w:val="el" w:eastAsia="el"/>
        </w:rPr>
      </w:pPr>
      <w:r>
        <w:rPr>
          <w:lang w:val="el" w:eastAsia="el"/>
        </w:rPr>
        <w:t>γ)</w:t>
      </w:r>
      <w:r>
        <w:rPr>
          <w:lang w:val="en" w:eastAsia="en"/>
        </w:rPr>
        <w:tab/>
      </w:r>
      <w:r>
        <w:rPr>
          <w:lang w:val="el" w:eastAsia="el"/>
        </w:rPr>
        <w:t>"Διοργανωτής δημοπρασίας", ο υποκείμενος στο φόρο κατά την έννοια του άρθρου 3, ο οποίος στα πλαίσια άσκησης της οικονομικής του δραστηριότητας, θέτει ένα αγαθό προς πώληση σε δημοπρασία με σκοπό την παράδοση του, στον πλειοδότη.</w:t>
      </w:r>
    </w:p>
    <w:p>
      <w:pPr>
        <w:pStyle w:val="StructureList1"/>
        <w:spacing w:before="120" w:after="0"/>
        <w:rPr>
          <w:lang w:val="el" w:eastAsia="el"/>
        </w:rPr>
      </w:pPr>
      <w:r>
        <w:rPr>
          <w:lang w:val="el" w:eastAsia="el"/>
        </w:rPr>
        <w:t>δ)</w:t>
      </w:r>
      <w:r>
        <w:rPr>
          <w:lang w:val="en" w:eastAsia="en"/>
        </w:rPr>
        <w:tab/>
      </w:r>
      <w:r>
        <w:rPr>
          <w:lang w:val="el" w:eastAsia="el"/>
        </w:rPr>
        <w:t>"Εντολέας διοργανωτή δημοπρασίας", το πρόσωπο το οποίο μεταβιβάζει αγαθό σε διοργανωτή δημοπρασίας, με σκοπό την παράδοση του, σύμφωνα με τις διατάξεις της παραγράφου 2 του άρθρου 5.</w:t>
      </w:r>
    </w:p>
    <w:p>
      <w:pPr>
        <w:pStyle w:val="MainText"/>
        <w:spacing w:before="120" w:after="0"/>
        <w:rPr>
          <w:lang w:val="el" w:eastAsia="el"/>
        </w:rPr>
      </w:pPr>
      <w:r>
        <w:rPr>
          <w:b/>
          <w:bCs/>
          <w:lang w:val="el" w:eastAsia="el"/>
        </w:rPr>
        <w:t>9.</w:t>
      </w:r>
      <w:r>
        <w:rPr>
          <w:lang w:val="el" w:eastAsia="el"/>
        </w:rPr>
        <w:t xml:space="preserve"> Με αποφάσεις του Υπ. Οικονομικών ρυθμίζεται η διαδικασία και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όσον αφορά επενδυτικό χρυσό.</w:t>
      </w:r>
    </w:p>
    <w:p>
      <w:pPr>
        <w:pStyle w:val="StructureList1"/>
        <w:spacing w:before="120" w:after="0"/>
        <w:rPr>
          <w:lang w:val="el" w:eastAsia="el"/>
        </w:rPr>
      </w:pPr>
      <w:r>
        <w:rPr>
          <w:lang w:val="el" w:eastAsia="el"/>
        </w:rPr>
        <w:t>β)</w:t>
      </w:r>
      <w:r>
        <w:rPr>
          <w:lang w:val="en" w:eastAsia="en"/>
        </w:rPr>
        <w:tab/>
      </w:r>
      <w:r>
        <w:rPr>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lang w:val="el" w:eastAsia="el"/>
        </w:rPr>
        <w:t>α)</w:t>
      </w:r>
      <w:r>
        <w:rPr>
          <w:lang w:val="en" w:eastAsia="en"/>
        </w:rPr>
        <w:tab/>
      </w:r>
      <w:r>
        <w:rPr>
          <w:lang w:val="el" w:eastAsia="el"/>
        </w:rPr>
        <w:t>Ο χρυσός υπό μορφή ράβδου ή πλάκας, βάρους αποδεκτού από τις αγορές πολύτιμων μετάλλων, καθαρότητας τουλάχιστον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lang w:val="el" w:eastAsia="el"/>
        </w:rPr>
        <w:t>β)</w:t>
      </w:r>
      <w:r>
        <w:rPr>
          <w:lang w:val="en" w:eastAsia="en"/>
        </w:rPr>
        <w:tab/>
      </w:r>
      <w:r>
        <w:rPr>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είναι καθαρότητας τουλάχιστον 900 χιλιοστών.</w:t>
      </w:r>
    </w:p>
    <w:p>
      <w:pPr>
        <w:pStyle w:val="StructureList1"/>
        <w:spacing w:before="120" w:after="0"/>
        <w:rPr>
          <w:lang w:val="el" w:eastAsia="el"/>
        </w:rPr>
      </w:pPr>
      <w:r>
        <w:rPr>
          <w:lang w:val="el" w:eastAsia="el"/>
        </w:rPr>
        <w:t>-</w:t>
      </w:r>
      <w:r>
        <w:rPr>
          <w:lang w:val="en" w:eastAsia="en"/>
        </w:rPr>
        <w:tab/>
      </w:r>
      <w:r>
        <w:rPr>
          <w:lang w:val="el" w:eastAsia="el"/>
        </w:rPr>
        <w:t>έχουν κοπεί μετά το έτος 1800,</w:t>
      </w:r>
    </w:p>
    <w:p>
      <w:pPr>
        <w:pStyle w:val="StructureList1"/>
        <w:spacing w:before="120" w:after="0"/>
        <w:rPr>
          <w:lang w:val="el" w:eastAsia="el"/>
        </w:rPr>
      </w:pPr>
      <w:r>
        <w:rPr>
          <w:lang w:val="el" w:eastAsia="el"/>
        </w:rPr>
        <w:t>-</w:t>
      </w:r>
      <w:r>
        <w:rPr>
          <w:lang w:val="en" w:eastAsia="en"/>
        </w:rPr>
        <w:tab/>
      </w:r>
      <w:r>
        <w:rPr>
          <w:lang w:val="el" w:eastAsia="el"/>
        </w:rPr>
        <w:t>αποτελούν ή έχουν αποτελέσει νόμιμο χρήμα στη χώρα προέλευσης τους και</w:t>
      </w:r>
    </w:p>
    <w:p>
      <w:pPr>
        <w:pStyle w:val="StructureList1"/>
        <w:spacing w:before="120" w:after="0"/>
        <w:rPr>
          <w:lang w:val="el" w:eastAsia="el"/>
        </w:rPr>
      </w:pPr>
      <w:r>
        <w:rPr>
          <w:lang w:val="el" w:eastAsia="el"/>
        </w:rPr>
        <w:t>-</w:t>
      </w:r>
      <w:r>
        <w:rPr>
          <w:lang w:val="en" w:eastAsia="en"/>
        </w:rPr>
        <w:tab/>
      </w:r>
      <w:r>
        <w:rPr>
          <w:lang w:val="el" w:eastAsia="el"/>
        </w:rPr>
        <w:t>πωλούνται υπό κανονικές συνθήκες σε τιμή η οποία δεν υπερβαίνει κατά ποσοστό άνω του 80% την αξία της ελεύθερης αγοράς του χρυσού ο οποίος περιέχεται στα νομίσματα. Τα νομίσματα που ανταποκρίνονται σης ανωτέρω προϋποθέσεις περιλαμβάνονται σε κατάλογο που δημοσιεύεται στην Επίσημη Εφημερίδα των Ευρωπαϊκών Κοινοτήτων,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lang w:val="el" w:eastAsia="el"/>
        </w:rPr>
        <w:t xml:space="preserve"> Οι υποκείμενοι στο φόρο που παράγουν επενδυτικό χρυσό ή μεταποιούν κάθε είδους χρυσό σε επενδυτικό, όπως αυτός ορίζεται στην παράγραφο 2 του παρόντος άρθρου, μπορούν να επιλέγουν τη φορολόγηση της παράδοσης του επενδυτικού χρυσού σε άλλο πρόσωπο υποκείμενο στο φόρο. Στην περίπτωση αυτή, δικαίωμα επιλογής έχουν και τα πρόσωπα της περίπτωσης β' της παραγράφου 1 του παρόντος άρθρου, για τη φορολόγηση των πράξεων μεσολάβησής τους σε πράξεις παράδοσης επενδυτικού χρυσού, για τις οποίες ο προμηθευτής - εντολέας έχει επιλέξει τη φορολόγησή τους.</w:t>
      </w:r>
    </w:p>
    <w:p>
      <w:pPr>
        <w:spacing w:before="240" w:after="240"/>
        <w:rPr>
          <w:lang w:val="el" w:eastAsia="el"/>
        </w:rPr>
      </w:pPr>
      <w:r>
        <w:rPr>
          <w:lang w:val="el" w:eastAsia="el"/>
        </w:rPr>
        <w:t>Οι προϋποθέσεις άσκησης του δικαιώματος επιλογής φορολόγησης καθορίζονται με αποφάσεις του Υπουργού Οικονομικών.</w:t>
      </w:r>
      <w:r>
        <w:rPr>
          <w:rStyle w:val="Hyperlink"/>
          <w:color w:val="000000"/>
          <w:sz w:val="20"/>
          <w:szCs w:val="20"/>
          <w:u w:val="none" w:color="0000EE"/>
          <w:vertAlign w:val="superscript"/>
          <w:lang w:val="el" w:eastAsia="el"/>
        </w:rPr>
        <w:footnoteReference w:id="493"/>
      </w:r>
    </w:p>
    <w:p>
      <w:pPr>
        <w:pStyle w:val="MainText"/>
        <w:spacing w:before="120" w:after="0"/>
        <w:rPr>
          <w:lang w:val="el" w:eastAsia="el"/>
        </w:rPr>
      </w:pPr>
      <w:r>
        <w:rPr>
          <w:b/>
          <w:bCs/>
          <w:lang w:val="el" w:eastAsia="el"/>
        </w:rPr>
        <w:t>4.</w:t>
      </w:r>
      <w:r>
        <w:rPr>
          <w:lang w:val="el" w:eastAsia="el"/>
        </w:rPr>
        <w:t xml:space="preserve"> Οι υποκείμενοι στο φόρο που ενεργούν τις πράξεις της περίπτωσης α΄ της παραγράφου 1 δεν έχουν δικαίωμα έκπτωσης του φόρου των εισροών τους, εκτός αυτού:</w:t>
      </w:r>
    </w:p>
    <w:p>
      <w:pPr>
        <w:pStyle w:val="StructureList1"/>
        <w:spacing w:before="120" w:after="0"/>
        <w:rPr>
          <w:lang w:val="el" w:eastAsia="el"/>
        </w:rPr>
      </w:pPr>
      <w:r>
        <w:rPr>
          <w:lang w:val="el" w:eastAsia="el"/>
        </w:rPr>
        <w:t>α)</w:t>
      </w:r>
      <w:r>
        <w:rPr>
          <w:lang w:val="en" w:eastAsia="en"/>
        </w:rPr>
        <w:tab/>
      </w:r>
      <w:r>
        <w:rPr>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 φόρο του παρόντος νόμου, σύμφωνα με τις διατάξεις της παραγράφου 3 του ιδίου άρθρου,</w:t>
      </w:r>
    </w:p>
    <w:p>
      <w:pPr>
        <w:pStyle w:val="StructureList1"/>
        <w:spacing w:before="120" w:after="0"/>
        <w:rPr>
          <w:lang w:val="el" w:eastAsia="el"/>
        </w:rPr>
      </w:pPr>
      <w:r>
        <w:rPr>
          <w:lang w:val="el" w:eastAsia="el"/>
        </w:rPr>
        <w:t>β)</w:t>
      </w:r>
      <w:r>
        <w:rPr>
          <w:lang w:val="en" w:eastAsia="en"/>
        </w:rPr>
        <w:tab/>
      </w:r>
      <w:r>
        <w:rPr>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 τον υποκείμενο ή από άλλο πρόσωπο για λογαριασμό του,</w:t>
      </w:r>
    </w:p>
    <w:p>
      <w:pPr>
        <w:pStyle w:val="StructureList1"/>
        <w:spacing w:before="120" w:after="0"/>
        <w:rPr>
          <w:lang w:val="el" w:eastAsia="el"/>
        </w:rPr>
      </w:pPr>
      <w:r>
        <w:rPr>
          <w:lang w:val="el" w:eastAsia="el"/>
        </w:rPr>
        <w:t>γ)</w:t>
      </w:r>
      <w:r>
        <w:rPr>
          <w:lang w:val="en" w:eastAsia="en"/>
        </w:rPr>
        <w:tab/>
      </w:r>
      <w:r>
        <w:rPr>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lang w:val="el" w:eastAsia="el"/>
        </w:rPr>
        <w:t>δ)</w:t>
      </w:r>
      <w:r>
        <w:rPr>
          <w:lang w:val="en" w:eastAsia="en"/>
        </w:rPr>
        <w:tab/>
      </w:r>
      <w:r>
        <w:rPr>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εάν φορολογείτο πλήρως ή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lang w:val="el" w:eastAsia="el"/>
        </w:rPr>
        <w:t xml:space="preserve"> Οι υποκείμενοι της παραγράφου 1, πέραν των υποχρεώσεων τους που προβλέπονται από άλλες διατάξεις, υποχρεούνται, επίσης, για τις πωλήσεις επενδυτικού χρυσού να εφαρμόζουν τις διατάξεις του Π.Δ. 186/1992 (ΦΕΚ 84 Α΄) για την πώληση αγαθών.</w:t>
      </w:r>
    </w:p>
    <w:p>
      <w:pPr>
        <w:spacing w:before="240" w:after="240"/>
        <w:rPr>
          <w:lang w:val="el" w:eastAsia="el"/>
        </w:rPr>
      </w:pPr>
      <w:r>
        <w:rPr>
          <w:lang w:val="el" w:eastAsia="el"/>
        </w:rPr>
        <w:t>Ειδικότερα, στα προβλεπόμενα στοιχεία του άρθρου 13 του π.δ. 186/1992, για τις πωλήσεις επενδυτικού χρυσού αναγράφονται, εκτός των άλλων, το ονοματεπώνυμο και η διεύθυνση του αγοραστή, η ποσότητα και το είδος του επενδυτικού χρυσού, ανεξαρτήτως της αξίας της συναλλαγής.</w:t>
      </w:r>
    </w:p>
    <w:p>
      <w:pPr>
        <w:spacing w:before="240" w:after="240"/>
        <w:rPr>
          <w:lang w:val="el" w:eastAsia="el"/>
        </w:rPr>
      </w:pPr>
      <w:r>
        <w:rPr>
          <w:lang w:val="el" w:eastAsia="el"/>
        </w:rPr>
        <w:t>Ειδικά, στην περίπτωση πωλήσεων χρυσών νομισμάτων, που πληρούν τα κριτήρια της περίπτωσης β΄ της παραγράφου 2 του παρόντος άρθρου, οι υποκείμενοι υποχρεούνται. επιπλέον, να υποβάλλουν στο Υπουργείο Οικονομικών, Διεύθυνση Φ.Π.Α., κατάλογο μετά νομίσματα που αποτέλεσαν αντικείμενο των συναλλαγών τους αναφέροντας την τελευταία τιμή που επιτεύχθηκε πριν την 1η Απριλίου εκάστου έτους.</w:t>
      </w:r>
      <w:r>
        <w:rPr>
          <w:rStyle w:val="Hyperlink"/>
          <w:color w:val="000000"/>
          <w:sz w:val="20"/>
          <w:szCs w:val="20"/>
          <w:u w:val="none" w:color="0000EE"/>
          <w:vertAlign w:val="superscript"/>
          <w:lang w:val="el" w:eastAsia="el"/>
        </w:rPr>
        <w:footnoteReference w:id="494"/>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ρυθμίζεται κάθε λεπτομέρεια για την εφαρμογή των διατάξεων του παρόντος άρθρου.</w:t>
      </w:r>
    </w:p>
    <w:p>
      <w:pPr>
        <w:pStyle w:val="Heading6"/>
        <w:spacing w:before="240" w:after="240"/>
        <w:rPr>
          <w:lang w:val="el" w:eastAsia="el"/>
        </w:rPr>
      </w:pPr>
      <w:r>
        <w:rPr>
          <w:b/>
          <w:bCs/>
          <w:lang w:val="el" w:eastAsia="el"/>
        </w:rPr>
        <w:t>Άρθρο 47α</w:t>
      </w:r>
    </w:p>
    <w:p>
      <w:pPr>
        <w:pStyle w:val="Heading6"/>
        <w:spacing w:before="240" w:after="240"/>
        <w:rPr>
          <w:lang w:val="el" w:eastAsia="el"/>
        </w:rPr>
      </w:pPr>
      <w:r>
        <w:rPr>
          <w:b/>
          <w:bCs/>
          <w:lang w:val="el" w:eastAsia="el"/>
        </w:rPr>
        <w:t>Γενικός ορισμός για την εφαρμογή των ειδικών καθεστώτων με τα άρθρα 47β και 47γ.</w:t>
      </w:r>
      <w:r>
        <w:rPr>
          <w:rStyle w:val="Hyperlink"/>
          <w:color w:val="000000"/>
          <w:sz w:val="20"/>
          <w:szCs w:val="20"/>
          <w:u w:val="none" w:color="0000EE"/>
          <w:vertAlign w:val="superscript"/>
          <w:lang w:val="el" w:eastAsia="el"/>
        </w:rPr>
        <w:footnoteReference w:id="495"/>
      </w:r>
    </w:p>
    <w:p>
      <w:pPr>
        <w:spacing w:before="240" w:after="240"/>
        <w:rPr>
          <w:lang w:val="el" w:eastAsia="el"/>
        </w:rPr>
      </w:pPr>
      <w:r>
        <w:rPr>
          <w:lang w:val="el" w:eastAsia="el"/>
        </w:rPr>
        <w:t>Για τους σκοπούς εφαρμογής των άρθρων 47β, 47γ και 47δ νοείται ως «δήλωση ΦΠΑ» η ενιαία δήλωση που περιλαμβάνει τις απαραίτητες πληροφορίες για τον προσδιορισμό του ποσού του ΦΠΑ που οφείλεται σε κάθε κράτος μέλος.</w:t>
      </w:r>
      <w:r>
        <w:rPr>
          <w:rStyle w:val="Hyperlink"/>
          <w:color w:val="000000"/>
          <w:sz w:val="20"/>
          <w:szCs w:val="20"/>
          <w:u w:val="none" w:color="0000EE"/>
          <w:vertAlign w:val="superscript"/>
          <w:lang w:val="el" w:eastAsia="el"/>
        </w:rPr>
        <w:footnoteReference w:id="496"/>
      </w:r>
    </w:p>
    <w:p>
      <w:pPr>
        <w:pStyle w:val="Heading6"/>
        <w:spacing w:before="240" w:after="240"/>
        <w:rPr>
          <w:lang w:val="el" w:eastAsia="el"/>
        </w:rPr>
      </w:pPr>
      <w:r>
        <w:rPr>
          <w:b/>
          <w:bCs/>
          <w:lang w:val="el" w:eastAsia="el"/>
        </w:rPr>
        <w:t>Άρθρο 47β</w:t>
      </w:r>
    </w:p>
    <w:p>
      <w:pPr>
        <w:pStyle w:val="Heading6"/>
        <w:spacing w:before="240" w:after="240"/>
        <w:rPr>
          <w:lang w:val="el" w:eastAsia="el"/>
        </w:rPr>
      </w:pPr>
      <w:r>
        <w:rPr>
          <w:b/>
          <w:bCs/>
          <w:lang w:val="el" w:eastAsia="el"/>
        </w:rPr>
        <w:t xml:space="preserve">Ειδικό καθεστώς για τηλεπικοινωνιακές, ραδιοφωνικές και τηλεοπτικές ή ηλεκτρονικές υπηρεσίες που παρέχονται από υποκείμενους στο φόρο μη εγκατεστημένους εντός της Ενωσης </w:t>
      </w:r>
      <w:r>
        <w:rPr>
          <w:rStyle w:val="Hyperlink"/>
          <w:b/>
          <w:bCs/>
          <w:color w:val="000000"/>
          <w:sz w:val="20"/>
          <w:szCs w:val="20"/>
          <w:u w:val="none" w:color="0000EE"/>
          <w:vertAlign w:val="superscript"/>
          <w:lang w:val="el" w:eastAsia="el"/>
        </w:rPr>
        <w:footnoteReference w:id="497"/>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498"/>
      </w:r>
    </w:p>
    <w:p>
      <w:pPr>
        <w:pStyle w:val="StructureList1"/>
        <w:spacing w:before="120" w:after="0"/>
        <w:rPr>
          <w:lang w:val="el" w:eastAsia="el"/>
        </w:rPr>
      </w:pPr>
      <w:r>
        <w:rPr>
          <w:b/>
          <w:bCs/>
          <w:lang w:val="el" w:eastAsia="el"/>
        </w:rPr>
        <w:t>α)</w:t>
      </w:r>
      <w:r>
        <w:rPr>
          <w:b/>
          <w:bCs/>
          <w:lang w:val="en" w:eastAsia="en"/>
        </w:rPr>
        <w:tab/>
      </w:r>
      <w:r>
        <w:rPr>
          <w:b/>
          <w:bCs/>
          <w:lang w:val="el" w:eastAsia="el"/>
        </w:rPr>
        <w:t>«μη εγκατεστημένος στην Ένωση υποκείμενος στον φόρο», ο υποκείμενος στον φόρο που δεν έχει την έδρα της οικονομικής δραστηριότητάς του, ούτε διαθέτει μόνιμη εγκατάσταση στο έδαφος της Ευρωπαϊκής Ένωσης,</w:t>
      </w:r>
      <w:r>
        <w:rPr>
          <w:rStyle w:val="Hyperlink"/>
          <w:b/>
          <w:bCs/>
          <w:color w:val="000000"/>
          <w:sz w:val="20"/>
          <w:szCs w:val="20"/>
          <w:u w:val="none" w:color="0000EE"/>
          <w:vertAlign w:val="superscript"/>
          <w:lang w:val="el" w:eastAsia="el"/>
        </w:rPr>
        <w:footnoteReference w:id="499"/>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μέλος εγγραφής», το κράτος μέλος το οποίο επιλέγει ο μη εγκατεστημένος υποκείμενος στον φόρο για να δηλώσει την έναρξη της δραστηριότητάς του ως υποκείμενου στον φόρο στο έδαφος της Ένωσης, σύμφωνα με τις διατάξεις του παρόντος καθεστώτος,</w:t>
      </w:r>
      <w:r>
        <w:rPr>
          <w:rStyle w:val="Hyperlink"/>
          <w:b/>
          <w:bCs/>
          <w:color w:val="000000"/>
          <w:sz w:val="20"/>
          <w:szCs w:val="20"/>
          <w:u w:val="none" w:color="0000EE"/>
          <w:vertAlign w:val="superscript"/>
          <w:lang w:val="el" w:eastAsia="el"/>
        </w:rPr>
        <w:footnoteReference w:id="500"/>
      </w:r>
    </w:p>
    <w:p>
      <w:pPr>
        <w:pStyle w:val="StructureList1"/>
        <w:spacing w:before="120" w:after="0"/>
        <w:rPr>
          <w:lang w:val="el" w:eastAsia="el"/>
        </w:rPr>
      </w:pPr>
      <w:r>
        <w:rPr>
          <w:b/>
          <w:bCs/>
          <w:lang w:val="el" w:eastAsia="el"/>
        </w:rPr>
        <w:t>γ)</w:t>
      </w:r>
      <w:r>
        <w:rPr>
          <w:b/>
          <w:bCs/>
          <w:lang w:val="en" w:eastAsia="en"/>
        </w:rPr>
        <w:tab/>
      </w:r>
      <w:r>
        <w:rPr>
          <w:b/>
          <w:bCs/>
          <w:lang w:val="el" w:eastAsia="el"/>
        </w:rPr>
        <w:t>«κράτος μέλος κατανάλωσης», το κράτος μέλος στο οποίο θεωρείται ότι πραγματοποιείται η παροχή υπηρεσιών σύμφωνα με το άρθρο 14.</w:t>
      </w:r>
      <w:r>
        <w:rPr>
          <w:rStyle w:val="Hyperlink"/>
          <w:b/>
          <w:bCs/>
          <w:color w:val="000000"/>
          <w:sz w:val="20"/>
          <w:szCs w:val="20"/>
          <w:u w:val="none" w:color="0000EE"/>
          <w:vertAlign w:val="superscript"/>
          <w:lang w:val="el" w:eastAsia="el"/>
        </w:rPr>
        <w:footnoteReference w:id="501"/>
      </w:r>
    </w:p>
    <w:p>
      <w:pPr>
        <w:pStyle w:val="MainText"/>
        <w:spacing w:before="120" w:after="0"/>
        <w:rPr>
          <w:lang w:val="el" w:eastAsia="el"/>
        </w:rPr>
      </w:pPr>
      <w:r>
        <w:rPr>
          <w:b/>
          <w:bCs/>
          <w:lang w:val="el" w:eastAsia="el"/>
        </w:rPr>
        <w:t>2.</w:t>
      </w:r>
      <w:r>
        <w:rPr>
          <w:b/>
          <w:bCs/>
          <w:lang w:val="el" w:eastAsia="el"/>
        </w:rPr>
        <w:t xml:space="preserve"> Επιτρέπεται σε κάθε μη εγκατεστημένο στην Ένωση υποκείμενο στον φόρο, ο οποίος παρέχει υπηρεσίες σε μη υποκείμενους στον φόρο που είναι εγκατεστημένοι ή έχουν τον τόπο της κατοικίας τους ή της συνήθους διαμονής τους στην Ελλάδα ή σε οποιοδήποτε άλλο κράτος μέλος, να χρησιμοποιεί το παρόν ειδικό καθεστώς και να επιλέγει ως κράτος μέλος εγγραφής την Ελλάδα. Το ειδικό καθεστώς ισχύει υποχρεωτικά για το σύνολο των ανωτέρω υπηρεσιών που πραγματοποιούνται εντός της Ένωσης.</w:t>
      </w:r>
      <w:r>
        <w:rPr>
          <w:rStyle w:val="Hyperlink"/>
          <w:b/>
          <w:bCs/>
          <w:color w:val="000000"/>
          <w:sz w:val="20"/>
          <w:szCs w:val="20"/>
          <w:u w:val="none" w:color="0000EE"/>
          <w:vertAlign w:val="superscript"/>
          <w:lang w:val="el" w:eastAsia="el"/>
        </w:rPr>
        <w:footnoteReference w:id="502"/>
      </w:r>
    </w:p>
    <w:p>
      <w:pPr>
        <w:pStyle w:val="MainText"/>
        <w:spacing w:before="120" w:after="0"/>
        <w:rPr>
          <w:lang w:val="el" w:eastAsia="el"/>
        </w:rPr>
      </w:pPr>
      <w:r>
        <w:rPr>
          <w:b/>
          <w:bCs/>
          <w:lang w:val="el" w:eastAsia="el"/>
        </w:rPr>
        <w:t>3.</w:t>
      </w:r>
      <w:r>
        <w:rPr>
          <w:b/>
          <w:bCs/>
          <w:lang w:val="el" w:eastAsia="el"/>
        </w:rPr>
        <w:t xml:space="preserve"> Ο υποκείμενος στον φόρο της παρ. 2 υποχρεούται να υποβάλει, με ηλεκτρονικά μέσα, δήλωση έναρξης και παύσης των δραστηριοτήτων του που υπάγονται στο ειδικό αυτό καθεστώς ή μεταβολής αυτών, κατά τρόπον ώστε να μην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503"/>
      </w:r>
    </w:p>
    <w:p>
      <w:pPr>
        <w:pStyle w:val="MainText"/>
        <w:spacing w:before="120" w:after="0"/>
        <w:rPr>
          <w:lang w:val="el" w:eastAsia="el"/>
        </w:rPr>
      </w:pPr>
      <w:r>
        <w:rPr>
          <w:b/>
          <w:bCs/>
          <w:lang w:val="el" w:eastAsia="el"/>
        </w:rPr>
        <w:t>4.</w:t>
      </w:r>
      <w:r>
        <w:rPr>
          <w:b/>
          <w:bCs/>
          <w:lang w:val="el" w:eastAsia="el"/>
        </w:rPr>
        <w:t xml:space="preserve"> Οι πληροφορίες που πρέπει να παρέχει ο υποκείμενος στον φόρο της παρ. 2, κατά την έναρξη της δραστηριότητάς του, περιλαμβάνουν τα ακόλουθα στοιχεία:</w:t>
      </w:r>
      <w:r>
        <w:rPr>
          <w:rStyle w:val="Hyperlink"/>
          <w:b/>
          <w:bCs/>
          <w:color w:val="000000"/>
          <w:sz w:val="20"/>
          <w:szCs w:val="20"/>
          <w:u w:val="none" w:color="0000EE"/>
          <w:vertAlign w:val="superscript"/>
          <w:lang w:val="el" w:eastAsia="el"/>
        </w:rPr>
        <w:footnoteReference w:id="504"/>
      </w:r>
    </w:p>
    <w:p>
      <w:pPr>
        <w:pStyle w:val="StructureList1"/>
        <w:spacing w:before="120" w:after="0"/>
        <w:rPr>
          <w:lang w:val="el" w:eastAsia="el"/>
        </w:rPr>
      </w:pPr>
      <w:r>
        <w:rPr>
          <w:b/>
          <w:bCs/>
          <w:lang w:val="el" w:eastAsia="el"/>
        </w:rPr>
        <w:t>α)</w:t>
      </w:r>
      <w:r>
        <w:rPr>
          <w:b/>
          <w:bCs/>
          <w:lang w:val="en" w:eastAsia="en"/>
        </w:rPr>
        <w:tab/>
      </w:r>
      <w:r>
        <w:rPr>
          <w:b/>
          <w:bCs/>
          <w:lang w:val="el" w:eastAsia="el"/>
        </w:rPr>
        <w:t>το ονοματεπώνυμο ή την επωνυμία του,</w:t>
      </w:r>
      <w:r>
        <w:rPr>
          <w:rStyle w:val="Hyperlink"/>
          <w:b/>
          <w:bCs/>
          <w:color w:val="000000"/>
          <w:sz w:val="20"/>
          <w:szCs w:val="20"/>
          <w:u w:val="none" w:color="0000EE"/>
          <w:vertAlign w:val="superscript"/>
          <w:lang w:val="el" w:eastAsia="el"/>
        </w:rPr>
        <w:footnoteReference w:id="505"/>
      </w:r>
    </w:p>
    <w:p>
      <w:pPr>
        <w:pStyle w:val="StructureList1"/>
        <w:spacing w:before="120" w:after="0"/>
        <w:rPr>
          <w:lang w:val="el" w:eastAsia="el"/>
        </w:rPr>
      </w:pPr>
      <w:r>
        <w:rPr>
          <w:b/>
          <w:bCs/>
          <w:lang w:val="el" w:eastAsia="el"/>
        </w:rPr>
        <w:t>β)</w:t>
      </w:r>
      <w:r>
        <w:rPr>
          <w:b/>
          <w:bCs/>
          <w:lang w:val="en" w:eastAsia="en"/>
        </w:rPr>
        <w:tab/>
      </w:r>
      <w:r>
        <w:rPr>
          <w:b/>
          <w:bCs/>
          <w:lang w:val="el" w:eastAsia="el"/>
        </w:rPr>
        <w:t>την ταχυδρομική διεύθυνσή του,</w:t>
      </w:r>
      <w:r>
        <w:rPr>
          <w:rStyle w:val="Hyperlink"/>
          <w:b/>
          <w:bCs/>
          <w:color w:val="000000"/>
          <w:sz w:val="20"/>
          <w:szCs w:val="20"/>
          <w:u w:val="none" w:color="0000EE"/>
          <w:vertAlign w:val="superscript"/>
          <w:lang w:val="el" w:eastAsia="el"/>
        </w:rPr>
        <w:footnoteReference w:id="506"/>
      </w:r>
    </w:p>
    <w:p>
      <w:pPr>
        <w:pStyle w:val="StructureList1"/>
        <w:spacing w:before="120" w:after="0"/>
        <w:rPr>
          <w:lang w:val="el" w:eastAsia="el"/>
        </w:rPr>
      </w:pPr>
      <w:r>
        <w:rPr>
          <w:b/>
          <w:bCs/>
          <w:lang w:val="el" w:eastAsia="el"/>
        </w:rPr>
        <w:t>γ)</w:t>
      </w:r>
      <w:r>
        <w:rPr>
          <w:b/>
          <w:bCs/>
          <w:lang w:val="en" w:eastAsia="en"/>
        </w:rPr>
        <w:tab/>
      </w:r>
      <w:r>
        <w:rPr>
          <w:b/>
          <w:bCs/>
          <w:lang w:val="el" w:eastAsia="el"/>
        </w:rPr>
        <w:t>τις ηλεκτρονικές διευθύνσεις και ιστοσελίδες που διαθέτει στο διαδίκτυο,</w:t>
      </w:r>
      <w:r>
        <w:rPr>
          <w:rStyle w:val="Hyperlink"/>
          <w:b/>
          <w:bCs/>
          <w:color w:val="000000"/>
          <w:sz w:val="20"/>
          <w:szCs w:val="20"/>
          <w:u w:val="none" w:color="0000EE"/>
          <w:vertAlign w:val="superscript"/>
          <w:lang w:val="el" w:eastAsia="el"/>
        </w:rPr>
        <w:footnoteReference w:id="507"/>
      </w:r>
    </w:p>
    <w:p>
      <w:pPr>
        <w:pStyle w:val="StructureList1"/>
        <w:spacing w:before="120" w:after="0"/>
        <w:rPr>
          <w:lang w:val="el" w:eastAsia="el"/>
        </w:rPr>
      </w:pPr>
      <w:r>
        <w:rPr>
          <w:b/>
          <w:bCs/>
          <w:lang w:val="el" w:eastAsia="el"/>
        </w:rPr>
        <w:t>δ)</w:t>
      </w:r>
      <w:r>
        <w:rPr>
          <w:b/>
          <w:bCs/>
          <w:lang w:val="en" w:eastAsia="en"/>
        </w:rPr>
        <w:tab/>
      </w:r>
      <w:r>
        <w:rPr>
          <w:b/>
          <w:bCs/>
          <w:lang w:val="el" w:eastAsia="el"/>
        </w:rPr>
        <w:t>αριθμό φορολογικού μητρώου που του χορηγήθηκε στη χώρα του, εφόσον από τη νομοθεσία της χώρας του προβλέπεται η έκδοση ΑΦΜ,</w:t>
      </w:r>
      <w:r>
        <w:rPr>
          <w:rStyle w:val="Hyperlink"/>
          <w:b/>
          <w:bCs/>
          <w:color w:val="000000"/>
          <w:sz w:val="20"/>
          <w:szCs w:val="20"/>
          <w:u w:val="none" w:color="0000EE"/>
          <w:vertAlign w:val="superscript"/>
          <w:lang w:val="el" w:eastAsia="el"/>
        </w:rPr>
        <w:footnoteReference w:id="508"/>
      </w:r>
    </w:p>
    <w:p>
      <w:pPr>
        <w:pStyle w:val="StructureList1"/>
        <w:spacing w:before="120" w:after="0"/>
        <w:rPr>
          <w:lang w:val="el" w:eastAsia="el"/>
        </w:rPr>
      </w:pPr>
      <w:r>
        <w:rPr>
          <w:b/>
          <w:bCs/>
          <w:lang w:val="el" w:eastAsia="el"/>
        </w:rPr>
        <w:t>ε)</w:t>
      </w:r>
      <w:r>
        <w:rPr>
          <w:b/>
          <w:bCs/>
          <w:lang w:val="en" w:eastAsia="en"/>
        </w:rPr>
        <w:tab/>
      </w:r>
      <w:r>
        <w:rPr>
          <w:b/>
          <w:bCs/>
          <w:lang w:val="el" w:eastAsia="el"/>
        </w:rPr>
        <w:t>δήλωση ότι δεν έχει την έδρα της οικονομικής δραστηριότητάς του ούτε διαθέτει μόνιμη εγκατάσταση στο έδαφος της Ένωσης.</w:t>
      </w:r>
      <w:r>
        <w:rPr>
          <w:rStyle w:val="Hyperlink"/>
          <w:b/>
          <w:bCs/>
          <w:color w:val="000000"/>
          <w:sz w:val="20"/>
          <w:szCs w:val="20"/>
          <w:u w:val="none" w:color="0000EE"/>
          <w:vertAlign w:val="superscript"/>
          <w:lang w:val="el" w:eastAsia="el"/>
        </w:rPr>
        <w:footnoteReference w:id="509"/>
      </w:r>
    </w:p>
    <w:p>
      <w:pPr>
        <w:spacing w:before="240" w:after="240"/>
        <w:rPr>
          <w:lang w:val="el" w:eastAsia="el"/>
        </w:rPr>
      </w:pPr>
      <w:r>
        <w:rPr>
          <w:b/>
          <w:bCs/>
          <w:lang w:val="el" w:eastAsia="el"/>
        </w:rPr>
        <w:t>Ο εν λόγω υποκείμενος στον φόρο υποχρεούται να δηλώνει κάθε αλλαγή των ανωτέρω στοιχείων.</w:t>
      </w:r>
      <w:r>
        <w:rPr>
          <w:rStyle w:val="Hyperlink"/>
          <w:b/>
          <w:bCs/>
          <w:color w:val="000000"/>
          <w:sz w:val="20"/>
          <w:szCs w:val="20"/>
          <w:u w:val="none" w:color="0000EE"/>
          <w:vertAlign w:val="superscript"/>
          <w:lang w:val="el" w:eastAsia="el"/>
        </w:rPr>
        <w:footnoteReference w:id="510"/>
      </w:r>
    </w:p>
    <w:p>
      <w:pPr>
        <w:pStyle w:val="MainText"/>
        <w:spacing w:before="120" w:after="0"/>
        <w:rPr>
          <w:lang w:val="el" w:eastAsia="el"/>
        </w:rPr>
      </w:pPr>
      <w:r>
        <w:rPr>
          <w:b/>
          <w:bCs/>
          <w:lang w:val="el" w:eastAsia="el"/>
        </w:rPr>
        <w:t>5.</w:t>
      </w:r>
      <w:r>
        <w:rPr>
          <w:b/>
          <w:bCs/>
          <w:lang w:val="el" w:eastAsia="el"/>
        </w:rPr>
        <w:t xml:space="preserve"> Μετά την υποβολή της δήλωσης έναρξης δραστηριότητας, χορηγείται στον υποκείμενο στον φόρο της παρ. 2 ατομικός αριθμός φορολογικού μητρώου (ΑΦΜ) ΦΠΑ με το πρόθεμα EU, για την εφαρμογή του παρόντος καθεστώτος, ο οποίος του γνωστοποιείται με ηλεκτρονικά μέσα. Τα εν λόγω πρόσωπα καταχωρούνται σε ειδικό μητρώο, που τηρείται για το παρόν καθεστώς, στο οποίο καταχωρούνται και οι υποκείμενοι στον φόρο στους οποίους έχει χορηγηθεί ΑΦΜ / ΦΠΑ από τα άλλα κράτη μέλη, τα οποία έχουν επιλεγεί ως κράτη μέλη εγγραφής, εφόσον οφείλεται ΦΠΑ στην Ελλάδα. Οι εν λόγω υποκείμενοι στον φόρο δεν έχουν υποχρέωση ορισμού φορολογικού αντιπροσώπου.</w:t>
      </w:r>
      <w:r>
        <w:rPr>
          <w:rStyle w:val="Hyperlink"/>
          <w:b/>
          <w:bCs/>
          <w:color w:val="000000"/>
          <w:sz w:val="20"/>
          <w:szCs w:val="20"/>
          <w:u w:val="none" w:color="0000EE"/>
          <w:vertAlign w:val="superscript"/>
          <w:lang w:val="el" w:eastAsia="el"/>
        </w:rPr>
        <w:footnoteReference w:id="511"/>
      </w:r>
    </w:p>
    <w:p>
      <w:pPr>
        <w:pStyle w:val="MainText"/>
        <w:spacing w:before="120" w:after="0"/>
        <w:rPr>
          <w:lang w:val="el" w:eastAsia="el"/>
        </w:rPr>
      </w:pPr>
      <w:r>
        <w:rPr>
          <w:b/>
          <w:bCs/>
          <w:lang w:val="el" w:eastAsia="el"/>
        </w:rPr>
        <w:t>6.</w:t>
      </w:r>
      <w:r>
        <w:rPr>
          <w:b/>
          <w:bCs/>
          <w:lang w:val="el" w:eastAsia="el"/>
        </w:rPr>
        <w:t xml:space="preserve"> Ο υποκείμενος στον φόρο της παρ. 2 που χρησιμοποιεί το παρόν καθεστώς διαγράφεται από το ειδικό μητρώο, εάν:</w:t>
      </w:r>
      <w:r>
        <w:rPr>
          <w:rStyle w:val="Hyperlink"/>
          <w:b/>
          <w:bCs/>
          <w:color w:val="000000"/>
          <w:sz w:val="20"/>
          <w:szCs w:val="20"/>
          <w:u w:val="none" w:color="0000EE"/>
          <w:vertAlign w:val="superscript"/>
          <w:lang w:val="el" w:eastAsia="el"/>
        </w:rPr>
        <w:footnoteReference w:id="512"/>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καθεστώς,</w:t>
      </w:r>
      <w:r>
        <w:rPr>
          <w:rStyle w:val="Hyperlink"/>
          <w:b/>
          <w:bCs/>
          <w:color w:val="000000"/>
          <w:sz w:val="20"/>
          <w:szCs w:val="20"/>
          <w:u w:val="none" w:color="0000EE"/>
          <w:vertAlign w:val="superscript"/>
          <w:lang w:val="el" w:eastAsia="el"/>
        </w:rPr>
        <w:footnoteReference w:id="513"/>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άλλον τρόπο να συναχθεί ότι η φορολογητέα του δραστηριότητα έχει τερματισθεί,</w:t>
      </w:r>
      <w:r>
        <w:rPr>
          <w:rStyle w:val="Hyperlink"/>
          <w:b/>
          <w:bCs/>
          <w:color w:val="000000"/>
          <w:sz w:val="20"/>
          <w:szCs w:val="20"/>
          <w:u w:val="none" w:color="0000EE"/>
          <w:vertAlign w:val="superscript"/>
          <w:lang w:val="el" w:eastAsia="el"/>
        </w:rPr>
        <w:footnoteReference w:id="514"/>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απαραίτητες προϋποθέσεις που του επιτρέπουν να χρησιμοποιεί το ειδικό καθεστώς και</w:t>
      </w:r>
      <w:r>
        <w:rPr>
          <w:rStyle w:val="Hyperlink"/>
          <w:b/>
          <w:bCs/>
          <w:color w:val="000000"/>
          <w:sz w:val="20"/>
          <w:szCs w:val="20"/>
          <w:u w:val="none" w:color="0000EE"/>
          <w:vertAlign w:val="superscript"/>
          <w:lang w:val="el" w:eastAsia="el"/>
        </w:rPr>
        <w:footnoteReference w:id="515"/>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διέπουν το καθεστώς αυτό.</w:t>
      </w:r>
      <w:r>
        <w:rPr>
          <w:rStyle w:val="Hyperlink"/>
          <w:b/>
          <w:bCs/>
          <w:color w:val="000000"/>
          <w:sz w:val="20"/>
          <w:szCs w:val="20"/>
          <w:u w:val="none" w:color="0000EE"/>
          <w:vertAlign w:val="superscript"/>
          <w:lang w:val="el" w:eastAsia="el"/>
        </w:rPr>
        <w:footnoteReference w:id="516"/>
      </w:r>
    </w:p>
    <w:p>
      <w:pPr>
        <w:pStyle w:val="MainText"/>
        <w:spacing w:before="120" w:after="0"/>
        <w:rPr>
          <w:lang w:val="el" w:eastAsia="el"/>
        </w:rPr>
      </w:pPr>
      <w:r>
        <w:rPr>
          <w:b/>
          <w:bCs/>
          <w:lang w:val="el" w:eastAsia="el"/>
        </w:rPr>
        <w:t>7.</w:t>
      </w:r>
      <w:r>
        <w:rPr>
          <w:b/>
          <w:bCs/>
          <w:lang w:val="el" w:eastAsia="el"/>
        </w:rPr>
        <w:t xml:space="preserve"> Ο υποκείμενος στον φόρο της παρ. 2, που χρησιμοποιεί το παρόν καθεστώς, υποβάλλει, με ηλεκτρονικά μέσα, δήλωση ΦΠΑ για κάθε ημερολογιακό τρίμηνο είτε έχουν πραγματοποιηθεί παροχές υπηρεσιών που υπάγονται στο παρόν ειδικό καθεστώς είτε όχι. Η δήλωση ΦΠΑ υποβάλλεται μέχρι το τέλος του μήνα που ακολουθεί τη λήξη της φορολογικής περιόδου την οποία καλύπτει η δήλωση. Στη δήλωση αναγράφονται ο αριθμός φορολογικού μητρώου που του έχει χορηγηθεί για την εφαρμογή του παρόντος καθεστώτος, και, για κάθε κράτος μέλος κατανάλωσης στο οποίο οφείλεται ΦΠΑ, η συνολική αξία, χωρίς τον ΦΠΑ, των παροχών υπηρεσιών που καλύπτονται από το παρόν καθεστώς και πραγματοποιήθηκαν κατά τη φορολογική περίοδο, οι ισχύοντες συντελεστές ΦΠΑ, και το συνολικό, ανά συντελεστή, ποσό του αντίστοιχου φόρου. Επίσης, στη δήλωση αναγράφεται και το συνολικό ποσό του ΦΠΑ που οφείλεται. Μετά την υποβολή της δήλωσης ΦΠΑ, απαιτούμενες τροποποιήσεις των στοιχείων που έχουν δηλωθεί περιλαμβάνονται σε επόμενη δήλωση ΦΠΑ, εντός τριών (3) ετών από τη λήξη της προθεσμίας του πρώτου εδαφίου. Στην επόμενη δήλωση αναφέρονται το σχετικό κράτος μέλος κατανάλωσης, η φορολογική περίοδος και το ποσό του ΦΠΑ, που οι απαιτούμενες τροποποιήσεις αφορούν. 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την επόμενη ημέρα που υπάρχει δημοσίευση.</w:t>
      </w:r>
      <w:r>
        <w:rPr>
          <w:rStyle w:val="Hyperlink"/>
          <w:b/>
          <w:bCs/>
          <w:color w:val="000000"/>
          <w:sz w:val="20"/>
          <w:szCs w:val="20"/>
          <w:u w:val="none" w:color="0000EE"/>
          <w:vertAlign w:val="superscript"/>
          <w:lang w:val="el" w:eastAsia="el"/>
        </w:rPr>
        <w:footnoteReference w:id="517"/>
      </w:r>
    </w:p>
    <w:p>
      <w:pPr>
        <w:pStyle w:val="MainText"/>
        <w:spacing w:before="120" w:after="0"/>
        <w:rPr>
          <w:lang w:val="el" w:eastAsia="el"/>
        </w:rPr>
      </w:pPr>
      <w:r>
        <w:rPr>
          <w:b/>
          <w:bCs/>
          <w:lang w:val="el" w:eastAsia="el"/>
        </w:rPr>
        <w:t>8.</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τον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518"/>
      </w:r>
    </w:p>
    <w:p>
      <w:pPr>
        <w:pStyle w:val="MainText"/>
        <w:spacing w:before="120" w:after="0"/>
        <w:rPr>
          <w:lang w:val="el" w:eastAsia="el"/>
        </w:rPr>
      </w:pPr>
      <w:r>
        <w:rPr>
          <w:b/>
          <w:bCs/>
          <w:lang w:val="el" w:eastAsia="el"/>
        </w:rPr>
        <w:t>9.</w:t>
      </w:r>
      <w:r>
        <w:rPr>
          <w:b/>
          <w:bCs/>
          <w:lang w:val="el" w:eastAsia="el"/>
        </w:rPr>
        <w:t xml:space="preserve"> Ο υποκείμενος στον φόρο της παρ. 2, που χρησιμοποιεί το παρόν καθεστώς, δεν έχει δικαίωμα έκπτωσης του φόρου εισροών που κατέβαλε στην Ελλάδα. Ο φόρος αυτός επιστρέφεται, σύμφωνα με την παρ. 8 του άρθρου 34 του Κώδικα ΦΠΑ, χωρίς να απαιτείται η πλήρωσή του όρου περί αμοιβαιότητας που περιλαμβάνεται στην παράγραφο αυτή. Κατά παρέκκλιση των προηγουμένων εδαφίων, εάν ο εν λόγω υποκείμενος απαιτείται να διαθέτει ΑΦΜ / ΦΠΑ στην Ελλάδα για δραστηριότητες μη υπαγόμενες στο παρόν καθεστώς, τότε παρέχεται σε αυτόν δικαίωμα έκπτωσης του φόρου εισροών που κατέβαλε στην Ελλάδα και αφορά τις φορολογητέες δραστηριότητές του που υπάγονται στο παρόν καθεστώς. Το δικαίωμα έκπτωσης του προηγούμενου εδαφίου ασκείται με τη δήλωση ΦΠΑ, που υποβάλλεται σύμφωνα με την παρ. 1 του άρθρου 38.</w:t>
      </w:r>
      <w:r>
        <w:rPr>
          <w:rStyle w:val="Hyperlink"/>
          <w:b/>
          <w:bCs/>
          <w:color w:val="000000"/>
          <w:sz w:val="20"/>
          <w:szCs w:val="20"/>
          <w:u w:val="none" w:color="0000EE"/>
          <w:vertAlign w:val="superscript"/>
          <w:lang w:val="el" w:eastAsia="el"/>
        </w:rPr>
        <w:footnoteReference w:id="519"/>
      </w:r>
    </w:p>
    <w:p>
      <w:pPr>
        <w:pStyle w:val="MainText"/>
        <w:spacing w:before="120" w:after="0"/>
        <w:rPr>
          <w:lang w:val="el" w:eastAsia="el"/>
        </w:rPr>
      </w:pPr>
      <w:r>
        <w:rPr>
          <w:b/>
          <w:bCs/>
          <w:lang w:val="el" w:eastAsia="el"/>
        </w:rPr>
        <w:t>10.</w:t>
      </w:r>
      <w:r>
        <w:rPr>
          <w:b/>
          <w:bCs/>
          <w:lang w:val="el" w:eastAsia="el"/>
        </w:rPr>
        <w:t xml:space="preserve"> Ο υποκείμενος στον φόρο της παρ. 2 υποχρεούται να καταχωρεί με επαρκείς λεπτομέρειες στα λογιστικά αρχεία (βιβλία) τις πληροφορίες για τις πραγματοποιούμενες συναλλαγές που καλύπτονται από το παρόν ειδικό καθεστώς, ώστε να μπορούν οι φορολογικές αρχές της Ελλάδος και των λοιπών κρατών μελών κατανάλωσης να επαληθεύουν την ακρίβεια της δήλωσης ΦΠΑ. Οι καταχωρήσεις διατίθενται ηλεκτρονικά, ύστερα από αίτηση, στην ελληνική Φορολογική Διοίκηση και στο κράτος μέλος κατανάλωσης και διαφυλάσσονται για διάστημα δέκα (10) ετών, που αρχίζει από τις 31 Δεκεμβρίου του έτους, κατά το οποίο πραγματοποιήθηκε η πράξη.</w:t>
      </w:r>
      <w:r>
        <w:rPr>
          <w:rStyle w:val="Hyperlink"/>
          <w:b/>
          <w:bCs/>
          <w:color w:val="000000"/>
          <w:sz w:val="20"/>
          <w:szCs w:val="20"/>
          <w:u w:val="none" w:color="0000EE"/>
          <w:vertAlign w:val="superscript"/>
          <w:lang w:val="el" w:eastAsia="el"/>
        </w:rPr>
        <w:footnoteReference w:id="520"/>
      </w:r>
    </w:p>
    <w:p>
      <w:pPr>
        <w:pStyle w:val="MainText"/>
        <w:spacing w:before="120" w:after="0"/>
        <w:rPr>
          <w:lang w:val="el" w:eastAsia="el"/>
        </w:rPr>
      </w:pPr>
      <w:r>
        <w:rPr>
          <w:b/>
          <w:bCs/>
          <w:lang w:val="el" w:eastAsia="el"/>
        </w:rPr>
        <w:t>11.</w:t>
      </w:r>
      <w:r>
        <w:rPr>
          <w:b/>
          <w:bCs/>
          <w:lang w:val="el" w:eastAsia="el"/>
        </w:rPr>
        <w:t xml:space="preserve"> Η αρμόδια για τη διαχείριση του καθεστώτος υπηρεσία της Α.Α.Δ.Ε. υποχρεούται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 3,</w:t>
      </w:r>
      <w:r>
        <w:rPr>
          <w:rStyle w:val="Hyperlink"/>
          <w:b/>
          <w:bCs/>
          <w:color w:val="000000"/>
          <w:sz w:val="20"/>
          <w:szCs w:val="20"/>
          <w:u w:val="none" w:color="0000EE"/>
          <w:vertAlign w:val="superscript"/>
          <w:lang w:val="el" w:eastAsia="el"/>
        </w:rPr>
        <w:footnoteReference w:id="521"/>
      </w:r>
    </w:p>
    <w:p>
      <w:pPr>
        <w:pStyle w:val="StructureList1"/>
        <w:spacing w:before="120" w:after="0"/>
        <w:rPr>
          <w:lang w:val="el" w:eastAsia="el"/>
        </w:rPr>
      </w:pPr>
      <w:r>
        <w:rPr>
          <w:b/>
          <w:bCs/>
          <w:lang w:val="el" w:eastAsia="el"/>
        </w:rPr>
        <w:t>β)</w:t>
      </w:r>
      <w:r>
        <w:rPr>
          <w:b/>
          <w:bCs/>
          <w:lang w:val="en" w:eastAsia="en"/>
        </w:rPr>
        <w:tab/>
      </w:r>
      <w:r>
        <w:rPr>
          <w:b/>
          <w:bCs/>
          <w:lang w:val="el" w:eastAsia="el"/>
        </w:rPr>
        <w:t>την επαλήθευση της εγκυρότητας των στοιχείων του δηλούντος,</w:t>
      </w:r>
      <w:r>
        <w:rPr>
          <w:rStyle w:val="Hyperlink"/>
          <w:b/>
          <w:bCs/>
          <w:color w:val="000000"/>
          <w:sz w:val="20"/>
          <w:szCs w:val="20"/>
          <w:u w:val="none" w:color="0000EE"/>
          <w:vertAlign w:val="superscript"/>
          <w:lang w:val="el" w:eastAsia="el"/>
        </w:rPr>
        <w:footnoteReference w:id="522"/>
      </w:r>
    </w:p>
    <w:p>
      <w:pPr>
        <w:pStyle w:val="StructureList1"/>
        <w:spacing w:before="120" w:after="0"/>
        <w:rPr>
          <w:lang w:val="el" w:eastAsia="el"/>
        </w:rPr>
      </w:pPr>
      <w:r>
        <w:rPr>
          <w:b/>
          <w:bCs/>
          <w:lang w:val="el" w:eastAsia="el"/>
        </w:rPr>
        <w:t>γ)</w:t>
      </w:r>
      <w:r>
        <w:rPr>
          <w:b/>
          <w:bCs/>
          <w:lang w:val="en" w:eastAsia="en"/>
        </w:rPr>
        <w:tab/>
      </w:r>
      <w:r>
        <w:rPr>
          <w:b/>
          <w:bCs/>
          <w:lang w:val="el" w:eastAsia="el"/>
        </w:rPr>
        <w:t>τη χορήγηση και κοινοποίηση του ατομικού ΑΦΜ / ΦΠΑ,</w:t>
      </w:r>
      <w:r>
        <w:rPr>
          <w:rStyle w:val="Hyperlink"/>
          <w:b/>
          <w:bCs/>
          <w:color w:val="000000"/>
          <w:sz w:val="20"/>
          <w:szCs w:val="20"/>
          <w:u w:val="none" w:color="0000EE"/>
          <w:vertAlign w:val="superscript"/>
          <w:lang w:val="el" w:eastAsia="el"/>
        </w:rPr>
        <w:footnoteReference w:id="523"/>
      </w:r>
    </w:p>
    <w:p>
      <w:pPr>
        <w:pStyle w:val="StructureList1"/>
        <w:spacing w:before="120" w:after="0"/>
        <w:rPr>
          <w:lang w:val="el" w:eastAsia="el"/>
        </w:rPr>
      </w:pPr>
      <w:r>
        <w:rPr>
          <w:b/>
          <w:bCs/>
          <w:lang w:val="el" w:eastAsia="el"/>
        </w:rPr>
        <w:t>δ)</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524"/>
      </w:r>
    </w:p>
    <w:p>
      <w:pPr>
        <w:pStyle w:val="StructureList1"/>
        <w:spacing w:before="120" w:after="0"/>
        <w:rPr>
          <w:lang w:val="el" w:eastAsia="el"/>
        </w:rPr>
      </w:pPr>
      <w:r>
        <w:rPr>
          <w:b/>
          <w:bCs/>
          <w:lang w:val="el" w:eastAsia="el"/>
        </w:rPr>
        <w:t>ε)</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525"/>
      </w:r>
    </w:p>
    <w:p>
      <w:pPr>
        <w:pStyle w:val="StructureList1"/>
        <w:spacing w:before="120" w:after="0"/>
        <w:rPr>
          <w:lang w:val="el" w:eastAsia="el"/>
        </w:rPr>
      </w:pPr>
      <w:r>
        <w:rPr>
          <w:b/>
          <w:bCs/>
          <w:lang w:val="el" w:eastAsia="el"/>
        </w:rPr>
        <w:t>στ)</w:t>
      </w:r>
      <w:r>
        <w:rPr>
          <w:b/>
          <w:bCs/>
          <w:lang w:val="en" w:eastAsia="en"/>
        </w:rPr>
        <w:tab/>
      </w:r>
      <w:r>
        <w:rPr>
          <w:b/>
          <w:bCs/>
          <w:lang w:val="el" w:eastAsia="el"/>
        </w:rPr>
        <w:t>την κατανομή στα άλλα κράτη μέλη κατανάλωσης του φόρου που τους αναλογεί, με βάση τα στοιχεία των δηλώσεων και του λογαριασμού που προβλέπεται στην παρ. 8,</w:t>
      </w:r>
      <w:r>
        <w:rPr>
          <w:rStyle w:val="Hyperlink"/>
          <w:b/>
          <w:bCs/>
          <w:color w:val="000000"/>
          <w:sz w:val="20"/>
          <w:szCs w:val="20"/>
          <w:u w:val="none" w:color="0000EE"/>
          <w:vertAlign w:val="superscript"/>
          <w:lang w:val="el" w:eastAsia="el"/>
        </w:rPr>
        <w:footnoteReference w:id="526"/>
      </w:r>
    </w:p>
    <w:p>
      <w:pPr>
        <w:pStyle w:val="StructureList1"/>
        <w:spacing w:before="120" w:after="0"/>
        <w:rPr>
          <w:lang w:val="el" w:eastAsia="el"/>
        </w:rPr>
      </w:pPr>
      <w:r>
        <w:rPr>
          <w:b/>
          <w:bCs/>
          <w:lang w:val="el" w:eastAsia="el"/>
        </w:rPr>
        <w:t>ζ)</w:t>
      </w:r>
      <w:r>
        <w:rPr>
          <w:b/>
          <w:bCs/>
          <w:lang w:val="en" w:eastAsia="en"/>
        </w:rPr>
        <w:tab/>
      </w:r>
      <w:r>
        <w:rPr>
          <w:b/>
          <w:bCs/>
          <w:lang w:val="el" w:eastAsia="el"/>
        </w:rPr>
        <w:t>την παροχή στα άλλα κράτη μέλη πληροφοριών που αφορούν την εγγραφή, διαγραφή ή εξαίρεση από το καθεστώς, την υποβολή δηλώσεων και την καταβολή του φόρου, για την επαλήθευση της κατάστασης των υποκείμενων στον φόρο και της ακρίβειας των συναλλαγών που καλύπτονται από το παρόν ειδικό καθεστώς, η) τη διαχείριση των πληροφοριών και των δηλώσεων που διαβιβάζονται από τα άλλα κράτη μέλη τα οποία έχουν επιλέξει ως κράτος μέλος εγγραφής οι μη εγκατεστημένοι στην Ένωση υποκείμενοι στον φόρο, καθώς και τον συντονισμό των ενεργειών που απαιτούνται για την ορθή απόδοση του φόρου.</w:t>
      </w:r>
      <w:r>
        <w:rPr>
          <w:rStyle w:val="Hyperlink"/>
          <w:b/>
          <w:bCs/>
          <w:color w:val="000000"/>
          <w:sz w:val="20"/>
          <w:szCs w:val="20"/>
          <w:u w:val="none" w:color="0000EE"/>
          <w:vertAlign w:val="superscript"/>
          <w:lang w:val="el" w:eastAsia="el"/>
        </w:rPr>
        <w:footnoteReference w:id="527"/>
      </w:r>
    </w:p>
    <w:p>
      <w:pPr>
        <w:pStyle w:val="MainText"/>
        <w:spacing w:before="120" w:after="0"/>
        <w:rPr>
          <w:lang w:val="el" w:eastAsia="el"/>
        </w:rPr>
      </w:pPr>
      <w:r>
        <w:rPr>
          <w:b/>
          <w:bCs/>
          <w:lang w:val="el" w:eastAsia="el"/>
        </w:rPr>
        <w:t>12.</w:t>
      </w:r>
      <w:r>
        <w:rPr>
          <w:b/>
          <w:bCs/>
          <w:lang w:val="el" w:eastAsia="el"/>
        </w:rPr>
        <w:t xml:space="preserve"> Με απόφαση του Διοικητή της Α.Α.Δ.Ε. ορίζονται τα αρμόδια όργανα, οι διαδικασίες εγγραφής και διαγραφής ή εξαίρεσης από το ειδικό καθεστώς, η διαδικασία υποβολής της δήλωσης ΦΠΑ, καταβολής του οφειλόμενου φόρου και απόδοσης αυτού στα άλλα κράτη μέλη κατανάλωσης, επιστροφής αχρεωστήτως καταβληθέντων ποσών,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528"/>
      </w:r>
    </w:p>
    <w:p>
      <w:pPr>
        <w:pStyle w:val="Heading6"/>
        <w:spacing w:before="240" w:after="240"/>
        <w:rPr>
          <w:lang w:val="el" w:eastAsia="el"/>
        </w:rPr>
      </w:pPr>
      <w:r>
        <w:rPr>
          <w:b/>
          <w:bCs/>
          <w:lang w:val="el" w:eastAsia="el"/>
        </w:rPr>
        <w:t>Άρθρο 47γ</w:t>
      </w:r>
      <w:r>
        <w:rPr>
          <w:b/>
          <w:bCs/>
          <w:lang w:val="el" w:eastAsia="el"/>
        </w:rPr>
        <w:t xml:space="preserve"> </w:t>
      </w:r>
    </w:p>
    <w:p>
      <w:pPr>
        <w:pStyle w:val="Heading6"/>
        <w:spacing w:before="240" w:after="240"/>
        <w:rPr>
          <w:lang w:val="el" w:eastAsia="el"/>
        </w:rPr>
      </w:pPr>
      <w:r>
        <w:rPr>
          <w:b/>
          <w:bCs/>
          <w:lang w:val="el" w:eastAsia="el"/>
        </w:rPr>
        <w:t>Ειδικό καθεστώς για ενδοκοινοτικές εξ αποστάσεως πωλήσεις αγαθών, για παραδόσεις αγαθών εντός κράτους μέλους, που πραγματοποιούνται μέσω ηλεκτρονικών διεπαφών που διευκολύνουν τις παραδόσεις αυτές και για υπηρεσίες που παρέχονται από υποκείμενους στον φόρο εγκατεστημένους εντός της Ένωσης αλλά μη εγκατεστημένους στο κράτος μέλος κατανάλωσης</w:t>
      </w:r>
      <w:r>
        <w:rPr>
          <w:rStyle w:val="Hyperlink"/>
          <w:b/>
          <w:bCs/>
          <w:color w:val="000000"/>
          <w:sz w:val="20"/>
          <w:szCs w:val="20"/>
          <w:u w:val="none" w:color="0000EE"/>
          <w:vertAlign w:val="superscript"/>
          <w:lang w:val="el" w:eastAsia="el"/>
        </w:rPr>
        <w:footnoteReference w:id="529"/>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530"/>
      </w:r>
    </w:p>
    <w:p>
      <w:pPr>
        <w:pStyle w:val="StructureList1"/>
        <w:spacing w:before="120" w:after="0"/>
        <w:rPr>
          <w:lang w:val="el" w:eastAsia="el"/>
        </w:rPr>
      </w:pPr>
      <w:r>
        <w:rPr>
          <w:b/>
          <w:bCs/>
          <w:lang w:val="el" w:eastAsia="el"/>
        </w:rPr>
        <w:t>α)</w:t>
      </w:r>
      <w:r>
        <w:rPr>
          <w:b/>
          <w:bCs/>
          <w:lang w:val="en" w:eastAsia="en"/>
        </w:rPr>
        <w:tab/>
      </w:r>
      <w:r>
        <w:rPr>
          <w:b/>
          <w:bCs/>
          <w:lang w:val="el" w:eastAsia="el"/>
        </w:rPr>
        <w:t>«Υποκείμενος στον φόρο μη εγκατεστημένος στο κράτος μέλος κατανάλωσης», ο υποκείμενος στον φόρο που έχει την έδρα της οικονομικής δραστηριότητάς του ή μόνιμη εγκατάσταση εντός της Ένωσης, αλλά δεν έχει την έδρα της οικονομικής δραστηριότητάς του ούτε μόνιμη εγκατάσταση στο έδαφος του κράτους μέλους κατανάλωσης.</w:t>
      </w:r>
      <w:r>
        <w:rPr>
          <w:rStyle w:val="Hyperlink"/>
          <w:b/>
          <w:bCs/>
          <w:color w:val="000000"/>
          <w:sz w:val="20"/>
          <w:szCs w:val="20"/>
          <w:u w:val="none" w:color="0000EE"/>
          <w:vertAlign w:val="superscript"/>
          <w:lang w:val="el" w:eastAsia="el"/>
        </w:rPr>
        <w:footnoteReference w:id="531"/>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μέλος εγγραφής», το κράτος μέλος στο οποίο βρίσκεται η έδρα της οικονομικής δραστηριότητας του υποκείμενου στον φόρο ή, εάν ο υποκείμενος στον φόρο δεν έχει την έδρα της οικονομικής δραστη-ριότητάς του εντός της Ένωσης, το κράτος μέλος στο οποίο έχει μόνιμη εγκατάσταση.</w:t>
      </w:r>
      <w:r>
        <w:rPr>
          <w:rStyle w:val="Hyperlink"/>
          <w:b/>
          <w:bCs/>
          <w:color w:val="000000"/>
          <w:sz w:val="20"/>
          <w:szCs w:val="20"/>
          <w:u w:val="none" w:color="0000EE"/>
          <w:vertAlign w:val="superscript"/>
          <w:lang w:val="el" w:eastAsia="el"/>
        </w:rPr>
        <w:footnoteReference w:id="532"/>
      </w:r>
    </w:p>
    <w:p>
      <w:pPr>
        <w:spacing w:before="240" w:after="240"/>
        <w:rPr>
          <w:lang w:val="el" w:eastAsia="el"/>
        </w:rPr>
      </w:pPr>
      <w:r>
        <w:rPr>
          <w:b/>
          <w:bCs/>
          <w:lang w:val="el" w:eastAsia="el"/>
        </w:rPr>
        <w:t>Όταν ο υποκείμενος στον φόρο δεν έχει την έδρα της οικονομικής δραστηριότητάς του στην Ένωση, αλλά έχει περισσότερες από μία μόνιμες εγκαταστάσεις εντός της Ένωσης, κράτος μέλος εγγραφής είναι το κράτος μέλος με μόνιμη εγκατάσταση, στο οποίο ο υποκείμενος στον φόρο δηλώνει ότι θα κάνει χρήση του ειδικού καθεστώτος. Ο υποκείμενος στον φόρο δεσμεύεται από την απόφασή του αυτή για το συγκεκριμένο ημερολογιακό έτος και για τα δύο (2) επόμενα ημερολογιακά έτη. Όταν ο υποκείμενος στον φόρο δεν έχει την έδρα της οικονομικής του δραστηριότητας στην Ένωση, ούτε μόνιμη εγκατάσταση στην Ένωση, κράτος μέλος εγγραφής είναι το κράτος μέλος από το οποίο εκκινεί η αποστολή ή η μεταφορά των αγαθών. Όταν η αποστολή ή η μεταφορά των αγαθών εκκινεί από περισσότερα του ενός κράτη μέλη, ο υποκείμενος στον φόρο δηλώνει ποιο από αυτά τα κράτη μέλη είναι το κράτος μέλος εγγραφής. Ο υποκείμενος στον φόρο δεσμεύεται από την εν λόγω απόφαση για το συγκεκριμένο ημερολογιακό έτος και για τα δύο (2) επόμενα ημερολογιακά έτη.</w:t>
      </w:r>
      <w:r>
        <w:rPr>
          <w:rStyle w:val="Hyperlink"/>
          <w:b/>
          <w:bCs/>
          <w:color w:val="000000"/>
          <w:sz w:val="20"/>
          <w:szCs w:val="20"/>
          <w:u w:val="none" w:color="0000EE"/>
          <w:vertAlign w:val="superscript"/>
          <w:lang w:val="el" w:eastAsia="el"/>
        </w:rPr>
        <w:footnoteReference w:id="533"/>
      </w:r>
    </w:p>
    <w:p>
      <w:pPr>
        <w:pStyle w:val="StructureList1"/>
        <w:spacing w:before="120" w:after="0"/>
        <w:rPr>
          <w:lang w:val="el" w:eastAsia="el"/>
        </w:rPr>
      </w:pPr>
      <w:r>
        <w:rPr>
          <w:b/>
          <w:bCs/>
          <w:lang w:val="el" w:eastAsia="el"/>
        </w:rPr>
        <w:t>γ)</w:t>
      </w:r>
      <w:r>
        <w:rPr>
          <w:b/>
          <w:bCs/>
          <w:lang w:val="en" w:eastAsia="en"/>
        </w:rPr>
        <w:tab/>
      </w:r>
      <w:r>
        <w:rPr>
          <w:b/>
          <w:bCs/>
          <w:lang w:val="el" w:eastAsia="el"/>
        </w:rPr>
        <w:t>«Κράτος μέλος κατανάλωσης», ένα από τα ακόλουθα:</w:t>
      </w:r>
      <w:r>
        <w:rPr>
          <w:rStyle w:val="Hyperlink"/>
          <w:b/>
          <w:bCs/>
          <w:color w:val="000000"/>
          <w:sz w:val="20"/>
          <w:szCs w:val="20"/>
          <w:u w:val="none" w:color="0000EE"/>
          <w:vertAlign w:val="superscript"/>
          <w:lang w:val="el" w:eastAsia="el"/>
        </w:rPr>
        <w:footnoteReference w:id="534"/>
      </w:r>
    </w:p>
    <w:p>
      <w:pPr>
        <w:spacing w:before="240" w:after="240"/>
        <w:rPr>
          <w:lang w:val="el" w:eastAsia="el"/>
        </w:rPr>
      </w:pPr>
      <w:r>
        <w:rPr>
          <w:b/>
          <w:bCs/>
          <w:lang w:val="el" w:eastAsia="el"/>
        </w:rPr>
        <w:t>(αα) στην περίπτωση παροχής υπηρεσιών, το κράτος μέλος στο οποίο θεωρείται ότι πραγματοποιείται η παροχή σύμφωνα με το άρθρο 14,</w:t>
      </w:r>
      <w:r>
        <w:rPr>
          <w:rStyle w:val="Hyperlink"/>
          <w:b/>
          <w:bCs/>
          <w:color w:val="000000"/>
          <w:sz w:val="20"/>
          <w:szCs w:val="20"/>
          <w:u w:val="none" w:color="0000EE"/>
          <w:vertAlign w:val="superscript"/>
          <w:lang w:val="el" w:eastAsia="el"/>
        </w:rPr>
        <w:footnoteReference w:id="535"/>
      </w:r>
    </w:p>
    <w:p>
      <w:pPr>
        <w:spacing w:before="240" w:after="240"/>
        <w:rPr>
          <w:lang w:val="el" w:eastAsia="el"/>
        </w:rPr>
      </w:pPr>
      <w:r>
        <w:rPr>
          <w:b/>
          <w:bCs/>
          <w:lang w:val="el" w:eastAsia="el"/>
        </w:rPr>
        <w:t>(ββ) στην περίπτωση ενδοκοινοτικών εξ αποστάσεως πωλήσεων αγαθών, το κράτος μέλος άφιξης της αποστολής ή της μεταφοράς των αγαθών στον αποκτώντα,</w:t>
      </w:r>
      <w:r>
        <w:rPr>
          <w:rStyle w:val="Hyperlink"/>
          <w:b/>
          <w:bCs/>
          <w:color w:val="000000"/>
          <w:sz w:val="20"/>
          <w:szCs w:val="20"/>
          <w:u w:val="none" w:color="0000EE"/>
          <w:vertAlign w:val="superscript"/>
          <w:lang w:val="el" w:eastAsia="el"/>
        </w:rPr>
        <w:footnoteReference w:id="536"/>
      </w:r>
    </w:p>
    <w:p>
      <w:pPr>
        <w:spacing w:before="240" w:after="240"/>
        <w:rPr>
          <w:lang w:val="el" w:eastAsia="el"/>
        </w:rPr>
      </w:pPr>
      <w:r>
        <w:rPr>
          <w:b/>
          <w:bCs/>
          <w:lang w:val="el" w:eastAsia="el"/>
        </w:rPr>
        <w:t>(γγ) στην περίπτωση παράδοσης αγαθών από υποκείμενο στον φόρο που διευκολύνει τις παραδόσεις αυτές, σύμφωνα με την παρ. 2 του άρθρου 5β, όταν η αποστολή ή η μεταφορά των παραδιδόμενων αγαθών αρχίζει και περατώνεται στο ίδιο κράτος μέλος, το συγκεκριμένο κράτος μέλος.</w:t>
      </w:r>
      <w:r>
        <w:rPr>
          <w:rStyle w:val="Hyperlink"/>
          <w:b/>
          <w:bCs/>
          <w:color w:val="000000"/>
          <w:sz w:val="20"/>
          <w:szCs w:val="20"/>
          <w:u w:val="none" w:color="0000EE"/>
          <w:vertAlign w:val="superscript"/>
          <w:lang w:val="el" w:eastAsia="el"/>
        </w:rPr>
        <w:footnoteReference w:id="537"/>
      </w:r>
    </w:p>
    <w:p>
      <w:pPr>
        <w:pStyle w:val="MainText"/>
        <w:spacing w:before="120" w:after="0"/>
        <w:rPr>
          <w:lang w:val="el" w:eastAsia="el"/>
        </w:rPr>
      </w:pPr>
      <w:r>
        <w:rPr>
          <w:b/>
          <w:bCs/>
          <w:lang w:val="el" w:eastAsia="el"/>
        </w:rPr>
        <w:t>2.</w:t>
      </w:r>
      <w:r>
        <w:rPr>
          <w:b/>
          <w:bCs/>
          <w:lang w:val="el" w:eastAsia="el"/>
        </w:rPr>
        <w:t xml:space="preserve"> Οι ακόλουθοι υποκείμενοι στον φόρο, που έχουν την έδρα της οικονομικής τους δραστηριότητας στο εσωτερικό της χώρας, μπορούν να χρησιμοποιούν το παρόν ειδικό καθεστώς:</w:t>
      </w:r>
      <w:r>
        <w:rPr>
          <w:rStyle w:val="Hyperlink"/>
          <w:b/>
          <w:bCs/>
          <w:color w:val="000000"/>
          <w:sz w:val="20"/>
          <w:szCs w:val="20"/>
          <w:u w:val="none" w:color="0000EE"/>
          <w:vertAlign w:val="superscript"/>
          <w:lang w:val="el" w:eastAsia="el"/>
        </w:rPr>
        <w:footnoteReference w:id="538"/>
      </w:r>
    </w:p>
    <w:p>
      <w:pPr>
        <w:pStyle w:val="StructureList1"/>
        <w:spacing w:before="120" w:after="0"/>
        <w:rPr>
          <w:lang w:val="el" w:eastAsia="el"/>
        </w:rPr>
      </w:pPr>
      <w:r>
        <w:rPr>
          <w:b/>
          <w:bCs/>
          <w:lang w:val="el" w:eastAsia="el"/>
        </w:rPr>
        <w:t>α)</w:t>
      </w:r>
      <w:r>
        <w:rPr>
          <w:b/>
          <w:bCs/>
          <w:lang w:val="en" w:eastAsia="en"/>
        </w:rPr>
        <w:tab/>
      </w:r>
      <w:r>
        <w:rPr>
          <w:b/>
          <w:bCs/>
          <w:lang w:val="el" w:eastAsia="el"/>
        </w:rPr>
        <w:t>υποκείμενοι στον φόρο οι οποίοι πραγματοποιούν ενδοκοινοτικές εξ αποστάσεως πωλήσεις αγαθών,</w:t>
      </w:r>
      <w:r>
        <w:rPr>
          <w:rStyle w:val="Hyperlink"/>
          <w:b/>
          <w:bCs/>
          <w:color w:val="000000"/>
          <w:sz w:val="20"/>
          <w:szCs w:val="20"/>
          <w:u w:val="none" w:color="0000EE"/>
          <w:vertAlign w:val="superscript"/>
          <w:lang w:val="el" w:eastAsia="el"/>
        </w:rPr>
        <w:footnoteReference w:id="539"/>
      </w:r>
    </w:p>
    <w:p>
      <w:pPr>
        <w:pStyle w:val="StructureList1"/>
        <w:spacing w:before="120" w:after="0"/>
        <w:rPr>
          <w:lang w:val="el" w:eastAsia="el"/>
        </w:rPr>
      </w:pPr>
      <w:r>
        <w:rPr>
          <w:b/>
          <w:bCs/>
          <w:lang w:val="el" w:eastAsia="el"/>
        </w:rPr>
        <w:t>β)</w:t>
      </w:r>
      <w:r>
        <w:rPr>
          <w:b/>
          <w:bCs/>
          <w:lang w:val="en" w:eastAsia="en"/>
        </w:rPr>
        <w:tab/>
      </w:r>
      <w:r>
        <w:rPr>
          <w:b/>
          <w:bCs/>
          <w:lang w:val="el" w:eastAsia="el"/>
        </w:rPr>
        <w:t>υποκείμενοι στον φόρο οι οποίοι διευκολύνουν την παράδοση αγαθών, σύμφωνα με την παρ. 2 του άρθρου 5β, όταν ο τόπος αναχώρησης και άφιξης της αποστολής ή της μεταφοράς των παραδιδόμενων αγαθών είναι το ίδιο κράτος μέλος,</w:t>
      </w:r>
      <w:r>
        <w:rPr>
          <w:rStyle w:val="Hyperlink"/>
          <w:b/>
          <w:bCs/>
          <w:color w:val="000000"/>
          <w:sz w:val="20"/>
          <w:szCs w:val="20"/>
          <w:u w:val="none" w:color="0000EE"/>
          <w:vertAlign w:val="superscript"/>
          <w:lang w:val="el" w:eastAsia="el"/>
        </w:rPr>
        <w:footnoteReference w:id="540"/>
      </w:r>
    </w:p>
    <w:p>
      <w:pPr>
        <w:pStyle w:val="StructureList1"/>
        <w:spacing w:before="120" w:after="0"/>
        <w:rPr>
          <w:lang w:val="el" w:eastAsia="el"/>
        </w:rPr>
      </w:pPr>
      <w:r>
        <w:rPr>
          <w:b/>
          <w:bCs/>
          <w:lang w:val="el" w:eastAsia="el"/>
        </w:rPr>
        <w:t>γ)</w:t>
      </w:r>
      <w:r>
        <w:rPr>
          <w:b/>
          <w:bCs/>
          <w:lang w:val="en" w:eastAsia="en"/>
        </w:rPr>
        <w:tab/>
      </w:r>
      <w:r>
        <w:rPr>
          <w:b/>
          <w:bCs/>
          <w:lang w:val="el" w:eastAsia="el"/>
        </w:rPr>
        <w:t>υποκείμενοι στον φόρο μη εγκατεστημένοι στο κράτος μέλος κατανάλωσης, οι οποίοι παρέχουν υπηρεσίες σε μη υποκείμενο στον φόρο.</w:t>
      </w:r>
      <w:r>
        <w:rPr>
          <w:rStyle w:val="Hyperlink"/>
          <w:b/>
          <w:bCs/>
          <w:color w:val="000000"/>
          <w:sz w:val="20"/>
          <w:szCs w:val="20"/>
          <w:u w:val="none" w:color="0000EE"/>
          <w:vertAlign w:val="superscript"/>
          <w:lang w:val="el" w:eastAsia="el"/>
        </w:rPr>
        <w:footnoteReference w:id="541"/>
      </w:r>
    </w:p>
    <w:p>
      <w:pPr>
        <w:spacing w:before="240" w:after="240"/>
        <w:rPr>
          <w:lang w:val="el" w:eastAsia="el"/>
        </w:rPr>
      </w:pPr>
      <w:r>
        <w:rPr>
          <w:b/>
          <w:bCs/>
          <w:lang w:val="el" w:eastAsia="el"/>
        </w:rPr>
        <w:t>Η ανωτέρω δυνατότητα παρέχεται και σε κάθε υποκείμενο στον φόρο, ο οποίος δεν διαθέτει έδρα εντός Ένωσης, αλλά διαθέτει μόνιμη εγκατάσταση στο εσωτερικό της Χώρας και σε περίπτωση που διαθέτει εγκαταστάσεις και σε άλλα κράτη μέλη, εφόσον επιλέξει για την εγγραφή του στο ειδικό καθεστώς την Ελλάδα. Ο υποκείμενος στον φόρο δεσμεύεται από την απόφασή του αυτή για το συγκεκριμένο ημερολογιακό έτος και για τα δύο (2) επόμενα ημερολογιακά έτη. Η ανωτέρω δυνατότητα παρέχεται επίσης και σε κάθε υποκείμενο στον φόρο, ο οποίος δεν διαθέτει έδρα ούτε μόνιμη εγκατάσταση στην Ένωση, εφόσον η αποστολή ή η μεταφορά των αγαθών εκκινεί από το εσωτερικό της Χώρας και σε περίπτωση που η αποστολή ή η μεταφορά των αγαθών εκκινεί και από άλλα κράτη μέλη, εφόσον επιλέξει την Ελλάδα για την εγγραφή του στο ειδικό καθεστώς. Ο υποκείμενος στον φόρο δεσμεύεται από την απόφασή του αυτή για το συγκεκριμένο ημερολογιακό έτος και για τα δύο (2) επόμενα ημερολογιακά έτη. Στην περίπτωση των δύο προηγούμενων εδαφίων οι υποκείμενοι στον φόρο δεν υποχρεούνται στον ορισμό φορολογικού αντιπροσώπου. Το παρόν ειδικό καθεστώς εφαρμόζεται για όλα τα αγαθά που παραδίδονται ή τις υπηρεσίες που παρέχονται εντός της Ένωσης από τον οικείο υποκείμενο στον φόρο εκτός των υπηρεσιών που πραγματοποιούνται εντός κράτους μέλους, στο οποίο ο υποκείμενος στον φόρο διατηρεί έδρα ή μόνιμη εγκατάσταση.</w:t>
      </w:r>
      <w:r>
        <w:rPr>
          <w:rStyle w:val="Hyperlink"/>
          <w:b/>
          <w:bCs/>
          <w:color w:val="000000"/>
          <w:sz w:val="20"/>
          <w:szCs w:val="20"/>
          <w:u w:val="none" w:color="0000EE"/>
          <w:vertAlign w:val="superscript"/>
          <w:lang w:val="el" w:eastAsia="el"/>
        </w:rPr>
        <w:footnoteReference w:id="542"/>
      </w:r>
    </w:p>
    <w:p>
      <w:pPr>
        <w:pStyle w:val="MainText"/>
        <w:spacing w:before="120" w:after="0"/>
        <w:rPr>
          <w:lang w:val="el" w:eastAsia="el"/>
        </w:rPr>
      </w:pPr>
      <w:r>
        <w:rPr>
          <w:b/>
          <w:bCs/>
          <w:lang w:val="el" w:eastAsia="el"/>
        </w:rPr>
        <w:t>3.</w:t>
      </w:r>
      <w:r>
        <w:rPr>
          <w:b/>
          <w:bCs/>
          <w:lang w:val="el" w:eastAsia="el"/>
        </w:rPr>
        <w:t xml:space="preserve"> Ο υποκείμενος στον φόρο της παρ. 2 υποχρεούται να υποβάλει, με ηλεκτρονικά μέσα, δήλωση έναρξης και παύσης των δραστηριοτήτων του που υπάγονται στο ειδικό αυτό καθεστώς ή μεταβολής αυτών, κατά τρόπο ώστε να μην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543"/>
      </w:r>
    </w:p>
    <w:p>
      <w:pPr>
        <w:pStyle w:val="MainText"/>
        <w:spacing w:before="120" w:after="0"/>
        <w:rPr>
          <w:lang w:val="el" w:eastAsia="el"/>
        </w:rPr>
      </w:pPr>
      <w:r>
        <w:rPr>
          <w:b/>
          <w:bCs/>
          <w:lang w:val="el" w:eastAsia="el"/>
        </w:rPr>
        <w:t>4.</w:t>
      </w:r>
      <w:r>
        <w:rPr>
          <w:b/>
          <w:bCs/>
          <w:lang w:val="el" w:eastAsia="el"/>
        </w:rPr>
        <w:t xml:space="preserve"> Ο εν λόγω υποκείμενος χρησιμοποιεί τον ΑΦΜ / ΦΠΑ, που του έχει ήδη χορηγηθεί για την εκπλήρωση των υποχρεώσεών του στο πλαίσιο του κανονικού καθεστώτος. Τα εν λόγω πρόσωπα καταχωρούνται σε ειδικό μητρώο που τηρείται για το παρόν καθεστώς, στο οποίο καταχωρούνται και οι υποκείμενοι στον φόρο στους οποίους έχει χορηγηθεί ΑΦΜ / ΦΠΑ από τα άλλα κράτη μέλη, τα οποία έχουν επιλεγεί ως κράτη μέλη εγγραφής, εφόσον οφείλεται ΦΠΑ στην Ελλάδα.</w:t>
      </w:r>
      <w:r>
        <w:rPr>
          <w:rStyle w:val="Hyperlink"/>
          <w:b/>
          <w:bCs/>
          <w:color w:val="000000"/>
          <w:sz w:val="20"/>
          <w:szCs w:val="20"/>
          <w:u w:val="none" w:color="0000EE"/>
          <w:vertAlign w:val="superscript"/>
          <w:lang w:val="el" w:eastAsia="el"/>
        </w:rPr>
        <w:footnoteReference w:id="544"/>
      </w:r>
    </w:p>
    <w:p>
      <w:pPr>
        <w:pStyle w:val="MainText"/>
        <w:spacing w:before="120" w:after="0"/>
        <w:rPr>
          <w:lang w:val="el" w:eastAsia="el"/>
        </w:rPr>
      </w:pPr>
      <w:r>
        <w:rPr>
          <w:b/>
          <w:bCs/>
          <w:lang w:val="el" w:eastAsia="el"/>
        </w:rPr>
        <w:t>5.</w:t>
      </w:r>
      <w:r>
        <w:rPr>
          <w:b/>
          <w:bCs/>
          <w:lang w:val="el" w:eastAsia="el"/>
        </w:rPr>
        <w:t xml:space="preserve"> Ο υποκείμενος της παρ. 2 διαγράφεται από το ειδικό μητρώο, εάν:</w:t>
      </w:r>
      <w:r>
        <w:rPr>
          <w:rStyle w:val="Hyperlink"/>
          <w:b/>
          <w:bCs/>
          <w:color w:val="000000"/>
          <w:sz w:val="20"/>
          <w:szCs w:val="20"/>
          <w:u w:val="none" w:color="0000EE"/>
          <w:vertAlign w:val="superscript"/>
          <w:lang w:val="el" w:eastAsia="el"/>
        </w:rPr>
        <w:footnoteReference w:id="545"/>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ότι δεν πραγματοποιεί πλέον παραδόσεις αγαθών και παροχές υπηρεσιών που υπάγονται στο παρόν ειδικό καθεστώς,</w:t>
      </w:r>
      <w:r>
        <w:rPr>
          <w:rStyle w:val="Hyperlink"/>
          <w:b/>
          <w:bCs/>
          <w:color w:val="000000"/>
          <w:sz w:val="20"/>
          <w:szCs w:val="20"/>
          <w:u w:val="none" w:color="0000EE"/>
          <w:vertAlign w:val="superscript"/>
          <w:lang w:val="el" w:eastAsia="el"/>
        </w:rPr>
        <w:footnoteReference w:id="546"/>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άλλον τρόπο να συναχθεί ότι οι φορολογητέες του δραστηριότητες που υπάγονται στο ειδικό αυτό καθεστώς έχουν τερματισθεί,</w:t>
      </w:r>
      <w:r>
        <w:rPr>
          <w:rStyle w:val="Hyperlink"/>
          <w:b/>
          <w:bCs/>
          <w:color w:val="000000"/>
          <w:sz w:val="20"/>
          <w:szCs w:val="20"/>
          <w:u w:val="none" w:color="0000EE"/>
          <w:vertAlign w:val="superscript"/>
          <w:lang w:val="el" w:eastAsia="el"/>
        </w:rPr>
        <w:footnoteReference w:id="547"/>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548"/>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αφορούν το ειδικό αυτό καθεστώς.</w:t>
      </w:r>
      <w:r>
        <w:rPr>
          <w:rStyle w:val="Hyperlink"/>
          <w:b/>
          <w:bCs/>
          <w:color w:val="000000"/>
          <w:sz w:val="20"/>
          <w:szCs w:val="20"/>
          <w:u w:val="none" w:color="0000EE"/>
          <w:vertAlign w:val="superscript"/>
          <w:lang w:val="el" w:eastAsia="el"/>
        </w:rPr>
        <w:footnoteReference w:id="549"/>
      </w:r>
    </w:p>
    <w:p>
      <w:pPr>
        <w:pStyle w:val="MainText"/>
        <w:spacing w:before="120" w:after="0"/>
        <w:rPr>
          <w:lang w:val="el" w:eastAsia="el"/>
        </w:rPr>
      </w:pPr>
      <w:r>
        <w:rPr>
          <w:b/>
          <w:bCs/>
          <w:lang w:val="el" w:eastAsia="el"/>
        </w:rPr>
        <w:t>6.</w:t>
      </w:r>
      <w:r>
        <w:rPr>
          <w:b/>
          <w:bCs/>
          <w:lang w:val="el" w:eastAsia="el"/>
        </w:rPr>
        <w:t xml:space="preserve"> Ο υποκείμενος της παρ. 2, που χρησιμοποιεί το παρόν ειδικό καθεστώς, υποβάλλει με ηλεκτρονικά μέσα, δήλωση ΦΠΑ για κάθε ημερολογιακό τρίμηνο είτε έχουν πραγματοποιηθεί παραδόσεις αγαθών και παροχές υπηρεσιών που υπάγονται στο παρόν ειδικό καθεστώς είτε όχι. Η δήλωση ΦΠΑ υποβάλλεται μέχρι το τέλος του μήνα που ακολουθεί τη λήξη της φορολογικής περιόδου την οποία καλύπτει η δήλωση.</w:t>
      </w:r>
      <w:r>
        <w:rPr>
          <w:rStyle w:val="Hyperlink"/>
          <w:b/>
          <w:bCs/>
          <w:color w:val="000000"/>
          <w:sz w:val="20"/>
          <w:szCs w:val="20"/>
          <w:u w:val="none" w:color="0000EE"/>
          <w:vertAlign w:val="superscript"/>
          <w:lang w:val="el" w:eastAsia="el"/>
        </w:rPr>
        <w:footnoteReference w:id="550"/>
      </w:r>
    </w:p>
    <w:p>
      <w:pPr>
        <w:pStyle w:val="MainText"/>
        <w:spacing w:before="120" w:after="0"/>
        <w:rPr>
          <w:lang w:val="el" w:eastAsia="el"/>
        </w:rPr>
      </w:pPr>
      <w:r>
        <w:rPr>
          <w:b/>
          <w:bCs/>
          <w:lang w:val="el" w:eastAsia="el"/>
        </w:rPr>
        <w:t>7.</w:t>
      </w:r>
      <w:r>
        <w:rPr>
          <w:b/>
          <w:bCs/>
          <w:lang w:val="el" w:eastAsia="el"/>
        </w:rPr>
        <w:t xml:space="preserve"> Το περιεχόμενο της δήλωσης ΦΠΑ ορίζεται, κατά περίπτωση, ως εξής:</w:t>
      </w:r>
      <w:r>
        <w:rPr>
          <w:rStyle w:val="Hyperlink"/>
          <w:b/>
          <w:bCs/>
          <w:color w:val="000000"/>
          <w:sz w:val="20"/>
          <w:szCs w:val="20"/>
          <w:u w:val="none" w:color="0000EE"/>
          <w:vertAlign w:val="superscript"/>
          <w:lang w:val="el" w:eastAsia="el"/>
        </w:rPr>
        <w:footnoteReference w:id="551"/>
      </w:r>
    </w:p>
    <w:p>
      <w:pPr>
        <w:pStyle w:val="StructureList1"/>
        <w:spacing w:before="120" w:after="0"/>
        <w:rPr>
          <w:lang w:val="el" w:eastAsia="el"/>
        </w:rPr>
      </w:pPr>
      <w:r>
        <w:rPr>
          <w:b/>
          <w:bCs/>
          <w:lang w:val="el" w:eastAsia="el"/>
        </w:rPr>
        <w:t>α)</w:t>
      </w:r>
      <w:r>
        <w:rPr>
          <w:b/>
          <w:bCs/>
          <w:lang w:val="en" w:eastAsia="en"/>
        </w:rPr>
        <w:tab/>
      </w:r>
      <w:r>
        <w:rPr>
          <w:b/>
          <w:bCs/>
          <w:lang w:val="el" w:eastAsia="el"/>
        </w:rPr>
        <w:t>Στη δήλωση ΦΠΑ αναγράφεται ο ΑΦΜ / ΦΠΑ που αναφέρεται στην παρ. 4 και, για κάθε κράτος μέλος κατανάλωσης στο οποίο οφείλεται ΦΠΑ, η συνολική αξία, χωρίς ΦΠΑ, οι ισχύοντες συντελεστές ΦΠΑ, το συνολικό ποσό του αντίστοιχου ΦΠΑ ανά συντελεστή και το συνολικό ποσό του ΦΠΑ, που οφείλεται όσον αφορά τις ακόλουθες παραδόσεις αγαθών ή παροχές υπηρεσιών που υπάγονται στο παρόν ειδικό καθεστώς και πραγματοποιήθηκαν κατά τη φορολογική περίοδο:</w:t>
      </w:r>
      <w:r>
        <w:rPr>
          <w:rStyle w:val="Hyperlink"/>
          <w:b/>
          <w:bCs/>
          <w:color w:val="000000"/>
          <w:sz w:val="20"/>
          <w:szCs w:val="20"/>
          <w:u w:val="none" w:color="0000EE"/>
          <w:vertAlign w:val="superscript"/>
          <w:lang w:val="el" w:eastAsia="el"/>
        </w:rPr>
        <w:footnoteReference w:id="552"/>
      </w:r>
    </w:p>
    <w:p>
      <w:pPr>
        <w:pStyle w:val="StructureList1"/>
        <w:spacing w:before="120" w:after="0"/>
        <w:rPr>
          <w:lang w:val="el" w:eastAsia="el"/>
        </w:rPr>
      </w:pPr>
      <w:r>
        <w:rPr>
          <w:b/>
          <w:bCs/>
          <w:lang w:val="el" w:eastAsia="el"/>
        </w:rPr>
        <w:t>αα)</w:t>
      </w:r>
      <w:r>
        <w:rPr>
          <w:b/>
          <w:bCs/>
          <w:lang w:val="en" w:eastAsia="en"/>
        </w:rPr>
        <w:tab/>
      </w:r>
      <w:r>
        <w:rPr>
          <w:b/>
          <w:bCs/>
          <w:lang w:val="el" w:eastAsia="el"/>
        </w:rPr>
        <w:t>ενδοκοινοτικές εξ αποστάσεως πωλήσεις αγαθών,</w:t>
      </w:r>
      <w:r>
        <w:rPr>
          <w:rStyle w:val="Hyperlink"/>
          <w:b/>
          <w:bCs/>
          <w:color w:val="000000"/>
          <w:sz w:val="20"/>
          <w:szCs w:val="20"/>
          <w:u w:val="none" w:color="0000EE"/>
          <w:vertAlign w:val="superscript"/>
          <w:lang w:val="el" w:eastAsia="el"/>
        </w:rPr>
        <w:footnoteReference w:id="553"/>
      </w:r>
    </w:p>
    <w:p>
      <w:pPr>
        <w:pStyle w:val="StructureList1"/>
        <w:spacing w:before="120" w:after="0"/>
        <w:rPr>
          <w:lang w:val="el" w:eastAsia="el"/>
        </w:rPr>
      </w:pPr>
      <w:r>
        <w:rPr>
          <w:b/>
          <w:bCs/>
          <w:lang w:val="el" w:eastAsia="el"/>
        </w:rPr>
        <w:t>ββ)</w:t>
      </w:r>
      <w:r>
        <w:rPr>
          <w:b/>
          <w:bCs/>
          <w:lang w:val="en" w:eastAsia="en"/>
        </w:rPr>
        <w:tab/>
      </w:r>
      <w:r>
        <w:rPr>
          <w:b/>
          <w:bCs/>
          <w:lang w:val="el" w:eastAsia="el"/>
        </w:rPr>
        <w:t>παραδόσεις αγαθών, σύμφωνα με την παρ. 2 του άρθρου 5β, όταν η αποστολή ή η μεταφορά των αγαθών αυτών αρχίζει και περατώνεται στο ίδιο κράτος μέλος,</w:t>
      </w:r>
      <w:r>
        <w:rPr>
          <w:rStyle w:val="Hyperlink"/>
          <w:b/>
          <w:bCs/>
          <w:color w:val="000000"/>
          <w:sz w:val="20"/>
          <w:szCs w:val="20"/>
          <w:u w:val="none" w:color="0000EE"/>
          <w:vertAlign w:val="superscript"/>
          <w:lang w:val="el" w:eastAsia="el"/>
        </w:rPr>
        <w:footnoteReference w:id="554"/>
      </w:r>
    </w:p>
    <w:p>
      <w:pPr>
        <w:pStyle w:val="StructureList1"/>
        <w:spacing w:before="120" w:after="0"/>
        <w:rPr>
          <w:lang w:val="el" w:eastAsia="el"/>
        </w:rPr>
      </w:pPr>
      <w:r>
        <w:rPr>
          <w:b/>
          <w:bCs/>
          <w:lang w:val="el" w:eastAsia="el"/>
        </w:rPr>
        <w:t>γγ)</w:t>
      </w:r>
      <w:r>
        <w:rPr>
          <w:b/>
          <w:bCs/>
          <w:lang w:val="en" w:eastAsia="en"/>
        </w:rPr>
        <w:tab/>
      </w:r>
      <w:r>
        <w:rPr>
          <w:b/>
          <w:bCs/>
          <w:lang w:val="el" w:eastAsia="el"/>
        </w:rPr>
        <w:t>παροχές υπηρεσιών.</w:t>
      </w:r>
      <w:r>
        <w:rPr>
          <w:rStyle w:val="Hyperlink"/>
          <w:b/>
          <w:bCs/>
          <w:color w:val="000000"/>
          <w:sz w:val="20"/>
          <w:szCs w:val="20"/>
          <w:u w:val="none" w:color="0000EE"/>
          <w:vertAlign w:val="superscript"/>
          <w:lang w:val="el" w:eastAsia="el"/>
        </w:rPr>
        <w:footnoteReference w:id="555"/>
      </w:r>
    </w:p>
    <w:p>
      <w:pPr>
        <w:spacing w:before="240" w:after="240"/>
        <w:rPr>
          <w:lang w:val="el" w:eastAsia="el"/>
        </w:rPr>
      </w:pPr>
      <w:r>
        <w:rPr>
          <w:b/>
          <w:bCs/>
          <w:lang w:val="el" w:eastAsia="el"/>
        </w:rPr>
        <w:t>Η δήλωση ΦΠΑ περιλαμβάνει επίσης τυχόν τροποποιήσεις που αναφέρονται σε προηγούμενες φορολογικές περιόδους, όπως προβλέπεται στην περ. δ).</w:t>
      </w:r>
      <w:r>
        <w:rPr>
          <w:rStyle w:val="Hyperlink"/>
          <w:b/>
          <w:bCs/>
          <w:color w:val="000000"/>
          <w:sz w:val="20"/>
          <w:szCs w:val="20"/>
          <w:u w:val="none" w:color="0000EE"/>
          <w:vertAlign w:val="superscript"/>
          <w:lang w:val="el" w:eastAsia="el"/>
        </w:rPr>
        <w:footnoteReference w:id="556"/>
      </w:r>
    </w:p>
    <w:p>
      <w:pPr>
        <w:pStyle w:val="StructureList1"/>
        <w:spacing w:before="120" w:after="0"/>
        <w:rPr>
          <w:lang w:val="el" w:eastAsia="el"/>
        </w:rPr>
      </w:pPr>
      <w:r>
        <w:rPr>
          <w:b/>
          <w:bCs/>
          <w:lang w:val="el" w:eastAsia="el"/>
        </w:rPr>
        <w:t>β)</w:t>
      </w:r>
      <w:r>
        <w:rPr>
          <w:b/>
          <w:bCs/>
          <w:lang w:val="en" w:eastAsia="en"/>
        </w:rPr>
        <w:tab/>
      </w:r>
      <w:r>
        <w:rPr>
          <w:b/>
          <w:bCs/>
          <w:lang w:val="el" w:eastAsia="el"/>
        </w:rPr>
        <w:t>Όταν αποστέλλονται ή μεταφέρονται αγαθά από άλλα κράτη μέλη, η δήλωση ΦΠΑ περιλαμβάνει επίσης τη συνολική αξία χωρίς ΦΠΑ, τους ισχύοντες συντελεστές ΦΠΑ, το συνολικό ποσό του αντίστοιχου ΦΠΑ ανά συντελεστή και το συνολικό ποσό ΦΠΑ που οφείλεται όσον αφορά τις ακόλουθες παραδόσεις αγαθών και παροχές υπηρεσιών που υπάγονται στο παρόν ειδικό καθεστώς, για κάθε κράτος μέλος, από το οποίο αποστέλλονται ή μεταφέρονται τα εν λόγω αγαθά:</w:t>
      </w:r>
      <w:r>
        <w:rPr>
          <w:rStyle w:val="Hyperlink"/>
          <w:b/>
          <w:bCs/>
          <w:color w:val="000000"/>
          <w:sz w:val="20"/>
          <w:szCs w:val="20"/>
          <w:u w:val="none" w:color="0000EE"/>
          <w:vertAlign w:val="superscript"/>
          <w:lang w:val="el" w:eastAsia="el"/>
        </w:rPr>
        <w:footnoteReference w:id="557"/>
      </w:r>
    </w:p>
    <w:p>
      <w:pPr>
        <w:pStyle w:val="StructureList1"/>
        <w:spacing w:before="120" w:after="0"/>
        <w:rPr>
          <w:lang w:val="el" w:eastAsia="el"/>
        </w:rPr>
      </w:pPr>
      <w:r>
        <w:rPr>
          <w:b/>
          <w:bCs/>
          <w:lang w:val="el" w:eastAsia="el"/>
        </w:rPr>
        <w:t>αα)</w:t>
      </w:r>
      <w:r>
        <w:rPr>
          <w:b/>
          <w:bCs/>
          <w:lang w:val="en" w:eastAsia="en"/>
        </w:rPr>
        <w:tab/>
      </w:r>
      <w:r>
        <w:rPr>
          <w:b/>
          <w:bCs/>
          <w:lang w:val="el" w:eastAsia="el"/>
        </w:rPr>
        <w:t>ενδοκοινοτικές εξ αποστάσεως πωλήσεις αγαθών πλην αυτών που πραγματοποιούνται από υποκείμενο στον φόρο, σύμφωνα με την παρ. 2 του άρθρου 5β,</w:t>
      </w:r>
      <w:r>
        <w:rPr>
          <w:rStyle w:val="Hyperlink"/>
          <w:b/>
          <w:bCs/>
          <w:color w:val="000000"/>
          <w:sz w:val="20"/>
          <w:szCs w:val="20"/>
          <w:u w:val="none" w:color="0000EE"/>
          <w:vertAlign w:val="superscript"/>
          <w:lang w:val="el" w:eastAsia="el"/>
        </w:rPr>
        <w:footnoteReference w:id="558"/>
      </w:r>
    </w:p>
    <w:p>
      <w:pPr>
        <w:pStyle w:val="StructureList1"/>
        <w:spacing w:before="120" w:after="0"/>
        <w:rPr>
          <w:lang w:val="el" w:eastAsia="el"/>
        </w:rPr>
      </w:pPr>
      <w:r>
        <w:rPr>
          <w:b/>
          <w:bCs/>
          <w:lang w:val="el" w:eastAsia="el"/>
        </w:rPr>
        <w:t>ββ)</w:t>
      </w:r>
      <w:r>
        <w:rPr>
          <w:b/>
          <w:bCs/>
          <w:lang w:val="en" w:eastAsia="en"/>
        </w:rPr>
        <w:tab/>
      </w:r>
      <w:r>
        <w:rPr>
          <w:b/>
          <w:bCs/>
          <w:lang w:val="el" w:eastAsia="el"/>
        </w:rPr>
        <w:t>ενδοκοινοτικές εξ αποστάσεως πωλήσεις αγαθών και παραδόσεις αγαθών, όταν η αποστολή ή η μεταφορά των αγαθών αυτών αρχίζει και περατώνεται στο ίδιο κράτος μέλος, οι οποίες πραγματοποιούνται από υποκείμενο στον φόρο, σύμφωνα με την παρ. 2 του άρθρου 5β.</w:t>
      </w:r>
      <w:r>
        <w:rPr>
          <w:rStyle w:val="Hyperlink"/>
          <w:b/>
          <w:bCs/>
          <w:color w:val="000000"/>
          <w:sz w:val="20"/>
          <w:szCs w:val="20"/>
          <w:u w:val="none" w:color="0000EE"/>
          <w:vertAlign w:val="superscript"/>
          <w:lang w:val="el" w:eastAsia="el"/>
        </w:rPr>
        <w:footnoteReference w:id="559"/>
      </w:r>
    </w:p>
    <w:p>
      <w:pPr>
        <w:spacing w:before="240" w:after="240"/>
        <w:rPr>
          <w:lang w:val="el" w:eastAsia="el"/>
        </w:rPr>
      </w:pPr>
      <w:r>
        <w:rPr>
          <w:b/>
          <w:bCs/>
          <w:lang w:val="el" w:eastAsia="el"/>
        </w:rPr>
        <w:t>Όσον αφορά τις παραδόσεις που αναφέρονται στην υποπερ. αα), η δήλωση ΦΠΑ περιλαμβάνει επίσης τον ΑΦΜ / ΦΠΑ ή τον αριθμό φορολογικού μητρώου που έχει χορηγηθεί από κάθε κράτος μέλος, από το οποίο αποστέλλονται ή μεταφέρονται τα εν λόγω αγαθά.</w:t>
      </w:r>
      <w:r>
        <w:rPr>
          <w:rStyle w:val="Hyperlink"/>
          <w:b/>
          <w:bCs/>
          <w:color w:val="000000"/>
          <w:sz w:val="20"/>
          <w:szCs w:val="20"/>
          <w:u w:val="none" w:color="0000EE"/>
          <w:vertAlign w:val="superscript"/>
          <w:lang w:val="el" w:eastAsia="el"/>
        </w:rPr>
        <w:footnoteReference w:id="560"/>
      </w:r>
    </w:p>
    <w:p>
      <w:pPr>
        <w:spacing w:before="240" w:after="240"/>
        <w:rPr>
          <w:lang w:val="el" w:eastAsia="el"/>
        </w:rPr>
      </w:pPr>
      <w:r>
        <w:rPr>
          <w:b/>
          <w:bCs/>
          <w:lang w:val="el" w:eastAsia="el"/>
        </w:rPr>
        <w:t>Όσον αφορά τις παραδόσεις που αναφέρονται στην υποπερ. ββ), η δήλωση ΦΠΑ περιλαμβάνει επίσης τον ΑΦΜ / ΦΠΑ ή τον αριθμό φορολογικού μητρώου που έχει χορηγηθεί από κάθε κράτος μέλος, από το οποίο αποστέλλονται ή μεταφέρονται τα εν λόγω αγαθά, αν υπάρχει. Η δήλωση ΦΠΑ περιλαμβάνει τις πληροφορίες που αναφέρονται στην παρούσα κατά κράτος μέλος κατανάλωσης.</w:t>
      </w:r>
      <w:r>
        <w:rPr>
          <w:rStyle w:val="Hyperlink"/>
          <w:b/>
          <w:bCs/>
          <w:color w:val="000000"/>
          <w:sz w:val="20"/>
          <w:szCs w:val="20"/>
          <w:u w:val="none" w:color="0000EE"/>
          <w:vertAlign w:val="superscript"/>
          <w:lang w:val="el" w:eastAsia="el"/>
        </w:rPr>
        <w:footnoteReference w:id="561"/>
      </w:r>
    </w:p>
    <w:p>
      <w:pPr>
        <w:pStyle w:val="StructureList1"/>
        <w:spacing w:before="120" w:after="0"/>
        <w:rPr>
          <w:lang w:val="el" w:eastAsia="el"/>
        </w:rPr>
      </w:pPr>
      <w:r>
        <w:rPr>
          <w:b/>
          <w:bCs/>
          <w:lang w:val="el" w:eastAsia="el"/>
        </w:rPr>
        <w:t>γ)</w:t>
      </w:r>
      <w:r>
        <w:rPr>
          <w:b/>
          <w:bCs/>
          <w:lang w:val="en" w:eastAsia="en"/>
        </w:rPr>
        <w:tab/>
      </w:r>
      <w:r>
        <w:rPr>
          <w:b/>
          <w:bCs/>
          <w:lang w:val="el" w:eastAsia="el"/>
        </w:rPr>
        <w:t>Εάν ο υποκείμενος στον φόρο που παρέχει υπηρεσίες καλυπτόμενες από το παρόν ειδικό καθεστώς έχει μία ή περισσότερες μόνιμες εγκαταστάσεις εκτός από εκείνη που έχει στο κράτος μέλος εγγραφής από τις οποίες παρέχονται οι υπηρεσίες, η δήλωση ΦΠΑ περιλαμβάνει επίσης τη συνολική αξία χωρίς ΦΠΑ, τους ισχύοντες συντελεστές ΦΠΑ, το συνολικό ποσό του αντίστοιχου ΦΠΑ ανά συντελεστή και το συνολικό οφειλόμενο ποσό ΦΠΑ αυτών των παροχών, για κάθε κράτος μέλος στο οποίο ο υποκείμενος στον φόρο έχει εγκατάσταση, μαζί με τον ατομικό ΑΦΜ / ΦΠΑ ή τον αριθμό φορολογικού μητρώου της εγκατάστασης αυτής και ανά κράτος μέλος κατανάλωσης.</w:t>
      </w:r>
      <w:r>
        <w:rPr>
          <w:rStyle w:val="Hyperlink"/>
          <w:b/>
          <w:bCs/>
          <w:color w:val="000000"/>
          <w:sz w:val="20"/>
          <w:szCs w:val="20"/>
          <w:u w:val="none" w:color="0000EE"/>
          <w:vertAlign w:val="superscript"/>
          <w:lang w:val="el" w:eastAsia="el"/>
        </w:rPr>
        <w:footnoteReference w:id="562"/>
      </w:r>
    </w:p>
    <w:p>
      <w:pPr>
        <w:pStyle w:val="StructureList1"/>
        <w:spacing w:before="120" w:after="0"/>
        <w:rPr>
          <w:lang w:val="el" w:eastAsia="el"/>
        </w:rPr>
      </w:pPr>
      <w:r>
        <w:rPr>
          <w:b/>
          <w:bCs/>
          <w:lang w:val="el" w:eastAsia="el"/>
        </w:rPr>
        <w:t>δ)</w:t>
      </w:r>
      <w:r>
        <w:rPr>
          <w:b/>
          <w:bCs/>
          <w:lang w:val="en" w:eastAsia="en"/>
        </w:rPr>
        <w:tab/>
      </w:r>
      <w:r>
        <w:rPr>
          <w:b/>
          <w:bCs/>
          <w:lang w:val="el" w:eastAsia="el"/>
        </w:rPr>
        <w:t>Όταν απαιτούνται τροποποιήσεις σε δήλωση ΦΠΑ μετά την υποβολή της, οι εν λόγω τροποποιήσεις περιλαμβάνονται σε επόμενη δήλωση εντός τριών (3) ετών από την ημερομηνία στην οποία έπρεπε να υποβληθεί η αρχική δήλωση, σύμφωνα με την παρ. 6. Αυτή η επόμενη δήλωση ΦΠΑ προσδιορίζει το σχετικό κράτος μέλος κατανάλωσης, την περίοδο επιβολής του φόρου και το ποσό ΦΠΑ για το οποίο απαιτούνται τροποποιήσεις.</w:t>
      </w:r>
      <w:r>
        <w:rPr>
          <w:rStyle w:val="Hyperlink"/>
          <w:b/>
          <w:bCs/>
          <w:color w:val="000000"/>
          <w:sz w:val="20"/>
          <w:szCs w:val="20"/>
          <w:u w:val="none" w:color="0000EE"/>
          <w:vertAlign w:val="superscript"/>
          <w:lang w:val="el" w:eastAsia="el"/>
        </w:rPr>
        <w:footnoteReference w:id="563"/>
      </w:r>
    </w:p>
    <w:p>
      <w:pPr>
        <w:pStyle w:val="MainText"/>
        <w:spacing w:before="120" w:after="0"/>
        <w:rPr>
          <w:lang w:val="el" w:eastAsia="el"/>
        </w:rPr>
      </w:pPr>
      <w:r>
        <w:rPr>
          <w:b/>
          <w:bCs/>
          <w:lang w:val="el" w:eastAsia="el"/>
        </w:rPr>
        <w:t>8.</w:t>
      </w:r>
      <w:r>
        <w:rPr>
          <w:b/>
          <w:bCs/>
          <w:lang w:val="el" w:eastAsia="el"/>
        </w:rPr>
        <w:t xml:space="preserve"> Η δήλωση ΦΠΑ συμπληρώνεται σε ευρώ. Εάν η παροχή των υπηρεσιών ή η παράδοση αγαθών έχουν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της επόμενης ημέρας που υπάρχει δημοσίευση.</w:t>
      </w:r>
      <w:r>
        <w:rPr>
          <w:rStyle w:val="Hyperlink"/>
          <w:b/>
          <w:bCs/>
          <w:color w:val="000000"/>
          <w:sz w:val="20"/>
          <w:szCs w:val="20"/>
          <w:u w:val="none" w:color="0000EE"/>
          <w:vertAlign w:val="superscript"/>
          <w:lang w:val="el" w:eastAsia="el"/>
        </w:rPr>
        <w:footnoteReference w:id="564"/>
      </w:r>
    </w:p>
    <w:p>
      <w:pPr>
        <w:pStyle w:val="MainText"/>
        <w:spacing w:before="120" w:after="0"/>
        <w:rPr>
          <w:lang w:val="el" w:eastAsia="el"/>
        </w:rPr>
      </w:pPr>
      <w:r>
        <w:rPr>
          <w:b/>
          <w:bCs/>
          <w:lang w:val="el" w:eastAsia="el"/>
        </w:rPr>
        <w:t>9.</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τον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565"/>
      </w:r>
    </w:p>
    <w:p>
      <w:pPr>
        <w:pStyle w:val="MainText"/>
        <w:spacing w:before="120" w:after="0"/>
        <w:rPr>
          <w:lang w:val="el" w:eastAsia="el"/>
        </w:rPr>
      </w:pPr>
      <w:r>
        <w:rPr>
          <w:b/>
          <w:bCs/>
          <w:lang w:val="el" w:eastAsia="el"/>
        </w:rPr>
        <w:t>10.</w:t>
      </w:r>
      <w:r>
        <w:rPr>
          <w:b/>
          <w:bCs/>
          <w:lang w:val="el" w:eastAsia="el"/>
        </w:rPr>
        <w:t xml:space="preserve"> Ο υποκείμενος της παρ. 2 που χρησιμοποιεί το παρόν καθεστώς δεν έχει δικαίωμα έκπτωσης του φόρου εισροών που κατέβαλε στην Ελλάδα. Ο φόρος αυτός επιστρέφεται, σύμφωνα με την παρ. 2 του άρθρου 34 του Κώδικα ΦΠΑ, και χωρίς την πλήρωση των προϋποθέσεων που ορίζονται στην παράγραφο αυτή. Κατά παρέκκλιση των προηγουμένων εδαφίων, εάν ο εν λόγω υποκείμενος απαιτείται να διαθέτει ΑΦΜ / ΦΠΑ στην Ελλάδα για δραστηριότητες μη υπαγόμενες στο παρόν καθεστώς, τότε παρέχεται σε αυτόν δικαίωμα έκπτωσης του φόρου εισροών που κατέβαλε στην Ελλάδα και αφορά τις φορολογητέες δραστηριότητές του που υπάγονται στο παρόν καθεστώς. Το δικαίωμα έκπτωσης του προηγούμενου εδαφίου ασκείται με τη δήλωση ΦΠΑ, που υποβάλλεται σύμφωνα με την παρ. 1 του άρθρου 38.</w:t>
      </w:r>
      <w:r>
        <w:rPr>
          <w:rStyle w:val="Hyperlink"/>
          <w:b/>
          <w:bCs/>
          <w:color w:val="000000"/>
          <w:sz w:val="20"/>
          <w:szCs w:val="20"/>
          <w:u w:val="none" w:color="0000EE"/>
          <w:vertAlign w:val="superscript"/>
          <w:lang w:val="el" w:eastAsia="el"/>
        </w:rPr>
        <w:footnoteReference w:id="566"/>
      </w:r>
    </w:p>
    <w:p>
      <w:pPr>
        <w:pStyle w:val="MainText"/>
        <w:spacing w:before="120" w:after="0"/>
        <w:rPr>
          <w:lang w:val="el" w:eastAsia="el"/>
        </w:rPr>
      </w:pPr>
      <w:r>
        <w:rPr>
          <w:b/>
          <w:bCs/>
          <w:lang w:val="el" w:eastAsia="el"/>
        </w:rPr>
        <w:t>11.</w:t>
      </w:r>
      <w:r>
        <w:rPr>
          <w:b/>
          <w:bCs/>
          <w:lang w:val="el" w:eastAsia="el"/>
        </w:rPr>
        <w:t xml:space="preserve"> Ο υποκείμενος της παρ. 2 υποχρεούται να καταχωρεί με επαρκείς λεπτομέρειες στα λογιστικά αρχεία (βιβλία) τις πληροφορίες για τις πραγματοποιούμενες συναλλαγές που καλύπτονται από το παρόν ειδικό καθεστώς, ώστε να μπορούν οι φορολογικές αρχές της Ελλάδας και των λοιπών κρατών μελών κατανάλωσης να επαληθεύουν την ακρίβεια της δήλωσης ΦΠΑ. Οι καταχωρήσεις διατίθενται ηλεκτρονικά, ύστερα από αίτηση, στην ελληνική Φορολογική Διοίκηση και στο κράτος μέλος κατανάλωσης και διαφυλάσσονται για διάστημα δέκα (10) ετών, που αρχίζει από τις 31 Δεκεμβρίου του έτους, κατά το οποίο πραγματοποιήθηκε η παράδοση αγαθών ή η παροχή των υπηρεσιών.</w:t>
      </w:r>
      <w:r>
        <w:rPr>
          <w:rStyle w:val="Hyperlink"/>
          <w:b/>
          <w:bCs/>
          <w:color w:val="000000"/>
          <w:sz w:val="20"/>
          <w:szCs w:val="20"/>
          <w:u w:val="none" w:color="0000EE"/>
          <w:vertAlign w:val="superscript"/>
          <w:lang w:val="el" w:eastAsia="el"/>
        </w:rPr>
        <w:footnoteReference w:id="567"/>
      </w:r>
    </w:p>
    <w:p>
      <w:pPr>
        <w:pStyle w:val="MainText"/>
        <w:spacing w:before="120" w:after="0"/>
        <w:rPr>
          <w:lang w:val="el" w:eastAsia="el"/>
        </w:rPr>
      </w:pPr>
      <w:r>
        <w:rPr>
          <w:b/>
          <w:bCs/>
          <w:lang w:val="el" w:eastAsia="el"/>
        </w:rPr>
        <w:t>12.</w:t>
      </w:r>
      <w:r>
        <w:rPr>
          <w:b/>
          <w:bCs/>
          <w:lang w:val="el" w:eastAsia="el"/>
        </w:rPr>
        <w:t xml:space="preserve"> Η αρμόδια για τη διαχείριση του καθεστώτος Υπηρεσία της Α.Α.Δ.Ε., υποχρεούται για:</w:t>
      </w:r>
      <w:r>
        <w:rPr>
          <w:rStyle w:val="Hyperlink"/>
          <w:b/>
          <w:bCs/>
          <w:color w:val="000000"/>
          <w:sz w:val="20"/>
          <w:szCs w:val="20"/>
          <w:u w:val="none" w:color="0000EE"/>
          <w:vertAlign w:val="superscript"/>
          <w:lang w:val="el" w:eastAsia="el"/>
        </w:rPr>
        <w:footnoteReference w:id="568"/>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 3,</w:t>
      </w:r>
      <w:r>
        <w:rPr>
          <w:rStyle w:val="Hyperlink"/>
          <w:b/>
          <w:bCs/>
          <w:color w:val="000000"/>
          <w:sz w:val="20"/>
          <w:szCs w:val="20"/>
          <w:u w:val="none" w:color="0000EE"/>
          <w:vertAlign w:val="superscript"/>
          <w:lang w:val="el" w:eastAsia="el"/>
        </w:rPr>
        <w:footnoteReference w:id="569"/>
      </w:r>
    </w:p>
    <w:p>
      <w:pPr>
        <w:pStyle w:val="StructureList1"/>
        <w:spacing w:before="120" w:after="0"/>
        <w:rPr>
          <w:lang w:val="el" w:eastAsia="el"/>
        </w:rPr>
      </w:pPr>
      <w:r>
        <w:rPr>
          <w:b/>
          <w:bCs/>
          <w:lang w:val="el" w:eastAsia="el"/>
        </w:rPr>
        <w:t>β)</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570"/>
      </w:r>
    </w:p>
    <w:p>
      <w:pPr>
        <w:pStyle w:val="StructureList1"/>
        <w:spacing w:before="120" w:after="0"/>
        <w:rPr>
          <w:lang w:val="el" w:eastAsia="el"/>
        </w:rPr>
      </w:pPr>
      <w:r>
        <w:rPr>
          <w:b/>
          <w:bCs/>
          <w:lang w:val="el" w:eastAsia="el"/>
        </w:rPr>
        <w:t>γ)</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571"/>
      </w:r>
    </w:p>
    <w:p>
      <w:pPr>
        <w:pStyle w:val="StructureList1"/>
        <w:spacing w:before="120" w:after="0"/>
        <w:rPr>
          <w:lang w:val="el" w:eastAsia="el"/>
        </w:rPr>
      </w:pPr>
      <w:r>
        <w:rPr>
          <w:b/>
          <w:bCs/>
          <w:lang w:val="el" w:eastAsia="el"/>
        </w:rPr>
        <w:t>δ)</w:t>
      </w:r>
      <w:r>
        <w:rPr>
          <w:b/>
          <w:bCs/>
          <w:lang w:val="en" w:eastAsia="en"/>
        </w:rPr>
        <w:tab/>
      </w:r>
      <w:r>
        <w:rPr>
          <w:b/>
          <w:bCs/>
          <w:lang w:val="el" w:eastAsia="el"/>
        </w:rPr>
        <w:t>την κατανομή στα άλλα κράτη μέλη κατανάλωσης του φόρου που τους αναλογεί, με βάση τα στοιχεία των δηλώσεων και του λογαριασμού που προβλέπεται στην παρ. 9,</w:t>
      </w:r>
      <w:r>
        <w:rPr>
          <w:rStyle w:val="Hyperlink"/>
          <w:b/>
          <w:bCs/>
          <w:color w:val="000000"/>
          <w:sz w:val="20"/>
          <w:szCs w:val="20"/>
          <w:u w:val="none" w:color="0000EE"/>
          <w:vertAlign w:val="superscript"/>
          <w:lang w:val="el" w:eastAsia="el"/>
        </w:rPr>
        <w:footnoteReference w:id="572"/>
      </w:r>
    </w:p>
    <w:p>
      <w:pPr>
        <w:pStyle w:val="StructureList1"/>
        <w:spacing w:before="120" w:after="0"/>
        <w:rPr>
          <w:lang w:val="el" w:eastAsia="el"/>
        </w:rPr>
      </w:pPr>
      <w:r>
        <w:rPr>
          <w:b/>
          <w:bCs/>
          <w:lang w:val="el" w:eastAsia="el"/>
        </w:rPr>
        <w:t>ε)</w:t>
      </w:r>
      <w:r>
        <w:rPr>
          <w:b/>
          <w:bCs/>
          <w:lang w:val="en" w:eastAsia="en"/>
        </w:rPr>
        <w:tab/>
      </w:r>
      <w:r>
        <w:rPr>
          <w:b/>
          <w:bCs/>
          <w:lang w:val="el" w:eastAsia="el"/>
        </w:rPr>
        <w:t>την παροχή στα άλλα κράτη μέλη πληροφοριών που αφορούν την εγγραφή, διαγραφή ή εξαίρεση από το καθεστώς, την υποβολή δηλώσεων και την καταβολή του φόρου, για την επαλήθευση της κατάστασης των υποκείμενων στον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573"/>
      </w:r>
    </w:p>
    <w:p>
      <w:pPr>
        <w:pStyle w:val="StructureList1"/>
        <w:spacing w:before="120" w:after="0"/>
        <w:rPr>
          <w:lang w:val="el" w:eastAsia="el"/>
        </w:rPr>
      </w:pPr>
      <w:r>
        <w:rPr>
          <w:b/>
          <w:bCs/>
          <w:lang w:val="el" w:eastAsia="el"/>
        </w:rPr>
        <w:t>στ)</w:t>
      </w:r>
      <w:r>
        <w:rPr>
          <w:b/>
          <w:bCs/>
          <w:lang w:val="en" w:eastAsia="en"/>
        </w:rPr>
        <w:tab/>
      </w:r>
      <w:r>
        <w:rPr>
          <w:b/>
          <w:bCs/>
          <w:lang w:val="el" w:eastAsia="el"/>
        </w:rPr>
        <w:t>τη διαχείριση των πληροφοριών και των δηλώσεων που διαβιβάζονται από τα άλλα κράτη μέλη για υποκείμενους στον φόρο που έχουν εγγράφει στο αντίστοιχο ειδικό καθεστώς, καθώς και τον συντονισμό των ενεργειών που απαιτούνται για την ορθή απόδοση του φόρου.</w:t>
      </w:r>
      <w:r>
        <w:rPr>
          <w:rStyle w:val="Hyperlink"/>
          <w:b/>
          <w:bCs/>
          <w:color w:val="000000"/>
          <w:sz w:val="20"/>
          <w:szCs w:val="20"/>
          <w:u w:val="none" w:color="0000EE"/>
          <w:vertAlign w:val="superscript"/>
          <w:lang w:val="el" w:eastAsia="el"/>
        </w:rPr>
        <w:footnoteReference w:id="574"/>
      </w:r>
    </w:p>
    <w:p>
      <w:pPr>
        <w:pStyle w:val="MainText"/>
        <w:spacing w:before="120" w:after="0"/>
        <w:rPr>
          <w:lang w:val="el" w:eastAsia="el"/>
        </w:rPr>
      </w:pPr>
      <w:r>
        <w:rPr>
          <w:b/>
          <w:bCs/>
          <w:lang w:val="el" w:eastAsia="el"/>
        </w:rPr>
        <w:t>13.</w:t>
      </w:r>
      <w:r>
        <w:rPr>
          <w:b/>
          <w:bCs/>
          <w:lang w:val="el" w:eastAsia="el"/>
        </w:rPr>
        <w:t xml:space="preserve"> Με απόφαση του Διοικητή της Α.Α.Δ.Ε. ορίζονται τα αρμόδια όργανα, οι διαδικασίες εγγραφής και διαγραφής ή εξαίρεσης από το ειδικό καθεστώς, η διαδικασία υποβολής της δήλωσης ΦΠΑ, καταβολής του οφειλόμενου φόρου, και της απόδοσης αυτού στα άλλα κράτη μέλη κατανάλωσης, επιστροφής αχρεωστήτως καταβληθέντων ποσών,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575"/>
      </w:r>
    </w:p>
    <w:p>
      <w:pPr>
        <w:pStyle w:val="Heading6"/>
        <w:spacing w:before="240" w:after="240"/>
        <w:rPr>
          <w:lang w:val="el" w:eastAsia="el"/>
        </w:rPr>
      </w:pPr>
      <w:r>
        <w:rPr>
          <w:b/>
          <w:bCs/>
          <w:lang w:val="el" w:eastAsia="el"/>
        </w:rPr>
        <w:t>Άρθρο 47δ</w:t>
      </w:r>
      <w:r>
        <w:rPr>
          <w:b/>
          <w:bCs/>
          <w:lang w:val="el" w:eastAsia="el"/>
        </w:rPr>
        <w:t xml:space="preserve"> </w:t>
      </w:r>
    </w:p>
    <w:p>
      <w:pPr>
        <w:pStyle w:val="Heading6"/>
        <w:spacing w:before="240" w:after="240"/>
        <w:rPr>
          <w:lang w:val="el" w:eastAsia="el"/>
        </w:rPr>
      </w:pPr>
      <w:r>
        <w:rPr>
          <w:b/>
          <w:bCs/>
          <w:lang w:val="el" w:eastAsia="el"/>
        </w:rPr>
        <w:t>Ειδικό καθεστώς για εξ αποστάσεως πωλήσεις αγαθών που εισάγονται από τρίτες χώρες ή τρίτα εδάφη</w:t>
      </w:r>
      <w:r>
        <w:rPr>
          <w:rStyle w:val="Hyperlink"/>
          <w:b/>
          <w:bCs/>
          <w:color w:val="000000"/>
          <w:sz w:val="20"/>
          <w:szCs w:val="20"/>
          <w:u w:val="none" w:color="0000EE"/>
          <w:vertAlign w:val="superscript"/>
          <w:lang w:val="el" w:eastAsia="el"/>
        </w:rPr>
        <w:footnoteReference w:id="576"/>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ειδικού καθεστώτος, οι εξ αποστάσεως πωλήσεις αγαθών, που εισάγονται από τρίτα εδάφη ή τρίτες χώρες, καλύπτουν αγαθά, εξαιρουμένων των προϊόντων που υπόκεινται σε ειδικό φόρο κατανάλωσης, σε δέματα εσωτερικής αξίας που δεν υπερβαίνει τα εκατόν πενήντα (150) ευρώ. «Εσωτερική αξία» νοείται η τιμή των αγαθών καθαυτά όταν πωλούνται προς εξαγωγή στο τελωνειακό έδαφος της Ένωσης κατά τα ειδικότερα οριζόμενα στις κατ` εξουσιοδότηση διατάξεις του Ενωσιακού Τελωνειακού Κώδικα (Κανονισμός (ΕΕ) αρ. 952/2013 του Ευρωπαϊκού Κοινοβουλίου και του Συμβουλίου της 9ης Οκτωβρίου 2013, L 269). Για εμπορεύματα που υπόκεινται σε απαγορεύσεις και περιορισμούς κατά την εισαγωγή εφαρμογής τυγχάνουν οι διατάξεις της ενωσιακής τελωνειακής νομοθεσίας.</w:t>
      </w:r>
      <w:r>
        <w:rPr>
          <w:rStyle w:val="Hyperlink"/>
          <w:b/>
          <w:bCs/>
          <w:color w:val="000000"/>
          <w:sz w:val="20"/>
          <w:szCs w:val="20"/>
          <w:u w:val="none" w:color="0000EE"/>
          <w:vertAlign w:val="superscript"/>
          <w:lang w:val="el" w:eastAsia="el"/>
        </w:rPr>
        <w:footnoteReference w:id="577"/>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ειδικού καθεστώτος νοούνται ως:</w:t>
      </w:r>
      <w:r>
        <w:rPr>
          <w:rStyle w:val="Hyperlink"/>
          <w:b/>
          <w:bCs/>
          <w:color w:val="000000"/>
          <w:sz w:val="20"/>
          <w:szCs w:val="20"/>
          <w:u w:val="none" w:color="0000EE"/>
          <w:vertAlign w:val="superscript"/>
          <w:lang w:val="el" w:eastAsia="el"/>
        </w:rPr>
        <w:footnoteReference w:id="578"/>
      </w:r>
    </w:p>
    <w:p>
      <w:pPr>
        <w:pStyle w:val="StructureList1"/>
        <w:spacing w:before="120" w:after="0"/>
        <w:rPr>
          <w:lang w:val="el" w:eastAsia="el"/>
        </w:rPr>
      </w:pPr>
      <w:r>
        <w:rPr>
          <w:b/>
          <w:bCs/>
          <w:lang w:val="el" w:eastAsia="el"/>
        </w:rPr>
        <w:t>α)</w:t>
      </w:r>
      <w:r>
        <w:rPr>
          <w:b/>
          <w:bCs/>
          <w:lang w:val="en" w:eastAsia="en"/>
        </w:rPr>
        <w:tab/>
      </w:r>
      <w:r>
        <w:rPr>
          <w:b/>
          <w:bCs/>
          <w:lang w:val="el" w:eastAsia="el"/>
        </w:rPr>
        <w:t>«μη εγκατεστημένος στην Ένωση υποκείμενος στον φόρο»: υποκείμενος στον φόρο που δεν διατηρεί την έδρα της οικονομικής δραστηριότητάς του ούτε μόνιμη εγκατάσταση στο έδαφος της Ένωσης,</w:t>
      </w:r>
      <w:r>
        <w:rPr>
          <w:rStyle w:val="Hyperlink"/>
          <w:b/>
          <w:bCs/>
          <w:color w:val="000000"/>
          <w:sz w:val="20"/>
          <w:szCs w:val="20"/>
          <w:u w:val="none" w:color="0000EE"/>
          <w:vertAlign w:val="superscript"/>
          <w:lang w:val="el" w:eastAsia="el"/>
        </w:rPr>
        <w:footnoteReference w:id="579"/>
      </w:r>
    </w:p>
    <w:p>
      <w:pPr>
        <w:pStyle w:val="StructureList1"/>
        <w:spacing w:before="120" w:after="0"/>
        <w:rPr>
          <w:lang w:val="el" w:eastAsia="el"/>
        </w:rPr>
      </w:pPr>
      <w:r>
        <w:rPr>
          <w:b/>
          <w:bCs/>
          <w:lang w:val="el" w:eastAsia="el"/>
        </w:rPr>
        <w:t>β)</w:t>
      </w:r>
      <w:r>
        <w:rPr>
          <w:b/>
          <w:bCs/>
          <w:lang w:val="en" w:eastAsia="en"/>
        </w:rPr>
        <w:tab/>
      </w:r>
      <w:r>
        <w:rPr>
          <w:b/>
          <w:bCs/>
          <w:lang w:val="el" w:eastAsia="el"/>
        </w:rPr>
        <w:t>«μεσάζων»: πρόσωπο εγκατεστημένο εντός της Ένωσης, το οποίο ορίζεται από τον υποκείμενο στον φόρο, που πραγματοποιεί εξ αποστάσεως πωλήσεις αγαθών που εισάγονται από τρίτα εδάφη ή τρίτες χώρες ως υπόχρεο για την καταβολή του ΦΠΑ και για την εκπλήρωση των υποχρεώσεων που προβλέπονται στο παρόν ειδικό καθεστώς εξ ονόματος και για λογαριασμό του υποκείμενου στον φόρο,</w:t>
      </w:r>
      <w:r>
        <w:rPr>
          <w:rStyle w:val="Hyperlink"/>
          <w:b/>
          <w:bCs/>
          <w:color w:val="000000"/>
          <w:sz w:val="20"/>
          <w:szCs w:val="20"/>
          <w:u w:val="none" w:color="0000EE"/>
          <w:vertAlign w:val="superscript"/>
          <w:lang w:val="el" w:eastAsia="el"/>
        </w:rPr>
        <w:footnoteReference w:id="580"/>
      </w:r>
    </w:p>
    <w:p>
      <w:pPr>
        <w:pStyle w:val="StructureList1"/>
        <w:spacing w:before="120" w:after="0"/>
        <w:rPr>
          <w:lang w:val="el" w:eastAsia="el"/>
        </w:rPr>
      </w:pPr>
      <w:r>
        <w:rPr>
          <w:b/>
          <w:bCs/>
          <w:lang w:val="el" w:eastAsia="el"/>
        </w:rPr>
        <w:t>γ)</w:t>
      </w:r>
      <w:r>
        <w:rPr>
          <w:b/>
          <w:bCs/>
          <w:lang w:val="en" w:eastAsia="en"/>
        </w:rPr>
        <w:tab/>
      </w:r>
      <w:r>
        <w:rPr>
          <w:b/>
          <w:bCs/>
          <w:lang w:val="el" w:eastAsia="el"/>
        </w:rPr>
        <w:t>«κράτος μέλος εγγραφής» νοείται:</w:t>
      </w:r>
      <w:r>
        <w:rPr>
          <w:rStyle w:val="Hyperlink"/>
          <w:b/>
          <w:bCs/>
          <w:color w:val="000000"/>
          <w:sz w:val="20"/>
          <w:szCs w:val="20"/>
          <w:u w:val="none" w:color="0000EE"/>
          <w:vertAlign w:val="superscript"/>
          <w:lang w:val="el" w:eastAsia="el"/>
        </w:rPr>
        <w:footnoteReference w:id="581"/>
      </w:r>
    </w:p>
    <w:p>
      <w:pPr>
        <w:pStyle w:val="StructureList1"/>
        <w:spacing w:before="120" w:after="0"/>
        <w:rPr>
          <w:lang w:val="el" w:eastAsia="el"/>
        </w:rPr>
      </w:pPr>
      <w:r>
        <w:rPr>
          <w:b/>
          <w:bCs/>
          <w:lang w:val="el" w:eastAsia="el"/>
        </w:rPr>
        <w:t>αα)</w:t>
      </w:r>
      <w:r>
        <w:rPr>
          <w:b/>
          <w:bCs/>
          <w:lang w:val="en" w:eastAsia="en"/>
        </w:rPr>
        <w:tab/>
      </w:r>
      <w:r>
        <w:rPr>
          <w:b/>
          <w:bCs/>
          <w:lang w:val="el" w:eastAsia="el"/>
        </w:rPr>
        <w:t>όταν ο υποκείμενος στον φόρο δεν είναι εγκατεστημένος εντός της Ένωσης, το κράτος μέλος στο μητρώο του οποίου επιλέγει να εγγραφεί,</w:t>
      </w:r>
      <w:r>
        <w:rPr>
          <w:rStyle w:val="Hyperlink"/>
          <w:b/>
          <w:bCs/>
          <w:color w:val="000000"/>
          <w:sz w:val="20"/>
          <w:szCs w:val="20"/>
          <w:u w:val="none" w:color="0000EE"/>
          <w:vertAlign w:val="superscript"/>
          <w:lang w:val="el" w:eastAsia="el"/>
        </w:rPr>
        <w:footnoteReference w:id="582"/>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ο υποκείμενος στον φόρο έχει την έδρα της οικονομικής του δραστηριότητας εκτός της Ένωσης, αλλά έχει μία ή περισσότερες μόνιμες εγκαταστάσεις εντός της Ένωσης, το κράτος μέλος με μόνιμη εγκατάσταση στο οποίο ο υποκείμενος στον φόρο δηλώνει ότι θα κάνει χρήση του παρόντος ειδικού καθεστώτος,</w:t>
      </w:r>
      <w:r>
        <w:rPr>
          <w:rStyle w:val="Hyperlink"/>
          <w:b/>
          <w:bCs/>
          <w:color w:val="000000"/>
          <w:sz w:val="20"/>
          <w:szCs w:val="20"/>
          <w:u w:val="none" w:color="0000EE"/>
          <w:vertAlign w:val="superscript"/>
          <w:lang w:val="el" w:eastAsia="el"/>
        </w:rPr>
        <w:footnoteReference w:id="583"/>
      </w:r>
    </w:p>
    <w:p>
      <w:pPr>
        <w:pStyle w:val="StructureList1"/>
        <w:spacing w:before="120" w:after="0"/>
        <w:rPr>
          <w:lang w:val="el" w:eastAsia="el"/>
        </w:rPr>
      </w:pPr>
      <w:r>
        <w:rPr>
          <w:b/>
          <w:bCs/>
          <w:lang w:val="el" w:eastAsia="el"/>
        </w:rPr>
        <w:t>γγ)</w:t>
      </w:r>
      <w:r>
        <w:rPr>
          <w:b/>
          <w:bCs/>
          <w:lang w:val="en" w:eastAsia="en"/>
        </w:rPr>
        <w:tab/>
      </w:r>
      <w:r>
        <w:rPr>
          <w:b/>
          <w:bCs/>
          <w:lang w:val="el" w:eastAsia="el"/>
        </w:rPr>
        <w:t>όταν ο υποκείμενος στον φόρο έχει την έδρα της οικονομικής του δραστηριότητας σε κράτος μέλος, το εν λόγω κράτος μέλος,</w:t>
      </w:r>
      <w:r>
        <w:rPr>
          <w:rStyle w:val="Hyperlink"/>
          <w:b/>
          <w:bCs/>
          <w:color w:val="000000"/>
          <w:sz w:val="20"/>
          <w:szCs w:val="20"/>
          <w:u w:val="none" w:color="0000EE"/>
          <w:vertAlign w:val="superscript"/>
          <w:lang w:val="el" w:eastAsia="el"/>
        </w:rPr>
        <w:footnoteReference w:id="584"/>
      </w:r>
    </w:p>
    <w:p>
      <w:pPr>
        <w:pStyle w:val="StructureList1"/>
        <w:spacing w:before="120" w:after="0"/>
        <w:rPr>
          <w:lang w:val="el" w:eastAsia="el"/>
        </w:rPr>
      </w:pPr>
      <w:r>
        <w:rPr>
          <w:b/>
          <w:bCs/>
          <w:lang w:val="el" w:eastAsia="el"/>
        </w:rPr>
        <w:t>δδ)</w:t>
      </w:r>
      <w:r>
        <w:rPr>
          <w:b/>
          <w:bCs/>
          <w:lang w:val="en" w:eastAsia="en"/>
        </w:rPr>
        <w:tab/>
      </w:r>
      <w:r>
        <w:rPr>
          <w:b/>
          <w:bCs/>
          <w:lang w:val="el" w:eastAsia="el"/>
        </w:rPr>
        <w:t>όταν ο μεσάζων έχει την έδρα της οικονομικής του δραστηριότητας σε κράτος μέλος, το εν λόγω κράτος μέλος,</w:t>
      </w:r>
      <w:r>
        <w:rPr>
          <w:rStyle w:val="Hyperlink"/>
          <w:b/>
          <w:bCs/>
          <w:color w:val="000000"/>
          <w:sz w:val="20"/>
          <w:szCs w:val="20"/>
          <w:u w:val="none" w:color="0000EE"/>
          <w:vertAlign w:val="superscript"/>
          <w:lang w:val="el" w:eastAsia="el"/>
        </w:rPr>
        <w:footnoteReference w:id="585"/>
      </w:r>
    </w:p>
    <w:p>
      <w:pPr>
        <w:pStyle w:val="StructureList1"/>
        <w:spacing w:before="120" w:after="0"/>
        <w:rPr>
          <w:lang w:val="el" w:eastAsia="el"/>
        </w:rPr>
      </w:pPr>
      <w:r>
        <w:rPr>
          <w:b/>
          <w:bCs/>
          <w:lang w:val="el" w:eastAsia="el"/>
        </w:rPr>
        <w:t>εε)</w:t>
      </w:r>
      <w:r>
        <w:rPr>
          <w:b/>
          <w:bCs/>
          <w:lang w:val="en" w:eastAsia="en"/>
        </w:rPr>
        <w:tab/>
      </w:r>
      <w:r>
        <w:rPr>
          <w:b/>
          <w:bCs/>
          <w:lang w:val="el" w:eastAsia="el"/>
        </w:rPr>
        <w:t>όταν ο μεσάζων έχει την έδρα της οικονομικής του δραστηριότητας εκτός της Ένωσης, αλλά έχει μία ή περισσότερες μόνιμες εγκαταστάσεις εντός της Ένωσης, το κράτος μέλος με μόνιμη εγκατάσταση στο οποίο ο μεσάζων δηλώνει ότι θα κάνει χρήση του παρόντος ειδικού καθεστώτος.</w:t>
      </w:r>
      <w:r>
        <w:rPr>
          <w:rStyle w:val="Hyperlink"/>
          <w:b/>
          <w:bCs/>
          <w:color w:val="000000"/>
          <w:sz w:val="20"/>
          <w:szCs w:val="20"/>
          <w:u w:val="none" w:color="0000EE"/>
          <w:vertAlign w:val="superscript"/>
          <w:lang w:val="el" w:eastAsia="el"/>
        </w:rPr>
        <w:footnoteReference w:id="586"/>
      </w:r>
    </w:p>
    <w:p>
      <w:pPr>
        <w:spacing w:before="240" w:after="240"/>
        <w:rPr>
          <w:lang w:val="el" w:eastAsia="el"/>
        </w:rPr>
      </w:pPr>
      <w:r>
        <w:rPr>
          <w:b/>
          <w:bCs/>
          <w:lang w:val="el" w:eastAsia="el"/>
        </w:rPr>
        <w:t>Για τους σκοπούς των υποπερ. ββ) και εε) όταν ο υποκείμενος στον φόρο ή ο μεσάζων έχει περισσότερες από μία μόνιμες εγκαταστάσεις εντός της Ένωσης, δεσμεύεται από την απόφαση να δηλώσει το κράτος μέλος εγκατάστασης όπου θα κάνει χρήση του ειδικού καθεστώτος για το συγκεκριμένο ημερολογιακό έτος και για τα δύο (2) επόμενα ημερολογιακά έτη,</w:t>
      </w:r>
      <w:r>
        <w:rPr>
          <w:rStyle w:val="Hyperlink"/>
          <w:b/>
          <w:bCs/>
          <w:color w:val="000000"/>
          <w:sz w:val="20"/>
          <w:szCs w:val="20"/>
          <w:u w:val="none" w:color="0000EE"/>
          <w:vertAlign w:val="superscript"/>
          <w:lang w:val="el" w:eastAsia="el"/>
        </w:rPr>
        <w:footnoteReference w:id="587"/>
      </w:r>
    </w:p>
    <w:p>
      <w:pPr>
        <w:pStyle w:val="StructureList1"/>
        <w:spacing w:before="120" w:after="0"/>
        <w:rPr>
          <w:lang w:val="el" w:eastAsia="el"/>
        </w:rPr>
      </w:pPr>
      <w:r>
        <w:rPr>
          <w:b/>
          <w:bCs/>
          <w:lang w:val="el" w:eastAsia="el"/>
        </w:rPr>
        <w:t>δ)</w:t>
      </w:r>
      <w:r>
        <w:rPr>
          <w:b/>
          <w:bCs/>
          <w:lang w:val="en" w:eastAsia="en"/>
        </w:rPr>
        <w:tab/>
      </w:r>
      <w:r>
        <w:rPr>
          <w:b/>
          <w:bCs/>
          <w:lang w:val="el" w:eastAsia="el"/>
        </w:rPr>
        <w:t>«κράτος μέλος κατανάλωσης»: το κράτος μέλος άφιξης της αποστολής ή της μεταφοράς των αγαθών στον αποκτώντα πελάτη.</w:t>
      </w:r>
      <w:r>
        <w:rPr>
          <w:rStyle w:val="Hyperlink"/>
          <w:b/>
          <w:bCs/>
          <w:color w:val="000000"/>
          <w:sz w:val="20"/>
          <w:szCs w:val="20"/>
          <w:u w:val="none" w:color="0000EE"/>
          <w:vertAlign w:val="superscript"/>
          <w:lang w:val="el" w:eastAsia="el"/>
        </w:rPr>
        <w:footnoteReference w:id="588"/>
      </w:r>
    </w:p>
    <w:p>
      <w:pPr>
        <w:pStyle w:val="MainText"/>
        <w:spacing w:before="120" w:after="0"/>
        <w:rPr>
          <w:lang w:val="el" w:eastAsia="el"/>
        </w:rPr>
      </w:pPr>
      <w:r>
        <w:rPr>
          <w:b/>
          <w:bCs/>
          <w:lang w:val="el" w:eastAsia="el"/>
        </w:rPr>
        <w:t>3.</w:t>
      </w:r>
      <w:r>
        <w:rPr>
          <w:b/>
          <w:bCs/>
          <w:lang w:val="el" w:eastAsia="el"/>
        </w:rPr>
        <w:t xml:space="preserve"> Οι κάτωθι υποκείμενοι στον φόρο που πραγματοποιούν εξ αποστάσεως πωλήσεις αγαθών που εισάγονται από τρίτες χώρες ή τρίτα εδάφη δύνανται να χρησιμοποιούν το παρόν ειδικό καθεστώς:</w:t>
      </w:r>
      <w:r>
        <w:rPr>
          <w:rStyle w:val="Hyperlink"/>
          <w:b/>
          <w:bCs/>
          <w:color w:val="000000"/>
          <w:sz w:val="20"/>
          <w:szCs w:val="20"/>
          <w:u w:val="none" w:color="0000EE"/>
          <w:vertAlign w:val="superscript"/>
          <w:lang w:val="el" w:eastAsia="el"/>
        </w:rPr>
        <w:footnoteReference w:id="589"/>
      </w:r>
    </w:p>
    <w:p>
      <w:pPr>
        <w:pStyle w:val="StructureList1"/>
        <w:spacing w:before="120" w:after="0"/>
        <w:rPr>
          <w:lang w:val="el" w:eastAsia="el"/>
        </w:rPr>
      </w:pPr>
      <w:r>
        <w:rPr>
          <w:b/>
          <w:bCs/>
          <w:lang w:val="el" w:eastAsia="el"/>
        </w:rPr>
        <w:t>α)</w:t>
      </w:r>
      <w:r>
        <w:rPr>
          <w:b/>
          <w:bCs/>
          <w:lang w:val="en" w:eastAsia="en"/>
        </w:rPr>
        <w:tab/>
      </w:r>
      <w:r>
        <w:rPr>
          <w:b/>
          <w:bCs/>
          <w:lang w:val="el" w:eastAsia="el"/>
        </w:rPr>
        <w:t>κάθε υποκείμενος στον φόρο που έχει την έδρα της οικονομικής του δραστηριότητας στο εσωτερικό της Χώρας ή κάθε υποκείμενος στον φόρο που έχει την έδρα της οικονομικής του δραστηριότητας εκτός Ένωσης, αλλά διαθέτει μόνιμη εγκατάσταση στο εσωτερικό της Χώρας. Σε περίπτωση που ο υποκείμενος στον φόρο διαθέτει μόνιμες εγκαταστάσεις και σε άλλα κράτη μέλη, εφόσον επιλέξει για την εγγραφή του στο παρόν ειδικό καθεστώς την Ελλάδα, δεσμεύεται από την απόφαση αυτή για το συγκεκριμένο ημερολογιακό έτος και για τα δύο (2) επόμενα ημερολογιακά έτη.</w:t>
      </w:r>
      <w:r>
        <w:rPr>
          <w:rStyle w:val="Hyperlink"/>
          <w:b/>
          <w:bCs/>
          <w:color w:val="000000"/>
          <w:sz w:val="20"/>
          <w:szCs w:val="20"/>
          <w:u w:val="none" w:color="0000EE"/>
          <w:vertAlign w:val="superscript"/>
          <w:lang w:val="el" w:eastAsia="el"/>
        </w:rPr>
        <w:footnoteReference w:id="590"/>
      </w:r>
    </w:p>
    <w:p>
      <w:pPr>
        <w:pStyle w:val="StructureList1"/>
        <w:spacing w:before="120" w:after="0"/>
        <w:rPr>
          <w:lang w:val="el" w:eastAsia="el"/>
        </w:rPr>
      </w:pPr>
      <w:r>
        <w:rPr>
          <w:b/>
          <w:bCs/>
          <w:lang w:val="el" w:eastAsia="el"/>
        </w:rPr>
        <w:t>β)</w:t>
      </w:r>
      <w:r>
        <w:rPr>
          <w:b/>
          <w:bCs/>
          <w:lang w:val="en" w:eastAsia="en"/>
        </w:rPr>
        <w:tab/>
      </w:r>
      <w:r>
        <w:rPr>
          <w:b/>
          <w:bCs/>
          <w:lang w:val="el" w:eastAsia="el"/>
        </w:rPr>
        <w:t>κάθε υποκείμενος στον φόρο είτε της περ. α) είτε εγκατεστημένος σε άλλο κράτος μέλος, που εκπροσωπείται από μεσάζοντα ο οποίος έχει την έδρα της οικονομικής του δραστηριότητας στο εσωτερικό της Χώρας ή έχει την έδρα της οικονομικής του δραστηριότητας εκτός της Ένωσης, αλλά διαθέτει μόνιμη εγκατάσταση στο εσωτερικό της Χώρας. Σε περίπτωση που ο μεσάζων διαθέτει μόνιμες εγκαταστάσεις και σε άλλα κράτη μέλη, εφόσον επιλέξει την Ελλάδα για την εγγραφή του υποκείμενου στον φόρο που εκπροσωπεί στο παρόν ειδικό καθεστώς, δεσμεύεται από την απόφαση αυτή για το συγκεκριμένο ημερολογιακό έτος και για τα δύο (2) επόμενα ημερολογιακά έτη.</w:t>
      </w:r>
      <w:r>
        <w:rPr>
          <w:rStyle w:val="Hyperlink"/>
          <w:b/>
          <w:bCs/>
          <w:color w:val="000000"/>
          <w:sz w:val="20"/>
          <w:szCs w:val="20"/>
          <w:u w:val="none" w:color="0000EE"/>
          <w:vertAlign w:val="superscript"/>
          <w:lang w:val="el" w:eastAsia="el"/>
        </w:rPr>
        <w:footnoteReference w:id="591"/>
      </w:r>
    </w:p>
    <w:p>
      <w:pPr>
        <w:pStyle w:val="StructureList1"/>
        <w:spacing w:before="120" w:after="0"/>
        <w:rPr>
          <w:lang w:val="el" w:eastAsia="el"/>
        </w:rPr>
      </w:pPr>
      <w:r>
        <w:rPr>
          <w:b/>
          <w:bCs/>
          <w:lang w:val="el" w:eastAsia="el"/>
        </w:rPr>
        <w:t>γ)</w:t>
      </w:r>
      <w:r>
        <w:rPr>
          <w:b/>
          <w:bCs/>
          <w:lang w:val="en" w:eastAsia="en"/>
        </w:rPr>
        <w:tab/>
      </w:r>
      <w:r>
        <w:rPr>
          <w:b/>
          <w:bCs/>
          <w:lang w:val="el" w:eastAsia="el"/>
        </w:rPr>
        <w:t>κάθε υποκείμενος στον φόρο που έχει την έδρα της οικονομικής του δραστηριότητας εκτός Ένωσης και δεν διαθέτει μόνιμη εγκατάσταση στο εσωτερικό της Χώρας ή σε άλλο κράτος μέλος, ο οποίος επιλέγει για την εγγραφή του στο παρόν ειδικό καθεστώς την Ελλάδα και εκπροσωπείται από μεσάζοντα. Ο μεσάζοντας έχει την έδρα της οικονομικής του δραστηριότητας στη Χώρα ή έχει την έδρα της οικονομικής του δραστηριότητας εκτός της Ένωσης, αλλά διαθέτει μόνιμη εγκατάσταση στη Χώρα. Σε περίπτωση που ο μεσάζων διαθέτει μόνιμες εγκαταστάσεις και σε άλλα κράτη μέλη, εφόσον επιλέξει την Ελλάδα για την εγγραφή του υποκείμενου στον φόρο που εκπροσωπεί στο παρόν ειδικό καθεστώς, δεσμεύεται από την απόφαση αυτή για το συγκεκριμένο ημερολογιακό έτος και για τα δύο (2) επόμενα ημερολογιακά έτη. Ο υποκείμενος στον φόρο που είναι εγκατεστημένος σε χώρα εκτός Ε.Ε., με την οποία η Ένωση έχει συνάψει συμφωνία περί αμοιβαίας συνδρομής ανάλογης έκτασης με εκείνη που προβλέπεται από την Οδηγία 2010/24/ΕΕ του Συμβουλίου της 16ης Μαρτίου 2010 (L 84), όπως έχει ενσωματωθεί στο εθνικό δίκαιο με τον ν. 4072/2012 (Α` 86) και από τον Κανονισμό (ΕΕ) αρ. 904/2010 του Συμβουλίου της 7ης Οκτωβρίου 2010 (L 268) και ο οποίος πραγματοποιεί εξ αποστάσεως πωλήσεις αγαθών από την εν λόγω τρίτη χώρα, δεν υποχρεούται σε εκπροσώπηση από μεσάζοντα. Οι ανωτέρω υποκείμενοι στον φόρο εφαρμόζουν το ειδικό καθεστώς του παρόντος σε όλες τις εξ αποστάσεως πωλήσεις αγαθών της παρ. 1 που εισάγονται στην Ένωση από τρίτες χώρες ή τρίτα εδάφη. Για τους σκοπούς της παρούσας, ουδείς υποκείμενος στον φόρο μπορεί να ορίσει συγχρόνως περισσοτέρους του ενός μεσάζοντες. Δεν επιτρέπεται η εγγραφή στο ειδικό καθεστώς του άρθρου 47δ του Κώδικα ΦΠΑ είτε απευθείας είτε διαμέσου μεσάζοντα υποκείμενων στον φόρο που είναι ενταγμένοι στο ειδικό καθεστώς μικρών επιχειρήσεων του άρθρου 39 του Κώδικα ΦΠΑ.</w:t>
      </w:r>
      <w:r>
        <w:rPr>
          <w:rStyle w:val="Hyperlink"/>
          <w:b/>
          <w:bCs/>
          <w:color w:val="000000"/>
          <w:sz w:val="20"/>
          <w:szCs w:val="20"/>
          <w:u w:val="none" w:color="0000EE"/>
          <w:vertAlign w:val="superscript"/>
          <w:lang w:val="el" w:eastAsia="el"/>
        </w:rPr>
        <w:footnoteReference w:id="592"/>
      </w:r>
    </w:p>
    <w:p>
      <w:pPr>
        <w:pStyle w:val="MainText"/>
        <w:spacing w:before="120" w:after="0"/>
        <w:rPr>
          <w:lang w:val="el" w:eastAsia="el"/>
        </w:rPr>
      </w:pPr>
      <w:r>
        <w:rPr>
          <w:b/>
          <w:bCs/>
          <w:lang w:val="el" w:eastAsia="el"/>
        </w:rPr>
        <w:t>4.</w:t>
      </w:r>
      <w:r>
        <w:rPr>
          <w:b/>
          <w:bCs/>
          <w:lang w:val="el" w:eastAsia="el"/>
        </w:rPr>
        <w:t xml:space="preserve"> Ο υποκείμενος στον φόρο, που χρησιμοποιεί το παρόν ειδικό καθεστώς ή ο μεσάζων που ενεργεί για λογαριασμό του, υποχρεούται να γνωστοποιεί με ηλεκτρονικά μέσα την έναρξη ή την παύση της δραστηριότητάς του, δυνάμει του παρόντος ειδικού καθεστώτος, ή τη μεταβολή αυτής όταν δεν πληρούνται πλέον οι απαιτούμενες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593"/>
      </w:r>
    </w:p>
    <w:p>
      <w:pPr>
        <w:pStyle w:val="MainText"/>
        <w:spacing w:before="120" w:after="0"/>
        <w:rPr>
          <w:lang w:val="el" w:eastAsia="el"/>
        </w:rPr>
      </w:pPr>
      <w:r>
        <w:rPr>
          <w:b/>
          <w:bCs/>
          <w:lang w:val="el" w:eastAsia="el"/>
        </w:rPr>
        <w:t>5.</w:t>
      </w:r>
      <w:r>
        <w:rPr>
          <w:b/>
          <w:bCs/>
          <w:lang w:val="el" w:eastAsia="el"/>
        </w:rPr>
        <w:t xml:space="preserve"> Για την εγγραφή στο μητρώο του παρόντος ειδικού καθεστώτος, που είναι προσβάσιμο μέσω του gov.gr.:</w:t>
      </w:r>
      <w:r>
        <w:rPr>
          <w:rStyle w:val="Hyperlink"/>
          <w:b/>
          <w:bCs/>
          <w:color w:val="000000"/>
          <w:sz w:val="20"/>
          <w:szCs w:val="20"/>
          <w:u w:val="none" w:color="0000EE"/>
          <w:vertAlign w:val="superscript"/>
          <w:lang w:val="el" w:eastAsia="el"/>
        </w:rPr>
        <w:footnoteReference w:id="594"/>
      </w:r>
    </w:p>
    <w:p>
      <w:pPr>
        <w:pStyle w:val="StructureList1"/>
        <w:spacing w:before="120" w:after="0"/>
        <w:rPr>
          <w:lang w:val="el" w:eastAsia="el"/>
        </w:rPr>
      </w:pPr>
      <w:r>
        <w:rPr>
          <w:b/>
          <w:bCs/>
          <w:lang w:val="el" w:eastAsia="el"/>
        </w:rPr>
        <w:t>α)</w:t>
      </w:r>
      <w:r>
        <w:rPr>
          <w:b/>
          <w:bCs/>
          <w:lang w:val="en" w:eastAsia="en"/>
        </w:rPr>
        <w:tab/>
      </w:r>
      <w:r>
        <w:rPr>
          <w:b/>
          <w:bCs/>
          <w:lang w:val="el" w:eastAsia="el"/>
        </w:rPr>
        <w:t>Οι πληροφορίες που πρέπει να παρέχει ο υποκείμενος στον φόρο που δεν χρησιμοποιεί μεσάζοντα, προτού αρχίσει να χρησιμοποιεί το παρόν ειδικό καθεστώς, περιλαμβάνουν τα ακόλουθα στοιχεία:</w:t>
      </w:r>
      <w:r>
        <w:rPr>
          <w:rStyle w:val="Hyperlink"/>
          <w:b/>
          <w:bCs/>
          <w:color w:val="000000"/>
          <w:sz w:val="20"/>
          <w:szCs w:val="20"/>
          <w:u w:val="none" w:color="0000EE"/>
          <w:vertAlign w:val="superscript"/>
          <w:lang w:val="el" w:eastAsia="el"/>
        </w:rPr>
        <w:footnoteReference w:id="595"/>
      </w:r>
    </w:p>
    <w:p>
      <w:pPr>
        <w:pStyle w:val="StructureList1"/>
        <w:spacing w:before="120" w:after="0"/>
        <w:rPr>
          <w:lang w:val="el" w:eastAsia="el"/>
        </w:rPr>
      </w:pPr>
      <w:r>
        <w:rPr>
          <w:b/>
          <w:bCs/>
          <w:lang w:val="el" w:eastAsia="el"/>
        </w:rPr>
        <w:t>αα)</w:t>
      </w:r>
      <w:r>
        <w:rPr>
          <w:b/>
          <w:bCs/>
          <w:lang w:val="en" w:eastAsia="en"/>
        </w:rPr>
        <w:tab/>
      </w:r>
      <w:r>
        <w:rPr>
          <w:b/>
          <w:bCs/>
          <w:lang w:val="el" w:eastAsia="el"/>
        </w:rPr>
        <w:t>ονοματεπώνυμο ή επωνυμία,</w:t>
      </w:r>
      <w:r>
        <w:rPr>
          <w:rStyle w:val="Hyperlink"/>
          <w:b/>
          <w:bCs/>
          <w:color w:val="000000"/>
          <w:sz w:val="20"/>
          <w:szCs w:val="20"/>
          <w:u w:val="none" w:color="0000EE"/>
          <w:vertAlign w:val="superscript"/>
          <w:lang w:val="el" w:eastAsia="el"/>
        </w:rPr>
        <w:footnoteReference w:id="596"/>
      </w:r>
    </w:p>
    <w:p>
      <w:pPr>
        <w:pStyle w:val="StructureList1"/>
        <w:spacing w:before="120" w:after="0"/>
        <w:rPr>
          <w:lang w:val="el" w:eastAsia="el"/>
        </w:rPr>
      </w:pPr>
      <w:r>
        <w:rPr>
          <w:b/>
          <w:bCs/>
          <w:lang w:val="el" w:eastAsia="el"/>
        </w:rPr>
        <w:t>ββ)</w:t>
      </w:r>
      <w:r>
        <w:rPr>
          <w:b/>
          <w:bCs/>
          <w:lang w:val="en" w:eastAsia="en"/>
        </w:rPr>
        <w:tab/>
      </w:r>
      <w:r>
        <w:rPr>
          <w:b/>
          <w:bCs/>
          <w:lang w:val="el" w:eastAsia="el"/>
        </w:rPr>
        <w:t>ταχυδρομική διεύθυνση,</w:t>
      </w:r>
      <w:r>
        <w:rPr>
          <w:rStyle w:val="Hyperlink"/>
          <w:b/>
          <w:bCs/>
          <w:color w:val="000000"/>
          <w:sz w:val="20"/>
          <w:szCs w:val="20"/>
          <w:u w:val="none" w:color="0000EE"/>
          <w:vertAlign w:val="superscript"/>
          <w:lang w:val="el" w:eastAsia="el"/>
        </w:rPr>
        <w:footnoteReference w:id="597"/>
      </w:r>
    </w:p>
    <w:p>
      <w:pPr>
        <w:pStyle w:val="StructureList1"/>
        <w:spacing w:before="120" w:after="0"/>
        <w:rPr>
          <w:lang w:val="el" w:eastAsia="el"/>
        </w:rPr>
      </w:pPr>
      <w:r>
        <w:rPr>
          <w:b/>
          <w:bCs/>
          <w:lang w:val="el" w:eastAsia="el"/>
        </w:rPr>
        <w:t>γγ)</w:t>
      </w:r>
      <w:r>
        <w:rPr>
          <w:b/>
          <w:bCs/>
          <w:lang w:val="en" w:eastAsia="en"/>
        </w:rPr>
        <w:tab/>
      </w:r>
      <w:r>
        <w:rPr>
          <w:b/>
          <w:bCs/>
          <w:lang w:val="el" w:eastAsia="el"/>
        </w:rPr>
        <w:t>ηλεκτρονική διεύθυνση και ιστοσελίδες του διαδικτύου,</w:t>
      </w:r>
      <w:r>
        <w:rPr>
          <w:rStyle w:val="Hyperlink"/>
          <w:b/>
          <w:bCs/>
          <w:color w:val="000000"/>
          <w:sz w:val="20"/>
          <w:szCs w:val="20"/>
          <w:u w:val="none" w:color="0000EE"/>
          <w:vertAlign w:val="superscript"/>
          <w:lang w:val="el" w:eastAsia="el"/>
        </w:rPr>
        <w:footnoteReference w:id="598"/>
      </w:r>
    </w:p>
    <w:p>
      <w:pPr>
        <w:pStyle w:val="StructureList1"/>
        <w:spacing w:before="120" w:after="0"/>
        <w:rPr>
          <w:lang w:val="el" w:eastAsia="el"/>
        </w:rPr>
      </w:pPr>
      <w:r>
        <w:rPr>
          <w:b/>
          <w:bCs/>
          <w:lang w:val="el" w:eastAsia="el"/>
        </w:rPr>
        <w:t>δδ)</w:t>
      </w:r>
      <w:r>
        <w:rPr>
          <w:b/>
          <w:bCs/>
          <w:lang w:val="en" w:eastAsia="en"/>
        </w:rPr>
        <w:tab/>
      </w:r>
      <w:r>
        <w:rPr>
          <w:b/>
          <w:bCs/>
          <w:lang w:val="el" w:eastAsia="el"/>
        </w:rPr>
        <w:t>αριθμό φορολογικού μητρώου ΦΠΑ ή εθνικό αριθμό φορολογικού μητρώου στην περίπτωση υποκείμενου στον φόρο εγκατεστημένου σε χώρα εκτός Ε.Ε., με την οποία η Ένωση έχει συνάψει συμφωνία περί αμοιβαίας συνδρομής.</w:t>
      </w:r>
      <w:r>
        <w:rPr>
          <w:rStyle w:val="Hyperlink"/>
          <w:b/>
          <w:bCs/>
          <w:color w:val="000000"/>
          <w:sz w:val="20"/>
          <w:szCs w:val="20"/>
          <w:u w:val="none" w:color="0000EE"/>
          <w:vertAlign w:val="superscript"/>
          <w:lang w:val="el" w:eastAsia="el"/>
        </w:rPr>
        <w:footnoteReference w:id="599"/>
      </w:r>
    </w:p>
    <w:p>
      <w:pPr>
        <w:pStyle w:val="StructureList1"/>
        <w:spacing w:before="120" w:after="0"/>
        <w:rPr>
          <w:lang w:val="el" w:eastAsia="el"/>
        </w:rPr>
      </w:pPr>
      <w:r>
        <w:rPr>
          <w:b/>
          <w:bCs/>
          <w:lang w:val="el" w:eastAsia="el"/>
        </w:rPr>
        <w:t>β)</w:t>
      </w:r>
      <w:r>
        <w:rPr>
          <w:b/>
          <w:bCs/>
          <w:lang w:val="en" w:eastAsia="en"/>
        </w:rPr>
        <w:tab/>
      </w:r>
      <w:r>
        <w:rPr>
          <w:b/>
          <w:bCs/>
          <w:lang w:val="el" w:eastAsia="el"/>
        </w:rPr>
        <w:t>Οι πληροφορίες που πρέπει να παρέχει ο μεσάζων, προτού χρησιμοποιήσει το παρόν ειδικό καθεστώς για λογαριασμό ενός υποκείμενου στον φόρο, περιέχουν τα ακόλουθα στοιχεία:</w:t>
      </w:r>
      <w:r>
        <w:rPr>
          <w:rStyle w:val="Hyperlink"/>
          <w:b/>
          <w:bCs/>
          <w:color w:val="000000"/>
          <w:sz w:val="20"/>
          <w:szCs w:val="20"/>
          <w:u w:val="none" w:color="0000EE"/>
          <w:vertAlign w:val="superscript"/>
          <w:lang w:val="el" w:eastAsia="el"/>
        </w:rPr>
        <w:footnoteReference w:id="600"/>
      </w:r>
    </w:p>
    <w:p>
      <w:pPr>
        <w:pStyle w:val="StructureList1"/>
        <w:spacing w:before="120" w:after="0"/>
        <w:rPr>
          <w:lang w:val="el" w:eastAsia="el"/>
        </w:rPr>
      </w:pPr>
      <w:r>
        <w:rPr>
          <w:b/>
          <w:bCs/>
          <w:lang w:val="el" w:eastAsia="el"/>
        </w:rPr>
        <w:t>αα)</w:t>
      </w:r>
      <w:r>
        <w:rPr>
          <w:b/>
          <w:bCs/>
          <w:lang w:val="en" w:eastAsia="en"/>
        </w:rPr>
        <w:tab/>
      </w:r>
      <w:r>
        <w:rPr>
          <w:b/>
          <w:bCs/>
          <w:lang w:val="el" w:eastAsia="el"/>
        </w:rPr>
        <w:t>ονοματεπώνυμο ή επωνυμία,</w:t>
      </w:r>
    </w:p>
    <w:p>
      <w:pPr>
        <w:pStyle w:val="StructureList1"/>
        <w:spacing w:before="120" w:after="0"/>
        <w:rPr>
          <w:lang w:val="el" w:eastAsia="el"/>
        </w:rPr>
      </w:pPr>
      <w:r>
        <w:rPr>
          <w:b/>
          <w:bCs/>
          <w:lang w:val="el" w:eastAsia="el"/>
        </w:rPr>
        <w:t>ββ)</w:t>
      </w:r>
      <w:r>
        <w:rPr>
          <w:b/>
          <w:bCs/>
          <w:lang w:val="en" w:eastAsia="en"/>
        </w:rPr>
        <w:tab/>
      </w:r>
      <w:r>
        <w:rPr>
          <w:b/>
          <w:bCs/>
          <w:lang w:val="el" w:eastAsia="el"/>
        </w:rPr>
        <w:t>ταχυδρομική διεύθυνση,</w:t>
      </w:r>
      <w:r>
        <w:rPr>
          <w:rStyle w:val="Hyperlink"/>
          <w:b/>
          <w:bCs/>
          <w:color w:val="000000"/>
          <w:sz w:val="20"/>
          <w:szCs w:val="20"/>
          <w:u w:val="none" w:color="0000EE"/>
          <w:vertAlign w:val="superscript"/>
          <w:lang w:val="el" w:eastAsia="el"/>
        </w:rPr>
        <w:footnoteReference w:id="601"/>
      </w:r>
    </w:p>
    <w:p>
      <w:pPr>
        <w:pStyle w:val="StructureList1"/>
        <w:spacing w:before="120" w:after="0"/>
        <w:rPr>
          <w:lang w:val="el" w:eastAsia="el"/>
        </w:rPr>
      </w:pPr>
      <w:r>
        <w:rPr>
          <w:b/>
          <w:bCs/>
          <w:lang w:val="el" w:eastAsia="el"/>
        </w:rPr>
        <w:t>γγ)</w:t>
      </w:r>
      <w:r>
        <w:rPr>
          <w:b/>
          <w:bCs/>
          <w:lang w:val="en" w:eastAsia="en"/>
        </w:rPr>
        <w:tab/>
      </w:r>
      <w:r>
        <w:rPr>
          <w:b/>
          <w:bCs/>
          <w:lang w:val="el" w:eastAsia="el"/>
        </w:rPr>
        <w:t>ηλεκτρονική διεύθυνση,</w:t>
      </w:r>
      <w:r>
        <w:rPr>
          <w:rStyle w:val="Hyperlink"/>
          <w:b/>
          <w:bCs/>
          <w:color w:val="000000"/>
          <w:sz w:val="20"/>
          <w:szCs w:val="20"/>
          <w:u w:val="none" w:color="0000EE"/>
          <w:vertAlign w:val="superscript"/>
          <w:lang w:val="el" w:eastAsia="el"/>
        </w:rPr>
        <w:footnoteReference w:id="602"/>
      </w:r>
    </w:p>
    <w:p>
      <w:pPr>
        <w:pStyle w:val="StructureList1"/>
        <w:spacing w:before="120" w:after="0"/>
        <w:rPr>
          <w:lang w:val="el" w:eastAsia="el"/>
        </w:rPr>
      </w:pPr>
      <w:r>
        <w:rPr>
          <w:b/>
          <w:bCs/>
          <w:lang w:val="el" w:eastAsia="el"/>
        </w:rPr>
        <w:t>δδ)</w:t>
      </w:r>
      <w:r>
        <w:rPr>
          <w:b/>
          <w:bCs/>
          <w:lang w:val="en" w:eastAsia="en"/>
        </w:rPr>
        <w:tab/>
      </w:r>
      <w:r>
        <w:rPr>
          <w:b/>
          <w:bCs/>
          <w:lang w:val="el" w:eastAsia="el"/>
        </w:rPr>
        <w:t>αριθμό φορολογικού μητρώου ΦΠΑ.</w:t>
      </w:r>
      <w:r>
        <w:rPr>
          <w:rStyle w:val="Hyperlink"/>
          <w:b/>
          <w:bCs/>
          <w:color w:val="000000"/>
          <w:sz w:val="20"/>
          <w:szCs w:val="20"/>
          <w:u w:val="none" w:color="0000EE"/>
          <w:vertAlign w:val="superscript"/>
          <w:lang w:val="el" w:eastAsia="el"/>
        </w:rPr>
        <w:footnoteReference w:id="603"/>
      </w:r>
    </w:p>
    <w:p>
      <w:pPr>
        <w:pStyle w:val="StructureList1"/>
        <w:spacing w:before="120" w:after="0"/>
        <w:rPr>
          <w:lang w:val="el" w:eastAsia="el"/>
        </w:rPr>
      </w:pPr>
      <w:r>
        <w:rPr>
          <w:b/>
          <w:bCs/>
          <w:lang w:val="el" w:eastAsia="el"/>
        </w:rPr>
        <w:t>γ)</w:t>
      </w:r>
      <w:r>
        <w:rPr>
          <w:b/>
          <w:bCs/>
          <w:lang w:val="en" w:eastAsia="en"/>
        </w:rPr>
        <w:tab/>
      </w:r>
      <w:r>
        <w:rPr>
          <w:b/>
          <w:bCs/>
          <w:lang w:val="el" w:eastAsia="el"/>
        </w:rPr>
        <w:t>Οι πληροφορίες που πρέπει να παρέχει ο μεσάζων για κάθε υποκείμενο στον φόρο τον οποίο εκπροσωπεί, προτού ο εν λόγω υποκείμενος στον φόρο αρχίσει να χρησιμοποιεί το εν λόγω ειδικό καθεστώς, περιέχουν τα ακόλουθα στοιχεία:</w:t>
      </w:r>
      <w:r>
        <w:rPr>
          <w:rStyle w:val="Hyperlink"/>
          <w:b/>
          <w:bCs/>
          <w:color w:val="000000"/>
          <w:sz w:val="20"/>
          <w:szCs w:val="20"/>
          <w:u w:val="none" w:color="0000EE"/>
          <w:vertAlign w:val="superscript"/>
          <w:lang w:val="el" w:eastAsia="el"/>
        </w:rPr>
        <w:footnoteReference w:id="604"/>
      </w:r>
    </w:p>
    <w:p>
      <w:pPr>
        <w:pStyle w:val="StructureList1"/>
        <w:spacing w:before="120" w:after="0"/>
        <w:rPr>
          <w:lang w:val="el" w:eastAsia="el"/>
        </w:rPr>
      </w:pPr>
      <w:r>
        <w:rPr>
          <w:b/>
          <w:bCs/>
          <w:lang w:val="el" w:eastAsia="el"/>
        </w:rPr>
        <w:t>αα)</w:t>
      </w:r>
      <w:r>
        <w:rPr>
          <w:b/>
          <w:bCs/>
          <w:lang w:val="en" w:eastAsia="en"/>
        </w:rPr>
        <w:tab/>
      </w:r>
      <w:r>
        <w:rPr>
          <w:b/>
          <w:bCs/>
          <w:lang w:val="el" w:eastAsia="el"/>
        </w:rPr>
        <w:t>ονοματεπώνυμο ή επωνυμία,</w:t>
      </w:r>
      <w:r>
        <w:rPr>
          <w:rStyle w:val="Hyperlink"/>
          <w:b/>
          <w:bCs/>
          <w:color w:val="000000"/>
          <w:sz w:val="20"/>
          <w:szCs w:val="20"/>
          <w:u w:val="none" w:color="0000EE"/>
          <w:vertAlign w:val="superscript"/>
          <w:lang w:val="el" w:eastAsia="el"/>
        </w:rPr>
        <w:footnoteReference w:id="605"/>
      </w:r>
    </w:p>
    <w:p>
      <w:pPr>
        <w:pStyle w:val="StructureList1"/>
        <w:spacing w:before="120" w:after="0"/>
        <w:rPr>
          <w:lang w:val="el" w:eastAsia="el"/>
        </w:rPr>
      </w:pPr>
      <w:r>
        <w:rPr>
          <w:b/>
          <w:bCs/>
          <w:lang w:val="el" w:eastAsia="el"/>
        </w:rPr>
        <w:t>ββ)</w:t>
      </w:r>
      <w:r>
        <w:rPr>
          <w:b/>
          <w:bCs/>
          <w:lang w:val="en" w:eastAsia="en"/>
        </w:rPr>
        <w:tab/>
      </w:r>
      <w:r>
        <w:rPr>
          <w:b/>
          <w:bCs/>
          <w:lang w:val="el" w:eastAsia="el"/>
        </w:rPr>
        <w:t>ταχυδρομική διεύθυνση,</w:t>
      </w:r>
      <w:r>
        <w:rPr>
          <w:rStyle w:val="Hyperlink"/>
          <w:b/>
          <w:bCs/>
          <w:color w:val="000000"/>
          <w:sz w:val="20"/>
          <w:szCs w:val="20"/>
          <w:u w:val="none" w:color="0000EE"/>
          <w:vertAlign w:val="superscript"/>
          <w:lang w:val="el" w:eastAsia="el"/>
        </w:rPr>
        <w:footnoteReference w:id="606"/>
      </w:r>
    </w:p>
    <w:p>
      <w:pPr>
        <w:pStyle w:val="StructureList1"/>
        <w:spacing w:before="120" w:after="0"/>
        <w:rPr>
          <w:lang w:val="el" w:eastAsia="el"/>
        </w:rPr>
      </w:pPr>
      <w:r>
        <w:rPr>
          <w:b/>
          <w:bCs/>
          <w:lang w:val="el" w:eastAsia="el"/>
        </w:rPr>
        <w:t>γγ)</w:t>
      </w:r>
      <w:r>
        <w:rPr>
          <w:b/>
          <w:bCs/>
          <w:lang w:val="en" w:eastAsia="en"/>
        </w:rPr>
        <w:tab/>
      </w:r>
      <w:r>
        <w:rPr>
          <w:b/>
          <w:bCs/>
          <w:lang w:val="el" w:eastAsia="el"/>
        </w:rPr>
        <w:t>ηλεκτρονική διεύθυνση και ιστοσελίδες του διαδικτύου,</w:t>
      </w:r>
      <w:r>
        <w:rPr>
          <w:rStyle w:val="Hyperlink"/>
          <w:b/>
          <w:bCs/>
          <w:color w:val="000000"/>
          <w:sz w:val="20"/>
          <w:szCs w:val="20"/>
          <w:u w:val="none" w:color="0000EE"/>
          <w:vertAlign w:val="superscript"/>
          <w:lang w:val="el" w:eastAsia="el"/>
        </w:rPr>
        <w:footnoteReference w:id="607"/>
      </w:r>
    </w:p>
    <w:p>
      <w:pPr>
        <w:pStyle w:val="StructureList1"/>
        <w:spacing w:before="120" w:after="0"/>
        <w:rPr>
          <w:lang w:val="el" w:eastAsia="el"/>
        </w:rPr>
      </w:pPr>
      <w:r>
        <w:rPr>
          <w:b/>
          <w:bCs/>
          <w:lang w:val="el" w:eastAsia="el"/>
        </w:rPr>
        <w:t>δδ)</w:t>
      </w:r>
      <w:r>
        <w:rPr>
          <w:b/>
          <w:bCs/>
          <w:lang w:val="en" w:eastAsia="en"/>
        </w:rPr>
        <w:tab/>
      </w:r>
      <w:r>
        <w:rPr>
          <w:b/>
          <w:bCs/>
          <w:lang w:val="el" w:eastAsia="el"/>
        </w:rPr>
        <w:t>ως αριθμό φορολογικού μητρώου ΦΠΑ ή εθνικό αριθμό φορολογικού μητρώου,</w:t>
      </w:r>
      <w:r>
        <w:rPr>
          <w:rStyle w:val="Hyperlink"/>
          <w:b/>
          <w:bCs/>
          <w:color w:val="000000"/>
          <w:sz w:val="20"/>
          <w:szCs w:val="20"/>
          <w:u w:val="none" w:color="0000EE"/>
          <w:vertAlign w:val="superscript"/>
          <w:lang w:val="el" w:eastAsia="el"/>
        </w:rPr>
        <w:footnoteReference w:id="608"/>
      </w:r>
    </w:p>
    <w:p>
      <w:pPr>
        <w:pStyle w:val="StructureList1"/>
        <w:spacing w:before="120" w:after="0"/>
        <w:rPr>
          <w:lang w:val="el" w:eastAsia="el"/>
        </w:rPr>
      </w:pPr>
      <w:r>
        <w:rPr>
          <w:b/>
          <w:bCs/>
          <w:lang w:val="el" w:eastAsia="el"/>
        </w:rPr>
        <w:t>εε)</w:t>
      </w:r>
      <w:r>
        <w:rPr>
          <w:b/>
          <w:bCs/>
          <w:lang w:val="en" w:eastAsia="en"/>
        </w:rPr>
        <w:tab/>
      </w:r>
      <w:r>
        <w:rPr>
          <w:b/>
          <w:bCs/>
          <w:lang w:val="el" w:eastAsia="el"/>
        </w:rPr>
        <w:t>τον ατομικό αριθμό φορολογικού μητρώου που έχει χορηγηθεί σύμφωνα με την περ. β) της παρ. 6.</w:t>
      </w:r>
      <w:r>
        <w:rPr>
          <w:rStyle w:val="Hyperlink"/>
          <w:b/>
          <w:bCs/>
          <w:color w:val="000000"/>
          <w:sz w:val="20"/>
          <w:szCs w:val="20"/>
          <w:u w:val="none" w:color="0000EE"/>
          <w:vertAlign w:val="superscript"/>
          <w:lang w:val="el" w:eastAsia="el"/>
        </w:rPr>
        <w:footnoteReference w:id="609"/>
      </w:r>
    </w:p>
    <w:p>
      <w:pPr>
        <w:spacing w:before="240" w:after="240"/>
        <w:rPr>
          <w:lang w:val="el" w:eastAsia="el"/>
        </w:rPr>
      </w:pPr>
      <w:r>
        <w:rPr>
          <w:b/>
          <w:bCs/>
          <w:lang w:val="el" w:eastAsia="el"/>
        </w:rPr>
        <w:t>Κάθε υποκείμενος στον φόρο που χρησιμοποιεί το παρόν ειδικό καθεστώς ή, κατά περίπτωση, ο μεσάζων αυτού γνωστοποιεί οποιεσδήποτε μεταβολές στις ανωτέρω παρασχεθείσες πληροφορίες.</w:t>
      </w:r>
      <w:r>
        <w:rPr>
          <w:rStyle w:val="Hyperlink"/>
          <w:b/>
          <w:bCs/>
          <w:color w:val="000000"/>
          <w:sz w:val="20"/>
          <w:szCs w:val="20"/>
          <w:u w:val="none" w:color="0000EE"/>
          <w:vertAlign w:val="superscript"/>
          <w:lang w:val="el" w:eastAsia="el"/>
        </w:rPr>
        <w:footnoteReference w:id="610"/>
      </w:r>
    </w:p>
    <w:p>
      <w:pPr>
        <w:pStyle w:val="MainText"/>
        <w:spacing w:before="120" w:after="0"/>
        <w:rPr>
          <w:lang w:val="el" w:eastAsia="el"/>
        </w:rPr>
      </w:pPr>
      <w:r>
        <w:rPr>
          <w:b/>
          <w:bCs/>
          <w:lang w:val="el" w:eastAsia="el"/>
        </w:rPr>
        <w:t>6.</w:t>
      </w:r>
      <w:r>
        <w:rPr>
          <w:b/>
          <w:bCs/>
          <w:lang w:val="el" w:eastAsia="el"/>
        </w:rPr>
        <w:t xml:space="preserve"> α) Στον υποκείμενο στον φόρο που χρησιμοποιεί το παρόν ειδικό καθεστώς χορηγείται μοναδικός ατομικός αριθμός φορολογικού μητρώου ΦΠΑ για την εφαρμογή του ειδικού καθεστώτος με το πρόθεμα IM, ο οποίος του κοινοποιείται με ηλεκτρονικά μέσα.</w:t>
      </w:r>
      <w:r>
        <w:rPr>
          <w:rStyle w:val="Hyperlink"/>
          <w:b/>
          <w:bCs/>
          <w:color w:val="000000"/>
          <w:sz w:val="20"/>
          <w:szCs w:val="20"/>
          <w:u w:val="none" w:color="0000EE"/>
          <w:vertAlign w:val="superscript"/>
          <w:lang w:val="el" w:eastAsia="el"/>
        </w:rPr>
        <w:footnoteReference w:id="611"/>
      </w:r>
    </w:p>
    <w:p>
      <w:pPr>
        <w:pStyle w:val="StructureList1"/>
        <w:spacing w:before="120" w:after="0"/>
        <w:rPr>
          <w:lang w:val="el" w:eastAsia="el"/>
        </w:rPr>
      </w:pPr>
      <w:r>
        <w:rPr>
          <w:b/>
          <w:bCs/>
          <w:lang w:val="el" w:eastAsia="el"/>
        </w:rPr>
        <w:t>β)</w:t>
      </w:r>
      <w:r>
        <w:rPr>
          <w:b/>
          <w:bCs/>
          <w:lang w:val="en" w:eastAsia="en"/>
        </w:rPr>
        <w:tab/>
      </w:r>
      <w:r>
        <w:rPr>
          <w:b/>
          <w:bCs/>
          <w:lang w:val="el" w:eastAsia="el"/>
        </w:rPr>
        <w:t>Στον μεσάζοντα χορηγείται μοναδικός ατομικός αριθμός φορολογικού μητρώου με το πρόθεμα IN, ο οποίος του κοινοποιείται με ηλεκτρονικά μέσα.</w:t>
      </w:r>
      <w:r>
        <w:rPr>
          <w:rStyle w:val="Hyperlink"/>
          <w:b/>
          <w:bCs/>
          <w:color w:val="000000"/>
          <w:sz w:val="20"/>
          <w:szCs w:val="20"/>
          <w:u w:val="none" w:color="0000EE"/>
          <w:vertAlign w:val="superscript"/>
          <w:lang w:val="el" w:eastAsia="el"/>
        </w:rPr>
        <w:footnoteReference w:id="612"/>
      </w:r>
    </w:p>
    <w:p>
      <w:pPr>
        <w:pStyle w:val="StructureList1"/>
        <w:spacing w:before="120" w:after="0"/>
        <w:rPr>
          <w:lang w:val="el" w:eastAsia="el"/>
        </w:rPr>
      </w:pPr>
      <w:r>
        <w:rPr>
          <w:b/>
          <w:bCs/>
          <w:lang w:val="el" w:eastAsia="el"/>
        </w:rPr>
        <w:t>γ)</w:t>
      </w:r>
      <w:r>
        <w:rPr>
          <w:b/>
          <w:bCs/>
          <w:lang w:val="en" w:eastAsia="en"/>
        </w:rPr>
        <w:tab/>
      </w:r>
      <w:r>
        <w:rPr>
          <w:b/>
          <w:bCs/>
          <w:lang w:val="el" w:eastAsia="el"/>
        </w:rPr>
        <w:t>Στον μεσάζοντα χορηγείται μοναδικός ατομικός αριθμός φορολογικού μητρώου ΦΠΑ με το πρόθεμα IM για την εφαρμογή του παρόντος ειδικού καθεστώτος για κάθε υποκείμενο στον φόρο για τον οποίο έχει οριστεί.</w:t>
      </w:r>
      <w:r>
        <w:rPr>
          <w:rStyle w:val="Hyperlink"/>
          <w:b/>
          <w:bCs/>
          <w:color w:val="000000"/>
          <w:sz w:val="20"/>
          <w:szCs w:val="20"/>
          <w:u w:val="none" w:color="0000EE"/>
          <w:vertAlign w:val="superscript"/>
          <w:lang w:val="el" w:eastAsia="el"/>
        </w:rPr>
        <w:footnoteReference w:id="613"/>
      </w:r>
    </w:p>
    <w:p>
      <w:pPr>
        <w:spacing w:before="240" w:after="240"/>
        <w:rPr>
          <w:lang w:val="el" w:eastAsia="el"/>
        </w:rPr>
      </w:pPr>
      <w:r>
        <w:rPr>
          <w:b/>
          <w:bCs/>
          <w:lang w:val="el" w:eastAsia="el"/>
        </w:rPr>
        <w:t>Ο αριθμός φορολογικού μητρώου ΦΠΑ ή αριθμός φορολογικού μητρώου που χορηγείται δυνάμει των περ. α) β) και γ) χρησιμοποιείται αποκλειστικά για τους σκοπούς του παρόντος ειδικού καθεστώτος.</w:t>
      </w:r>
      <w:r>
        <w:rPr>
          <w:rStyle w:val="Hyperlink"/>
          <w:b/>
          <w:bCs/>
          <w:color w:val="000000"/>
          <w:sz w:val="20"/>
          <w:szCs w:val="20"/>
          <w:u w:val="none" w:color="0000EE"/>
          <w:vertAlign w:val="superscript"/>
          <w:lang w:val="el" w:eastAsia="el"/>
        </w:rPr>
        <w:footnoteReference w:id="614"/>
      </w:r>
    </w:p>
    <w:p>
      <w:pPr>
        <w:pStyle w:val="MainText"/>
        <w:spacing w:before="120" w:after="0"/>
        <w:rPr>
          <w:lang w:val="el" w:eastAsia="el"/>
        </w:rPr>
      </w:pPr>
      <w:r>
        <w:rPr>
          <w:b/>
          <w:bCs/>
          <w:lang w:val="el" w:eastAsia="el"/>
        </w:rPr>
        <w:t>7.</w:t>
      </w:r>
      <w:r>
        <w:rPr>
          <w:b/>
          <w:bCs/>
          <w:lang w:val="el" w:eastAsia="el"/>
        </w:rPr>
        <w:t xml:space="preserve"> α) Ο υποκείμενος στον φόρο που δεν χρησιμοποιεί μεσάζοντα διαγράφεται από το μητρώο του παρόντος ειδικού καθεστώτος στις ακόλουθες περιπτώσεις:</w:t>
      </w:r>
      <w:r>
        <w:rPr>
          <w:rStyle w:val="Hyperlink"/>
          <w:b/>
          <w:bCs/>
          <w:color w:val="000000"/>
          <w:sz w:val="20"/>
          <w:szCs w:val="20"/>
          <w:u w:val="none" w:color="0000EE"/>
          <w:vertAlign w:val="superscript"/>
          <w:lang w:val="el" w:eastAsia="el"/>
        </w:rPr>
        <w:footnoteReference w:id="615"/>
      </w:r>
    </w:p>
    <w:p>
      <w:pPr>
        <w:pStyle w:val="StructureList1"/>
        <w:spacing w:before="120" w:after="0"/>
        <w:rPr>
          <w:lang w:val="el" w:eastAsia="el"/>
        </w:rPr>
      </w:pPr>
      <w:r>
        <w:rPr>
          <w:b/>
          <w:bCs/>
          <w:lang w:val="el" w:eastAsia="el"/>
        </w:rPr>
        <w:t>αα)</w:t>
      </w:r>
      <w:r>
        <w:rPr>
          <w:b/>
          <w:bCs/>
          <w:lang w:val="en" w:eastAsia="en"/>
        </w:rPr>
        <w:tab/>
      </w:r>
      <w:r>
        <w:rPr>
          <w:b/>
          <w:bCs/>
          <w:lang w:val="el" w:eastAsia="el"/>
        </w:rPr>
        <w:t>εάν το εν λόγω πρόσωπο γνωστοποιήσει ότι δεν πραγματοποιεί πλέον εξ αποστάσεως πωλήσεις αγαθών τα οποία εισάγονται από τρίτα εδάφη ή τρίτες χώρες,</w:t>
      </w:r>
      <w:r>
        <w:rPr>
          <w:rStyle w:val="Hyperlink"/>
          <w:b/>
          <w:bCs/>
          <w:color w:val="000000"/>
          <w:sz w:val="20"/>
          <w:szCs w:val="20"/>
          <w:u w:val="none" w:color="0000EE"/>
          <w:vertAlign w:val="superscript"/>
          <w:lang w:val="el" w:eastAsia="el"/>
        </w:rPr>
        <w:footnoteReference w:id="616"/>
      </w:r>
    </w:p>
    <w:p>
      <w:pPr>
        <w:pStyle w:val="StructureList1"/>
        <w:spacing w:before="120" w:after="0"/>
        <w:rPr>
          <w:lang w:val="el" w:eastAsia="el"/>
        </w:rPr>
      </w:pPr>
      <w:r>
        <w:rPr>
          <w:b/>
          <w:bCs/>
          <w:lang w:val="el" w:eastAsia="el"/>
        </w:rPr>
        <w:t>ββ)</w:t>
      </w:r>
      <w:r>
        <w:rPr>
          <w:b/>
          <w:bCs/>
          <w:lang w:val="en" w:eastAsia="en"/>
        </w:rPr>
        <w:tab/>
      </w:r>
      <w:r>
        <w:rPr>
          <w:b/>
          <w:bCs/>
          <w:lang w:val="el" w:eastAsia="el"/>
        </w:rPr>
        <w:t>εάν μπορεί με άλλον τρόπο να συναχθεί ότι έχουν παύσει οι φορολογητέες δραστηριότητές των εξ αποστάσεως πωλήσεων αγαθών που εισάγονται από τρίτα εδάφη ή τρίτες χώρες,</w:t>
      </w:r>
      <w:r>
        <w:rPr>
          <w:rStyle w:val="Hyperlink"/>
          <w:b/>
          <w:bCs/>
          <w:color w:val="000000"/>
          <w:sz w:val="20"/>
          <w:szCs w:val="20"/>
          <w:u w:val="none" w:color="0000EE"/>
          <w:vertAlign w:val="superscript"/>
          <w:lang w:val="el" w:eastAsia="el"/>
        </w:rPr>
        <w:footnoteReference w:id="617"/>
      </w:r>
    </w:p>
    <w:p>
      <w:pPr>
        <w:pStyle w:val="StructureList1"/>
        <w:spacing w:before="120" w:after="0"/>
        <w:rPr>
          <w:lang w:val="el" w:eastAsia="el"/>
        </w:rPr>
      </w:pPr>
      <w:r>
        <w:rPr>
          <w:b/>
          <w:bCs/>
          <w:lang w:val="el" w:eastAsia="el"/>
        </w:rPr>
        <w:t>γγ)</w:t>
      </w:r>
      <w:r>
        <w:rPr>
          <w:b/>
          <w:bCs/>
          <w:lang w:val="en" w:eastAsia="en"/>
        </w:rPr>
        <w:tab/>
      </w:r>
      <w:r>
        <w:rPr>
          <w:b/>
          <w:bCs/>
          <w:lang w:val="el" w:eastAsia="el"/>
        </w:rPr>
        <w:t>εάν ο υποκείμενος στον φόρο δεν πληροί πλέον τις προϋποθέσεις που είναι αναγκαίες για την υπαγωγή του στο παρόν ειδικό καθεστώς,</w:t>
      </w:r>
      <w:r>
        <w:rPr>
          <w:rStyle w:val="Hyperlink"/>
          <w:b/>
          <w:bCs/>
          <w:color w:val="000000"/>
          <w:sz w:val="20"/>
          <w:szCs w:val="20"/>
          <w:u w:val="none" w:color="0000EE"/>
          <w:vertAlign w:val="superscript"/>
          <w:lang w:val="el" w:eastAsia="el"/>
        </w:rPr>
        <w:footnoteReference w:id="618"/>
      </w:r>
    </w:p>
    <w:p>
      <w:pPr>
        <w:pStyle w:val="StructureList1"/>
        <w:spacing w:before="120" w:after="0"/>
        <w:rPr>
          <w:lang w:val="el" w:eastAsia="el"/>
        </w:rPr>
      </w:pPr>
      <w:r>
        <w:rPr>
          <w:b/>
          <w:bCs/>
          <w:lang w:val="el" w:eastAsia="el"/>
        </w:rPr>
        <w:t>δδ)</w:t>
      </w:r>
      <w:r>
        <w:rPr>
          <w:b/>
          <w:bCs/>
          <w:lang w:val="en" w:eastAsia="en"/>
        </w:rPr>
        <w:tab/>
      </w:r>
      <w:r>
        <w:rPr>
          <w:b/>
          <w:bCs/>
          <w:lang w:val="el" w:eastAsia="el"/>
        </w:rPr>
        <w:t>εάν συστηματικά δεν συμμορφώνεται προς τους κανόνες που αφορούν το παρόν ειδικό καθεστώς.</w:t>
      </w:r>
      <w:r>
        <w:rPr>
          <w:rStyle w:val="Hyperlink"/>
          <w:b/>
          <w:bCs/>
          <w:color w:val="000000"/>
          <w:sz w:val="20"/>
          <w:szCs w:val="20"/>
          <w:u w:val="none" w:color="0000EE"/>
          <w:vertAlign w:val="superscript"/>
          <w:lang w:val="el" w:eastAsia="el"/>
        </w:rPr>
        <w:footnoteReference w:id="619"/>
      </w:r>
    </w:p>
    <w:p>
      <w:pPr>
        <w:pStyle w:val="StructureList1"/>
        <w:spacing w:before="120" w:after="0"/>
        <w:rPr>
          <w:lang w:val="el" w:eastAsia="el"/>
        </w:rPr>
      </w:pPr>
      <w:r>
        <w:rPr>
          <w:b/>
          <w:bCs/>
          <w:lang w:val="el" w:eastAsia="el"/>
        </w:rPr>
        <w:t>β)</w:t>
      </w:r>
      <w:r>
        <w:rPr>
          <w:b/>
          <w:bCs/>
          <w:lang w:val="en" w:eastAsia="en"/>
        </w:rPr>
        <w:tab/>
      </w:r>
      <w:r>
        <w:rPr>
          <w:b/>
          <w:bCs/>
          <w:lang w:val="el" w:eastAsia="el"/>
        </w:rPr>
        <w:t>Ο μεσάζοντας διαγράφεται από το μητρώο του παρόντος ειδικού καθεστώτος στις ακόλουθες περιπτώσεις:</w:t>
      </w:r>
      <w:r>
        <w:rPr>
          <w:rStyle w:val="Hyperlink"/>
          <w:b/>
          <w:bCs/>
          <w:color w:val="000000"/>
          <w:sz w:val="20"/>
          <w:szCs w:val="20"/>
          <w:u w:val="none" w:color="0000EE"/>
          <w:vertAlign w:val="superscript"/>
          <w:lang w:val="el" w:eastAsia="el"/>
        </w:rPr>
        <w:footnoteReference w:id="620"/>
      </w:r>
    </w:p>
    <w:p>
      <w:pPr>
        <w:pStyle w:val="StructureList1"/>
        <w:spacing w:before="120" w:after="0"/>
        <w:rPr>
          <w:lang w:val="el" w:eastAsia="el"/>
        </w:rPr>
      </w:pPr>
      <w:r>
        <w:rPr>
          <w:b/>
          <w:bCs/>
          <w:lang w:val="el" w:eastAsia="el"/>
        </w:rPr>
        <w:t>αα)</w:t>
      </w:r>
      <w:r>
        <w:rPr>
          <w:b/>
          <w:bCs/>
          <w:lang w:val="en" w:eastAsia="en"/>
        </w:rPr>
        <w:tab/>
      </w:r>
      <w:r>
        <w:rPr>
          <w:b/>
          <w:bCs/>
          <w:lang w:val="el" w:eastAsia="el"/>
        </w:rPr>
        <w:t>εάν για χρονικό διάστημα δύο (2) συνεχόμενων ημερολογιακών τριμήνων δεν έχει ενεργήσει ως μεσάζων για λογαριασμό του υποκείμενου στον φόρο που χρησιμοποιεί το παρόν ειδικό καθεστώς,</w:t>
      </w:r>
      <w:r>
        <w:rPr>
          <w:rStyle w:val="Hyperlink"/>
          <w:b/>
          <w:bCs/>
          <w:color w:val="000000"/>
          <w:sz w:val="20"/>
          <w:szCs w:val="20"/>
          <w:u w:val="none" w:color="0000EE"/>
          <w:vertAlign w:val="superscript"/>
          <w:lang w:val="el" w:eastAsia="el"/>
        </w:rPr>
        <w:footnoteReference w:id="621"/>
      </w:r>
    </w:p>
    <w:p>
      <w:pPr>
        <w:pStyle w:val="StructureList1"/>
        <w:spacing w:before="120" w:after="0"/>
        <w:rPr>
          <w:lang w:val="el" w:eastAsia="el"/>
        </w:rPr>
      </w:pPr>
      <w:r>
        <w:rPr>
          <w:b/>
          <w:bCs/>
          <w:lang w:val="el" w:eastAsia="el"/>
        </w:rPr>
        <w:t>ββ)</w:t>
      </w:r>
      <w:r>
        <w:rPr>
          <w:b/>
          <w:bCs/>
          <w:lang w:val="en" w:eastAsia="en"/>
        </w:rPr>
        <w:tab/>
      </w:r>
      <w:r>
        <w:rPr>
          <w:b/>
          <w:bCs/>
          <w:lang w:val="el" w:eastAsia="el"/>
        </w:rPr>
        <w:t>εάν δεν πληροί πλέον τις λοιπές προϋποθέσεις που είναι αναγκαίες ώστε να ενεργεί ως μεσάζων,</w:t>
      </w:r>
      <w:r>
        <w:rPr>
          <w:rStyle w:val="Hyperlink"/>
          <w:b/>
          <w:bCs/>
          <w:color w:val="000000"/>
          <w:sz w:val="20"/>
          <w:szCs w:val="20"/>
          <w:u w:val="none" w:color="0000EE"/>
          <w:vertAlign w:val="superscript"/>
          <w:lang w:val="el" w:eastAsia="el"/>
        </w:rPr>
        <w:footnoteReference w:id="622"/>
      </w:r>
    </w:p>
    <w:p>
      <w:pPr>
        <w:pStyle w:val="StructureList1"/>
        <w:spacing w:before="120" w:after="0"/>
        <w:rPr>
          <w:lang w:val="el" w:eastAsia="el"/>
        </w:rPr>
      </w:pPr>
      <w:r>
        <w:rPr>
          <w:b/>
          <w:bCs/>
          <w:lang w:val="el" w:eastAsia="el"/>
        </w:rPr>
        <w:t>γγ)</w:t>
      </w:r>
      <w:r>
        <w:rPr>
          <w:b/>
          <w:bCs/>
          <w:lang w:val="en" w:eastAsia="en"/>
        </w:rPr>
        <w:tab/>
      </w:r>
      <w:r>
        <w:rPr>
          <w:b/>
          <w:bCs/>
          <w:lang w:val="el" w:eastAsia="el"/>
        </w:rPr>
        <w:t>εάν συστηματικά δεν συμμορφώνεται προς τους κανόνες που αφορούν στο παρόν ειδικό καθεστώς.</w:t>
      </w:r>
      <w:r>
        <w:rPr>
          <w:rStyle w:val="Hyperlink"/>
          <w:b/>
          <w:bCs/>
          <w:color w:val="000000"/>
          <w:sz w:val="20"/>
          <w:szCs w:val="20"/>
          <w:u w:val="none" w:color="0000EE"/>
          <w:vertAlign w:val="superscript"/>
          <w:lang w:val="el" w:eastAsia="el"/>
        </w:rPr>
        <w:footnoteReference w:id="623"/>
      </w:r>
    </w:p>
    <w:p>
      <w:pPr>
        <w:pStyle w:val="StructureList1"/>
        <w:spacing w:before="120" w:after="0"/>
        <w:rPr>
          <w:lang w:val="el" w:eastAsia="el"/>
        </w:rPr>
      </w:pPr>
      <w:r>
        <w:rPr>
          <w:b/>
          <w:bCs/>
          <w:lang w:val="el" w:eastAsia="el"/>
        </w:rPr>
        <w:t>γ)</w:t>
      </w:r>
      <w:r>
        <w:rPr>
          <w:b/>
          <w:bCs/>
          <w:lang w:val="en" w:eastAsia="en"/>
        </w:rPr>
        <w:tab/>
      </w:r>
      <w:r>
        <w:rPr>
          <w:b/>
          <w:bCs/>
          <w:lang w:val="el" w:eastAsia="el"/>
        </w:rPr>
        <w:t>Ο υποκείμενος στον φόρο, που εκπροσωπείται από μεσάζοντα, διαγράφεται από το μητρώο του παρόντος ειδικού καθεστώτος στις ακόλουθες περιπτώσεις:</w:t>
      </w:r>
      <w:r>
        <w:rPr>
          <w:rStyle w:val="Hyperlink"/>
          <w:b/>
          <w:bCs/>
          <w:color w:val="000000"/>
          <w:sz w:val="20"/>
          <w:szCs w:val="20"/>
          <w:u w:val="none" w:color="0000EE"/>
          <w:vertAlign w:val="superscript"/>
          <w:lang w:val="el" w:eastAsia="el"/>
        </w:rPr>
        <w:footnoteReference w:id="624"/>
      </w:r>
    </w:p>
    <w:p>
      <w:pPr>
        <w:pStyle w:val="StructureList1"/>
        <w:spacing w:before="120" w:after="0"/>
        <w:rPr>
          <w:lang w:val="el" w:eastAsia="el"/>
        </w:rPr>
      </w:pPr>
      <w:r>
        <w:rPr>
          <w:b/>
          <w:bCs/>
          <w:lang w:val="el" w:eastAsia="el"/>
        </w:rPr>
        <w:t>αα)</w:t>
      </w:r>
      <w:r>
        <w:rPr>
          <w:b/>
          <w:bCs/>
          <w:lang w:val="en" w:eastAsia="en"/>
        </w:rPr>
        <w:tab/>
      </w:r>
      <w:r>
        <w:rPr>
          <w:b/>
          <w:bCs/>
          <w:lang w:val="el" w:eastAsia="el"/>
        </w:rPr>
        <w:t>εάν ο μεσάζων γνωστοποιήσει ότι ο εν λόγω υποκείμενος στον φόρο δεν πραγματοποιεί πλέον εξ αποστάσεως πωλήσεις αγαθών τα οποία εισάγονται από τρίτα εδάφη ή τρίτες χώρες,</w:t>
      </w:r>
      <w:r>
        <w:rPr>
          <w:rStyle w:val="Hyperlink"/>
          <w:b/>
          <w:bCs/>
          <w:color w:val="000000"/>
          <w:sz w:val="20"/>
          <w:szCs w:val="20"/>
          <w:u w:val="none" w:color="0000EE"/>
          <w:vertAlign w:val="superscript"/>
          <w:lang w:val="el" w:eastAsia="el"/>
        </w:rPr>
        <w:footnoteReference w:id="625"/>
      </w:r>
    </w:p>
    <w:p>
      <w:pPr>
        <w:pStyle w:val="StructureList1"/>
        <w:spacing w:before="120" w:after="0"/>
        <w:rPr>
          <w:lang w:val="el" w:eastAsia="el"/>
        </w:rPr>
      </w:pPr>
      <w:r>
        <w:rPr>
          <w:b/>
          <w:bCs/>
          <w:lang w:val="el" w:eastAsia="el"/>
        </w:rPr>
        <w:t>ββ)</w:t>
      </w:r>
      <w:r>
        <w:rPr>
          <w:b/>
          <w:bCs/>
          <w:lang w:val="en" w:eastAsia="en"/>
        </w:rPr>
        <w:tab/>
      </w:r>
      <w:r>
        <w:rPr>
          <w:b/>
          <w:bCs/>
          <w:lang w:val="el" w:eastAsia="el"/>
        </w:rPr>
        <w:t>εάν μπορεί με άλλον τρόπο να συναχθεί ότι έχουν παύσει οι φορολογητέες δραστηριότητές του εν λόγω υποκείμενου στον φόρο σχετικά με τις εξ αποστάσεως πωλήσεις αγαθών που εισάγονται από τρίτα εδάφη ή τρίτες χώρες,</w:t>
      </w:r>
      <w:r>
        <w:rPr>
          <w:rStyle w:val="Hyperlink"/>
          <w:b/>
          <w:bCs/>
          <w:color w:val="000000"/>
          <w:sz w:val="20"/>
          <w:szCs w:val="20"/>
          <w:u w:val="none" w:color="0000EE"/>
          <w:vertAlign w:val="superscript"/>
          <w:lang w:val="el" w:eastAsia="el"/>
        </w:rPr>
        <w:footnoteReference w:id="626"/>
      </w:r>
    </w:p>
    <w:p>
      <w:pPr>
        <w:pStyle w:val="StructureList1"/>
        <w:spacing w:before="120" w:after="0"/>
        <w:rPr>
          <w:lang w:val="el" w:eastAsia="el"/>
        </w:rPr>
      </w:pPr>
      <w:r>
        <w:rPr>
          <w:b/>
          <w:bCs/>
          <w:lang w:val="el" w:eastAsia="el"/>
        </w:rPr>
        <w:t>γγ)</w:t>
      </w:r>
      <w:r>
        <w:rPr>
          <w:b/>
          <w:bCs/>
          <w:lang w:val="en" w:eastAsia="en"/>
        </w:rPr>
        <w:tab/>
      </w:r>
      <w:r>
        <w:rPr>
          <w:b/>
          <w:bCs/>
          <w:lang w:val="el" w:eastAsia="el"/>
        </w:rPr>
        <w:t>εάν ο εν λόγω υποκείμενος στον φόρο δεν πληροί πλέον τις προϋποθέσεις που είναι αναγκαίες για την υπαγωγή του στο παρόν ειδικό καθεστώς,</w:t>
      </w:r>
      <w:r>
        <w:rPr>
          <w:rStyle w:val="Hyperlink"/>
          <w:b/>
          <w:bCs/>
          <w:color w:val="000000"/>
          <w:sz w:val="20"/>
          <w:szCs w:val="20"/>
          <w:u w:val="none" w:color="0000EE"/>
          <w:vertAlign w:val="superscript"/>
          <w:lang w:val="el" w:eastAsia="el"/>
        </w:rPr>
        <w:footnoteReference w:id="627"/>
      </w:r>
    </w:p>
    <w:p>
      <w:pPr>
        <w:pStyle w:val="StructureList1"/>
        <w:spacing w:before="120" w:after="0"/>
        <w:rPr>
          <w:lang w:val="el" w:eastAsia="el"/>
        </w:rPr>
      </w:pPr>
      <w:r>
        <w:rPr>
          <w:b/>
          <w:bCs/>
          <w:lang w:val="el" w:eastAsia="el"/>
        </w:rPr>
        <w:t>δδ)</w:t>
      </w:r>
      <w:r>
        <w:rPr>
          <w:b/>
          <w:bCs/>
          <w:lang w:val="en" w:eastAsia="en"/>
        </w:rPr>
        <w:tab/>
      </w:r>
      <w:r>
        <w:rPr>
          <w:b/>
          <w:bCs/>
          <w:lang w:val="el" w:eastAsia="el"/>
        </w:rPr>
        <w:t>εάν ο εν λόγω υποκείμενος στον φόρο συστηματικά δεν συμμορφώνεται προς τους κανόνες που αφορούν το παρόν ειδικό καθεστώς,</w:t>
      </w:r>
      <w:r>
        <w:rPr>
          <w:rStyle w:val="Hyperlink"/>
          <w:b/>
          <w:bCs/>
          <w:color w:val="000000"/>
          <w:sz w:val="20"/>
          <w:szCs w:val="20"/>
          <w:u w:val="none" w:color="0000EE"/>
          <w:vertAlign w:val="superscript"/>
          <w:lang w:val="el" w:eastAsia="el"/>
        </w:rPr>
        <w:footnoteReference w:id="628"/>
      </w:r>
    </w:p>
    <w:p>
      <w:pPr>
        <w:pStyle w:val="StructureList1"/>
        <w:spacing w:before="120" w:after="0"/>
        <w:rPr>
          <w:lang w:val="el" w:eastAsia="el"/>
        </w:rPr>
      </w:pPr>
      <w:r>
        <w:rPr>
          <w:b/>
          <w:bCs/>
          <w:lang w:val="el" w:eastAsia="el"/>
        </w:rPr>
        <w:t>εε)</w:t>
      </w:r>
      <w:r>
        <w:rPr>
          <w:b/>
          <w:bCs/>
          <w:lang w:val="en" w:eastAsia="en"/>
        </w:rPr>
        <w:tab/>
      </w:r>
      <w:r>
        <w:rPr>
          <w:b/>
          <w:bCs/>
          <w:lang w:val="el" w:eastAsia="el"/>
        </w:rPr>
        <w:t>εάν ο μεσάζων γνωστοποιήσει ότι δεν εκπροσωπεί πλέον τον εν λόγω υποκείμενο στον φόρο.</w:t>
      </w:r>
      <w:r>
        <w:rPr>
          <w:rStyle w:val="Hyperlink"/>
          <w:b/>
          <w:bCs/>
          <w:color w:val="000000"/>
          <w:sz w:val="20"/>
          <w:szCs w:val="20"/>
          <w:u w:val="none" w:color="0000EE"/>
          <w:vertAlign w:val="superscript"/>
          <w:lang w:val="el" w:eastAsia="el"/>
        </w:rPr>
        <w:footnoteReference w:id="629"/>
      </w:r>
    </w:p>
    <w:p>
      <w:pPr>
        <w:pStyle w:val="MainText"/>
        <w:spacing w:before="120" w:after="0"/>
        <w:rPr>
          <w:lang w:val="el" w:eastAsia="el"/>
        </w:rPr>
      </w:pPr>
      <w:r>
        <w:rPr>
          <w:b/>
          <w:bCs/>
          <w:lang w:val="el" w:eastAsia="el"/>
        </w:rPr>
        <w:t>8.</w:t>
      </w:r>
      <w:r>
        <w:rPr>
          <w:b/>
          <w:bCs/>
          <w:lang w:val="el" w:eastAsia="el"/>
        </w:rPr>
        <w:t xml:space="preserve"> Για εξ αποστάσεως πωλήσεις αγαθών που εισάγονται από τρίτες χώρες ή τρίτα εδάφη, δυνάμει του παρόντος ειδικού καθεστώτος, η γενεσιουργός αιτία επέρχεται και ο φόρος καθίσταται απαιτητός κατά τον χρόνο πραγματοποίησης της παράδοσης. Τα αγαθά θεωρείται ότι έχουν παραδοθεί κατά τον χρόνο αποδοχής της πληρωμής.</w:t>
      </w:r>
      <w:r>
        <w:rPr>
          <w:rStyle w:val="Hyperlink"/>
          <w:b/>
          <w:bCs/>
          <w:color w:val="000000"/>
          <w:sz w:val="20"/>
          <w:szCs w:val="20"/>
          <w:u w:val="none" w:color="0000EE"/>
          <w:vertAlign w:val="superscript"/>
          <w:lang w:val="el" w:eastAsia="el"/>
        </w:rPr>
        <w:footnoteReference w:id="630"/>
      </w:r>
    </w:p>
    <w:p>
      <w:pPr>
        <w:spacing w:before="240" w:after="240"/>
        <w:rPr>
          <w:lang w:val="el" w:eastAsia="el"/>
        </w:rPr>
      </w:pPr>
      <w:r>
        <w:rPr>
          <w:b/>
          <w:bCs/>
          <w:lang w:val="el" w:eastAsia="el"/>
        </w:rPr>
        <w:t>Για την εφαρμογή του προηγούμενου εδαφίου, ως χρόνος αποδοχής της πληρωμής νοείται ο χρόνος κατά τον οποίο η επιβεβαίωση πληρωμής, το μήνυμα για έγκριση πληρωμής ή η ανάληψη υποχρέωσης πληρωμής από τον λήπτη λαμβάνεται από τον υποκείμενο στον φόρο που χρησιμοποιεί το παρόν ειδικό καθεστώς, ή για λογαριασμό αυτού, ανεξαρτήτως του χρόνου που πραγματοποιήθηκε η πραγματική καταβολή των χρημάτων, ανάλογα με το ποιο είναι προγενέστερο.</w:t>
      </w:r>
      <w:r>
        <w:rPr>
          <w:rStyle w:val="Hyperlink"/>
          <w:b/>
          <w:bCs/>
          <w:color w:val="000000"/>
          <w:sz w:val="20"/>
          <w:szCs w:val="20"/>
          <w:u w:val="none" w:color="0000EE"/>
          <w:vertAlign w:val="superscript"/>
          <w:lang w:val="el" w:eastAsia="el"/>
        </w:rPr>
        <w:footnoteReference w:id="631"/>
      </w:r>
    </w:p>
    <w:p>
      <w:pPr>
        <w:pStyle w:val="MainText"/>
        <w:spacing w:before="120" w:after="0"/>
        <w:rPr>
          <w:lang w:val="el" w:eastAsia="el"/>
        </w:rPr>
      </w:pPr>
      <w:r>
        <w:rPr>
          <w:b/>
          <w:bCs/>
          <w:lang w:val="el" w:eastAsia="el"/>
        </w:rPr>
        <w:t>9.</w:t>
      </w:r>
      <w:r>
        <w:rPr>
          <w:b/>
          <w:bCs/>
          <w:lang w:val="el" w:eastAsia="el"/>
        </w:rPr>
        <w:t xml:space="preserve"> Ο υποκείμενος στον φόρο που κάνει χρήση του παρόντος ειδικού καθεστώτος ή ο μεσάζων που ενεργεί για λογαριασμό του, υποβάλλει με ηλεκτρονικά μέσα δήλωση ΦΠΑ για κάθε μήνα είτε έχουν πραγματοποιηθεί εξ αποστάσεως πωλήσεις αγαθών που εισάγονται από τρίτες χώρες ή τρίτα εδάφη είτε όχι. Η δήλωση υποβάλλεται μέχρι το τέλος του μήνα που ακολουθεί τη λήξη της φορολογικής περιόδου την οποία καλύπτει η δήλωση. Στη δήλωση ΦΠΑ αναγράφεται ο αριθμός φορολογικού μητρώου ΦΠΑ της παρ. 6 και, για κάθε κράτος μέλος κατανάλωσης στο οποίο οφείλεται ΦΠΑ, η συνολική αξία, χωρίς ΦΠΑ, των εξ αποστάσεως πωλήσεων αγαθών που εισάγονται από τρίτες χώρες ή τρίτα εδάφη για τις οποίες ο ΦΠΑ έχει καταστεί απαιτητός κατά τη φορολογική περίοδο και το συνολικό για κάθε συντελεστή ποσό του αντίστοιχου φόρου. Στη δήλωση πρέπει να αναφέρονται επίσης οι ισχύοντες συντελεστές ΦΠΑ και το συνολικό ποσό του ΦΠΑ που οφείλεται. Όταν απαιτούνται τροποποιήσεις σε δήλωση ΦΠΑ μετά την υποβολή της, οι εν λόγω τροποποιήσεις περιλαμβάνονται σε επόμενη δήλωση εντός τριών (3) ετών από την ημερομηνία στην οποία έπρεπε να υποβληθεί η αρχική δήλωση, σύμφωνα με το πρώτο εδάφιο. Η επόμενη αυτή δήλωση προσδιορίζει το σχετικό κράτος μέλος κατανάλωσης, την περίοδο επιβολής του φόρου και το ποσό ΦΠΑ για το οποίο απαιτούνται ενδεχόμενες τροποποιήσεις της δήλωσης.</w:t>
      </w:r>
      <w:r>
        <w:rPr>
          <w:rStyle w:val="Hyperlink"/>
          <w:b/>
          <w:bCs/>
          <w:color w:val="000000"/>
          <w:sz w:val="20"/>
          <w:szCs w:val="20"/>
          <w:u w:val="none" w:color="0000EE"/>
          <w:vertAlign w:val="superscript"/>
          <w:lang w:val="el" w:eastAsia="el"/>
        </w:rPr>
        <w:footnoteReference w:id="632"/>
      </w:r>
    </w:p>
    <w:p>
      <w:pPr>
        <w:pStyle w:val="MainText"/>
        <w:spacing w:before="120" w:after="0"/>
        <w:rPr>
          <w:lang w:val="el" w:eastAsia="el"/>
        </w:rPr>
      </w:pPr>
      <w:r>
        <w:rPr>
          <w:b/>
          <w:bCs/>
          <w:lang w:val="el" w:eastAsia="el"/>
        </w:rPr>
        <w:t>10.</w:t>
      </w:r>
      <w:r>
        <w:rPr>
          <w:b/>
          <w:bCs/>
          <w:lang w:val="el" w:eastAsia="el"/>
        </w:rPr>
        <w:t xml:space="preserve"> Η δήλωση ΦΠΑ συμπληρώνεται σε ευρώ. Εάν οι παραδόσεις έχουν πραγματοποιηθεί σε άλλα νομίσματα, κατά τη συμπλήρωση της δήλωσης ΦΠΑ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την επόμενη ημέρα που υπάρχει δημοσίευση.</w:t>
      </w:r>
      <w:r>
        <w:rPr>
          <w:rStyle w:val="Hyperlink"/>
          <w:b/>
          <w:bCs/>
          <w:color w:val="000000"/>
          <w:sz w:val="20"/>
          <w:szCs w:val="20"/>
          <w:u w:val="none" w:color="0000EE"/>
          <w:vertAlign w:val="superscript"/>
          <w:lang w:val="el" w:eastAsia="el"/>
        </w:rPr>
        <w:footnoteReference w:id="633"/>
      </w:r>
    </w:p>
    <w:p>
      <w:pPr>
        <w:pStyle w:val="MainText"/>
        <w:spacing w:before="120" w:after="0"/>
        <w:rPr>
          <w:lang w:val="el" w:eastAsia="el"/>
        </w:rPr>
      </w:pPr>
      <w:r>
        <w:rPr>
          <w:b/>
          <w:bCs/>
          <w:lang w:val="el" w:eastAsia="el"/>
        </w:rPr>
        <w:t>11.</w:t>
      </w:r>
      <w:r>
        <w:rPr>
          <w:b/>
          <w:bCs/>
          <w:lang w:val="el" w:eastAsia="el"/>
        </w:rPr>
        <w:t xml:space="preserve"> Ο υποκείμενος στον φόρο που χρησιμοποιεί το παρόν ειδικό καθεστώς ή ο μεσάζων του καταβάλλει τον ΦΠΑ, με αναφορά στη σχετική δήλωση ΦΠΑ, το αργότερο κατά την εκπνοή της προθεσμίας υποβολής της δήλωσης. Η καταβολή γίνεται σε τραπεζικό λογαριασμό σε ευρώ, που ορίζεται για τον σκοπό αυτόν και τηρείται στην Τράπεζα της Ελλάδος.</w:t>
      </w:r>
      <w:r>
        <w:rPr>
          <w:rStyle w:val="Hyperlink"/>
          <w:b/>
          <w:bCs/>
          <w:color w:val="000000"/>
          <w:sz w:val="20"/>
          <w:szCs w:val="20"/>
          <w:u w:val="none" w:color="0000EE"/>
          <w:vertAlign w:val="superscript"/>
          <w:lang w:val="el" w:eastAsia="el"/>
        </w:rPr>
        <w:footnoteReference w:id="634"/>
      </w:r>
    </w:p>
    <w:p>
      <w:pPr>
        <w:pStyle w:val="MainText"/>
        <w:spacing w:before="120" w:after="0"/>
        <w:rPr>
          <w:lang w:val="el" w:eastAsia="el"/>
        </w:rPr>
      </w:pPr>
      <w:r>
        <w:rPr>
          <w:b/>
          <w:bCs/>
          <w:lang w:val="el" w:eastAsia="el"/>
        </w:rPr>
        <w:t>12.</w:t>
      </w:r>
      <w:r>
        <w:rPr>
          <w:b/>
          <w:bCs/>
          <w:lang w:val="el" w:eastAsia="el"/>
        </w:rPr>
        <w:t xml:space="preserve"> Ο υποκείμενος στον φόρο που χρησιμοποιεί το παρόν ειδικό καθεστώς δεν μπορεί να ασκήσει δικαίωμα έκπτωσης ποσού ΦΠΑ που κατέβαλε στη Χώρα μας στο πλαίσιο φορολογητέων δραστηριοτήτων του, που υπάγονται στο παρόν ειδικό καθεστώς. Ο φόρος αυτός επιστρέφεται, κατά περίπτωση, σύμφωνα με την παρ. 2 του άρθρου 34 και χωρίς την πλήρωση των προϋποθέσεων που ορίζονται στην παράγραφο αυτή, καθώς και σύμφωνα με την παρ. 8 του άρθρου 34, και χωρίς την πλήρωση των προϋποθέσεων που ορίζονται στην παράγραφο αυτή. Εάν ο υποκείμενος στον φόρο που χρησιμοποιεί το παρόν ειδικό καθεστώς διαθέτει αριθμό φορολογικού μητρώου ΦΠΑ στη χώρα μας για δραστηριότητες μη υπαγόμενες στο παρόν ειδικό καθεστώς, τότε εκπίπτει ο ΦΠΑ, ο οποίος του έχει επιβληθεί στη Χώρα μας και αφορά τις φορολογητέες δραστηριότητές του που υπάγονται στο παρόν ειδικό καθεστώς, με τη δήλωση ΦΠΑ, την οποία υποβάλλει σύμφωνα με την παρ. 1 του άρθρου 38.</w:t>
      </w:r>
      <w:r>
        <w:rPr>
          <w:rStyle w:val="Hyperlink"/>
          <w:b/>
          <w:bCs/>
          <w:color w:val="000000"/>
          <w:sz w:val="20"/>
          <w:szCs w:val="20"/>
          <w:u w:val="none" w:color="0000EE"/>
          <w:vertAlign w:val="superscript"/>
          <w:lang w:val="el" w:eastAsia="el"/>
        </w:rPr>
        <w:footnoteReference w:id="635"/>
      </w:r>
    </w:p>
    <w:p>
      <w:pPr>
        <w:pStyle w:val="MainText"/>
        <w:spacing w:before="120" w:after="0"/>
        <w:rPr>
          <w:lang w:val="el" w:eastAsia="el"/>
        </w:rPr>
      </w:pPr>
      <w:r>
        <w:rPr>
          <w:b/>
          <w:bCs/>
          <w:lang w:val="el" w:eastAsia="el"/>
        </w:rPr>
        <w:t>13.</w:t>
      </w:r>
      <w:r>
        <w:rPr>
          <w:b/>
          <w:bCs/>
          <w:lang w:val="el" w:eastAsia="el"/>
        </w:rPr>
        <w:t xml:space="preserve"> Ο υποκείμενος στον φόρο που χρησιμοποιεί το παρόν ειδικό καθεστώς υποχρεούται σε καταχώρηση στα λογιστικά του αρχεία (βιβλία) των πράξεων που υπάγονται στο παρόν ειδικό καθεστώς. Ο μεσάζων υποχρεούται σε καταχώρηση στοιχείων για καθένα εκ των υποκείμενων στον φόρο που εκπροσωπεί. Οι καταχωρήσεις αυτές είναι αρκετά λεπτομερείς, σύμφωνα με το άρθρο 63γ του Εκτελεστικού Κανονισμού (ΕΕ) αρ. 282/2011, ώστε να επιτρέπουν στις αρμόδιες αρχές της Ελλάδας και των λοιπών κρατών μελών κατανάλωσης να επαληθεύουν την ακρίβεια της δήλωσης ΦΠΑ. Οι καταχωρήσεις διατίθενται ηλεκτρονικά, ύστερα από αίτηση, στην Ελληνική Φορολογική Διοίκηση και στο κράτος μέλος κατανάλωσης και διαφυλάσσονται για διάστημα δέκα (10) ετών, το οποίο αρχίζει από τις 31 Δεκεμβρίου του έτους κατά το οποίο πραγματοποιήθηκε η πράξη.</w:t>
      </w:r>
      <w:r>
        <w:rPr>
          <w:rStyle w:val="Hyperlink"/>
          <w:b/>
          <w:bCs/>
          <w:color w:val="000000"/>
          <w:sz w:val="20"/>
          <w:szCs w:val="20"/>
          <w:u w:val="none" w:color="0000EE"/>
          <w:vertAlign w:val="superscript"/>
          <w:lang w:val="el" w:eastAsia="el"/>
        </w:rPr>
        <w:footnoteReference w:id="636"/>
      </w:r>
    </w:p>
    <w:p>
      <w:pPr>
        <w:pStyle w:val="MainText"/>
        <w:spacing w:before="120" w:after="0"/>
        <w:rPr>
          <w:lang w:val="el" w:eastAsia="el"/>
        </w:rPr>
      </w:pPr>
      <w:r>
        <w:rPr>
          <w:b/>
          <w:bCs/>
          <w:lang w:val="el" w:eastAsia="el"/>
        </w:rPr>
        <w:t>14.</w:t>
      </w:r>
      <w:r>
        <w:rPr>
          <w:b/>
          <w:bCs/>
          <w:lang w:val="el" w:eastAsia="el"/>
        </w:rPr>
        <w:t xml:space="preserve"> Η αρμόδια για τη διαχείριση των σχετικών με το ανωτέρω ειδικό καθεστώς διαδικασιών υπηρεσία της Α.Α.Δ.Ε., υποχρεούται για:</w:t>
      </w:r>
      <w:r>
        <w:rPr>
          <w:rStyle w:val="Hyperlink"/>
          <w:b/>
          <w:bCs/>
          <w:color w:val="000000"/>
          <w:sz w:val="20"/>
          <w:szCs w:val="20"/>
          <w:u w:val="none" w:color="0000EE"/>
          <w:vertAlign w:val="superscript"/>
          <w:lang w:val="el" w:eastAsia="el"/>
        </w:rPr>
        <w:footnoteReference w:id="637"/>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 4,</w:t>
      </w:r>
      <w:r>
        <w:rPr>
          <w:rStyle w:val="Hyperlink"/>
          <w:b/>
          <w:bCs/>
          <w:color w:val="000000"/>
          <w:sz w:val="20"/>
          <w:szCs w:val="20"/>
          <w:u w:val="none" w:color="0000EE"/>
          <w:vertAlign w:val="superscript"/>
          <w:lang w:val="el" w:eastAsia="el"/>
        </w:rPr>
        <w:footnoteReference w:id="638"/>
      </w:r>
    </w:p>
    <w:p>
      <w:pPr>
        <w:pStyle w:val="StructureList1"/>
        <w:spacing w:before="120" w:after="0"/>
        <w:rPr>
          <w:lang w:val="el" w:eastAsia="el"/>
        </w:rPr>
      </w:pPr>
      <w:r>
        <w:rPr>
          <w:b/>
          <w:bCs/>
          <w:lang w:val="el" w:eastAsia="el"/>
        </w:rPr>
        <w:t>β)</w:t>
      </w:r>
      <w:r>
        <w:rPr>
          <w:b/>
          <w:bCs/>
          <w:lang w:val="en" w:eastAsia="en"/>
        </w:rPr>
        <w:tab/>
      </w:r>
      <w:r>
        <w:rPr>
          <w:b/>
          <w:bCs/>
          <w:lang w:val="el" w:eastAsia="el"/>
        </w:rPr>
        <w:t>την επαλήθευση της εγκυρότητας των στοιχείων του δηλούντος,</w:t>
      </w:r>
      <w:r>
        <w:rPr>
          <w:rStyle w:val="Hyperlink"/>
          <w:b/>
          <w:bCs/>
          <w:color w:val="000000"/>
          <w:sz w:val="20"/>
          <w:szCs w:val="20"/>
          <w:u w:val="none" w:color="0000EE"/>
          <w:vertAlign w:val="superscript"/>
          <w:lang w:val="el" w:eastAsia="el"/>
        </w:rPr>
        <w:footnoteReference w:id="639"/>
      </w:r>
    </w:p>
    <w:p>
      <w:pPr>
        <w:pStyle w:val="StructureList1"/>
        <w:spacing w:before="120" w:after="0"/>
        <w:rPr>
          <w:lang w:val="el" w:eastAsia="el"/>
        </w:rPr>
      </w:pPr>
      <w:r>
        <w:rPr>
          <w:b/>
          <w:bCs/>
          <w:lang w:val="el" w:eastAsia="el"/>
        </w:rPr>
        <w:t>γ)</w:t>
      </w:r>
      <w:r>
        <w:rPr>
          <w:b/>
          <w:bCs/>
          <w:lang w:val="en" w:eastAsia="en"/>
        </w:rPr>
        <w:tab/>
      </w:r>
      <w:r>
        <w:rPr>
          <w:b/>
          <w:bCs/>
          <w:lang w:val="el" w:eastAsia="el"/>
        </w:rPr>
        <w:t>τη χορήγηση και κοινοποίηση του ατομικού ΑΦΜ / ΦΠΑ που αφορά σε υποκείμενο στον φόρο και του αριθμού φορολογικού μητρώου στον μεσάζοντα,</w:t>
      </w:r>
      <w:r>
        <w:rPr>
          <w:rStyle w:val="Hyperlink"/>
          <w:b/>
          <w:bCs/>
          <w:color w:val="000000"/>
          <w:sz w:val="20"/>
          <w:szCs w:val="20"/>
          <w:u w:val="none" w:color="0000EE"/>
          <w:vertAlign w:val="superscript"/>
          <w:lang w:val="el" w:eastAsia="el"/>
        </w:rPr>
        <w:footnoteReference w:id="640"/>
      </w:r>
    </w:p>
    <w:p>
      <w:pPr>
        <w:pStyle w:val="StructureList1"/>
        <w:spacing w:before="120" w:after="0"/>
        <w:rPr>
          <w:lang w:val="el" w:eastAsia="el"/>
        </w:rPr>
      </w:pPr>
      <w:r>
        <w:rPr>
          <w:b/>
          <w:bCs/>
          <w:lang w:val="el" w:eastAsia="el"/>
        </w:rPr>
        <w:t>δ)</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641"/>
      </w:r>
    </w:p>
    <w:p>
      <w:pPr>
        <w:pStyle w:val="StructureList1"/>
        <w:spacing w:before="120" w:after="0"/>
        <w:rPr>
          <w:lang w:val="el" w:eastAsia="el"/>
        </w:rPr>
      </w:pPr>
      <w:r>
        <w:rPr>
          <w:b/>
          <w:bCs/>
          <w:lang w:val="el" w:eastAsia="el"/>
        </w:rPr>
        <w:t>ε)</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642"/>
      </w:r>
    </w:p>
    <w:p>
      <w:pPr>
        <w:pStyle w:val="StructureList1"/>
        <w:spacing w:before="120" w:after="0"/>
        <w:rPr>
          <w:lang w:val="el" w:eastAsia="el"/>
        </w:rPr>
      </w:pPr>
      <w:r>
        <w:rPr>
          <w:b/>
          <w:bCs/>
          <w:lang w:val="el" w:eastAsia="el"/>
        </w:rPr>
        <w:t>στ)</w:t>
      </w:r>
      <w:r>
        <w:rPr>
          <w:b/>
          <w:bCs/>
          <w:lang w:val="en" w:eastAsia="en"/>
        </w:rPr>
        <w:tab/>
      </w:r>
      <w:r>
        <w:rPr>
          <w:b/>
          <w:bCs/>
          <w:lang w:val="el" w:eastAsia="el"/>
        </w:rPr>
        <w:t>την κατανομή στα άλλα κράτη μέλη κατανάλωσης του φόρου που τους αναλογεί, με βάση τα στοιχεία των δηλώσεων και του λογαριασμού που προβλέπεται στην παρ. 10,</w:t>
      </w:r>
      <w:r>
        <w:rPr>
          <w:rStyle w:val="Hyperlink"/>
          <w:b/>
          <w:bCs/>
          <w:color w:val="000000"/>
          <w:sz w:val="20"/>
          <w:szCs w:val="20"/>
          <w:u w:val="none" w:color="0000EE"/>
          <w:vertAlign w:val="superscript"/>
          <w:lang w:val="el" w:eastAsia="el"/>
        </w:rPr>
        <w:footnoteReference w:id="643"/>
      </w:r>
    </w:p>
    <w:p>
      <w:pPr>
        <w:pStyle w:val="StructureList1"/>
        <w:spacing w:before="120" w:after="0"/>
        <w:rPr>
          <w:lang w:val="el" w:eastAsia="el"/>
        </w:rPr>
      </w:pPr>
      <w:r>
        <w:rPr>
          <w:b/>
          <w:bCs/>
          <w:lang w:val="el" w:eastAsia="el"/>
        </w:rPr>
        <w:t>ζ)</w:t>
      </w:r>
      <w:r>
        <w:rPr>
          <w:b/>
          <w:bCs/>
          <w:lang w:val="en" w:eastAsia="en"/>
        </w:rPr>
        <w:tab/>
      </w:r>
      <w:r>
        <w:rPr>
          <w:b/>
          <w:bCs/>
          <w:lang w:val="el" w:eastAsia="el"/>
        </w:rPr>
        <w:t>την παροχή στα άλλα κράτη μέλη πληροφοριών που αφορούν την εγγραφή και διαγραφή / εξαίρεση από το παρόν ειδικό καθεστώς, την υποβολή δηλώσεων και την καταβολή του φόρου, για την επαλήθευση της κατάστασης των υποκείμενων στον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644"/>
      </w:r>
    </w:p>
    <w:p>
      <w:pPr>
        <w:pStyle w:val="StructureList1"/>
        <w:spacing w:before="120" w:after="0"/>
        <w:rPr>
          <w:lang w:val="el" w:eastAsia="el"/>
        </w:rPr>
      </w:pPr>
      <w:r>
        <w:rPr>
          <w:b/>
          <w:bCs/>
          <w:lang w:val="el" w:eastAsia="el"/>
        </w:rPr>
        <w:t>η)</w:t>
      </w:r>
      <w:r>
        <w:rPr>
          <w:b/>
          <w:bCs/>
          <w:lang w:val="en" w:eastAsia="en"/>
        </w:rPr>
        <w:tab/>
      </w:r>
      <w:r>
        <w:rPr>
          <w:b/>
          <w:bCs/>
          <w:lang w:val="el" w:eastAsia="el"/>
        </w:rPr>
        <w:t>τη διαχείριση των πληροφοριών και των δηλώσεων που διαβιβάζονται από τα άλλα κράτη μέλη για υποκείμενους στον φόρο και μεσάζοντες που έχουν εγγραφεί στο ειδικό καθεστώς, καθώς και τον συντονισμό των ενεργειών που απαιτούνται για την ορθή απόδοση του φόρου.</w:t>
      </w:r>
      <w:r>
        <w:rPr>
          <w:rStyle w:val="Hyperlink"/>
          <w:b/>
          <w:bCs/>
          <w:color w:val="000000"/>
          <w:sz w:val="20"/>
          <w:szCs w:val="20"/>
          <w:u w:val="none" w:color="0000EE"/>
          <w:vertAlign w:val="superscript"/>
          <w:lang w:val="el" w:eastAsia="el"/>
        </w:rPr>
        <w:footnoteReference w:id="645"/>
      </w:r>
    </w:p>
    <w:p>
      <w:pPr>
        <w:pStyle w:val="MainText"/>
        <w:spacing w:before="120" w:after="0"/>
        <w:rPr>
          <w:lang w:val="el" w:eastAsia="el"/>
        </w:rPr>
      </w:pPr>
      <w:r>
        <w:rPr>
          <w:b/>
          <w:bCs/>
          <w:lang w:val="el" w:eastAsia="el"/>
        </w:rPr>
        <w:t>15.</w:t>
      </w:r>
      <w:r>
        <w:rPr>
          <w:b/>
          <w:bCs/>
          <w:lang w:val="el" w:eastAsia="el"/>
        </w:rPr>
        <w:t xml:space="preserve"> Με απόφαση του Διοικητή της Α.Α.Δ.Ε. ορίζονται τα αρμόδια όργανα, οι διαδικασίες εγγραφής και διαγραφής ή εξαίρεσης από το παρόν ειδικό καθεστώς, η διαδικασία υποβολής της δήλωσης ΦΠΑ καταβολής του οφειλόμενου φόρου, και της απόδοσης αυτού στα άλλα κράτη μέλη κατανάλωσης, επιστροφής αχρεωστήτως καταβληθέντων ποσών,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646"/>
      </w:r>
    </w:p>
    <w:p>
      <w:pPr>
        <w:pStyle w:val="Heading6"/>
        <w:spacing w:before="240" w:after="240"/>
        <w:rPr>
          <w:lang w:val="el" w:eastAsia="el"/>
        </w:rPr>
      </w:pPr>
      <w:r>
        <w:rPr>
          <w:b/>
          <w:bCs/>
          <w:lang w:val="el" w:eastAsia="el"/>
        </w:rPr>
        <w:t xml:space="preserve">Άρθρο 47ε </w:t>
      </w:r>
    </w:p>
    <w:p>
      <w:pPr>
        <w:pStyle w:val="Heading6"/>
        <w:spacing w:before="240" w:after="240"/>
        <w:rPr>
          <w:lang w:val="el" w:eastAsia="el"/>
        </w:rPr>
      </w:pPr>
      <w:r>
        <w:rPr>
          <w:b/>
          <w:bCs/>
          <w:lang w:val="el" w:eastAsia="el"/>
        </w:rPr>
        <w:t>Ειδικές ρυθμίσεις για τη δήλωση και την πληρωμή του ΦΠΑ κατά την εισαγωγή</w:t>
      </w:r>
      <w:r>
        <w:rPr>
          <w:rStyle w:val="Hyperlink"/>
          <w:b/>
          <w:bCs/>
          <w:color w:val="000000"/>
          <w:sz w:val="20"/>
          <w:szCs w:val="20"/>
          <w:u w:val="none" w:color="0000EE"/>
          <w:vertAlign w:val="superscript"/>
          <w:lang w:val="el" w:eastAsia="el"/>
        </w:rPr>
        <w:footnoteReference w:id="647"/>
      </w:r>
    </w:p>
    <w:p>
      <w:pPr>
        <w:pStyle w:val="MainText"/>
        <w:spacing w:before="120" w:after="0"/>
        <w:rPr>
          <w:lang w:val="el" w:eastAsia="el"/>
        </w:rPr>
      </w:pPr>
      <w:r>
        <w:rPr>
          <w:b/>
          <w:bCs/>
          <w:lang w:val="el" w:eastAsia="el"/>
        </w:rPr>
        <w:t>1.</w:t>
      </w:r>
      <w:r>
        <w:rPr>
          <w:b/>
          <w:bCs/>
          <w:lang w:val="el" w:eastAsia="el"/>
        </w:rPr>
        <w:t xml:space="preserve"> Όταν, για την εισαγωγή αγαθών, εξαιρουμένων προϊόντων που υπόκεινται σε ειδικό φόρο κατανάλωσης, σε δέματα εσωτερικής αξίας που δεν υπερβαίνει τα εκατόν πενήντα (150) ευρώ, δεν χρησιμοποιείται το ειδικό καθεστώς εισαγωγής του άρθρου 47δ ή αντίστοιχο ειδικό καθεστώς άλλου κράτους μέλους, το πρόσωπο που προσκομίζει τα εμπορεύματα στο τελωνείο για λογαριασμό του προσώπου για το οποίο προορίζονται τα αγαθά δύναται να κάνει χρήση ειδικών ρυθμίσεων για τη δήλωση και την καταβολή ΦΠΑ στην αρμόδια τελωνειακή αρχή υπό την προϋπόθεση ότι η αποστολή ή η άφιξη των αγαθών ολοκληρώνεται στη Χώρα μας.</w:t>
      </w:r>
      <w:r>
        <w:rPr>
          <w:rStyle w:val="Hyperlink"/>
          <w:b/>
          <w:bCs/>
          <w:color w:val="000000"/>
          <w:sz w:val="20"/>
          <w:szCs w:val="20"/>
          <w:u w:val="none" w:color="0000EE"/>
          <w:vertAlign w:val="superscript"/>
          <w:lang w:val="el" w:eastAsia="el"/>
        </w:rPr>
        <w:footnoteReference w:id="648"/>
      </w:r>
    </w:p>
    <w:p>
      <w:pPr>
        <w:spacing w:before="240" w:after="240"/>
        <w:rPr>
          <w:lang w:val="el" w:eastAsia="el"/>
        </w:rPr>
      </w:pPr>
      <w:r>
        <w:rPr>
          <w:b/>
          <w:bCs/>
          <w:lang w:val="el" w:eastAsia="el"/>
        </w:rPr>
        <w:t>Ως «εσωτερική αξία» νοείται η τιμή των αγαθών καθαυτά όταν πωλούνται προς εξαγωγή στο τελωνειακό έδαφος της Ένωσης κατά τα ειδικότερα οριζόμενα στον Ενωσιακό Τελωνειακό Κώδικα (Κανονισμός (ΕΕ) αρ. 952/2013 του Ευρωπαϊκού Κοινοβουλίου και του Συμβουλίου της 9ης Οκτωβρίου 2013, L 269). Για εμπορεύματα που υπόκεινται σε απαγορεύσεις και περιορισμούς κατά την εισαγωγή, τυγχάνει εφαρμογής η ενωσιακή τελωνειακή νομοθεσία.</w:t>
      </w:r>
      <w:r>
        <w:rPr>
          <w:rStyle w:val="Hyperlink"/>
          <w:b/>
          <w:bCs/>
          <w:color w:val="000000"/>
          <w:sz w:val="20"/>
          <w:szCs w:val="20"/>
          <w:u w:val="none" w:color="0000EE"/>
          <w:vertAlign w:val="superscript"/>
          <w:lang w:val="el" w:eastAsia="el"/>
        </w:rPr>
        <w:footnoteReference w:id="649"/>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ισχύουν τα εξής:</w:t>
      </w:r>
      <w:r>
        <w:rPr>
          <w:rStyle w:val="Hyperlink"/>
          <w:b/>
          <w:bCs/>
          <w:color w:val="000000"/>
          <w:sz w:val="20"/>
          <w:szCs w:val="20"/>
          <w:u w:val="none" w:color="0000EE"/>
          <w:vertAlign w:val="superscript"/>
          <w:lang w:val="el" w:eastAsia="el"/>
        </w:rPr>
        <w:footnoteReference w:id="650"/>
      </w:r>
    </w:p>
    <w:p>
      <w:pPr>
        <w:spacing w:before="240" w:after="240"/>
        <w:rPr>
          <w:lang w:val="el" w:eastAsia="el"/>
        </w:rPr>
      </w:pPr>
      <w:r>
        <w:rPr>
          <w:b/>
          <w:bCs/>
          <w:lang w:val="el" w:eastAsia="el"/>
        </w:rPr>
        <w:t>(α) το πρόσωπο για το οποίο προορίζονται τα αγαθά είναι υπόχρεο για την καταβολή του ΦΠΑ,</w:t>
      </w:r>
      <w:r>
        <w:rPr>
          <w:rStyle w:val="Hyperlink"/>
          <w:b/>
          <w:bCs/>
          <w:color w:val="000000"/>
          <w:sz w:val="20"/>
          <w:szCs w:val="20"/>
          <w:u w:val="none" w:color="0000EE"/>
          <w:vertAlign w:val="superscript"/>
          <w:lang w:val="el" w:eastAsia="el"/>
        </w:rPr>
        <w:footnoteReference w:id="651"/>
      </w:r>
    </w:p>
    <w:p>
      <w:pPr>
        <w:spacing w:before="240" w:after="240"/>
        <w:rPr>
          <w:lang w:val="el" w:eastAsia="el"/>
        </w:rPr>
      </w:pPr>
      <w:r>
        <w:rPr>
          <w:b/>
          <w:bCs/>
          <w:lang w:val="el" w:eastAsia="el"/>
        </w:rPr>
        <w:t>(β) το πρόσωπο που προσκομίζει τα αγαθά στην αρμόδια τελωνειακή αρχή εισπράττει τον ΦΠΑ από το πρόσωπο για το οποίο προορίζονται τα αγαθά και καταβάλλει τον ΦΠΑ στην αρμόδια τελωνειακή αρχή.</w:t>
      </w:r>
      <w:r>
        <w:rPr>
          <w:rStyle w:val="Hyperlink"/>
          <w:b/>
          <w:bCs/>
          <w:color w:val="000000"/>
          <w:sz w:val="20"/>
          <w:szCs w:val="20"/>
          <w:u w:val="none" w:color="0000EE"/>
          <w:vertAlign w:val="superscript"/>
          <w:lang w:val="el" w:eastAsia="el"/>
        </w:rPr>
        <w:footnoteReference w:id="652"/>
      </w:r>
    </w:p>
    <w:p>
      <w:pPr>
        <w:spacing w:before="240" w:after="240"/>
        <w:rPr>
          <w:lang w:val="el" w:eastAsia="el"/>
        </w:rPr>
      </w:pPr>
      <w:r>
        <w:rPr>
          <w:b/>
          <w:bCs/>
          <w:lang w:val="el" w:eastAsia="el"/>
        </w:rPr>
        <w:t>Το πρόσωπο που προσκομίζει τα αγαθά στην αρμόδια τελωνειακή αρχή λαμβάνει κατάλληλα μέτρα ώστε να διασφαλίζεται ότι το πρόσωπο για το οποίο προορίζονται τα αγαθά καταβάλλει τον αναλογούντα φόρο.</w:t>
      </w:r>
      <w:r>
        <w:rPr>
          <w:rStyle w:val="Hyperlink"/>
          <w:b/>
          <w:bCs/>
          <w:color w:val="000000"/>
          <w:sz w:val="20"/>
          <w:szCs w:val="20"/>
          <w:u w:val="none" w:color="0000EE"/>
          <w:vertAlign w:val="superscript"/>
          <w:lang w:val="el" w:eastAsia="el"/>
        </w:rPr>
        <w:footnoteReference w:id="653"/>
      </w:r>
    </w:p>
    <w:p>
      <w:pPr>
        <w:pStyle w:val="MainText"/>
        <w:spacing w:before="120" w:after="0"/>
        <w:rPr>
          <w:lang w:val="el" w:eastAsia="el"/>
        </w:rPr>
      </w:pPr>
      <w:r>
        <w:rPr>
          <w:b/>
          <w:bCs/>
          <w:lang w:val="el" w:eastAsia="el"/>
        </w:rPr>
        <w:t>3.</w:t>
      </w:r>
      <w:r>
        <w:rPr>
          <w:b/>
          <w:bCs/>
          <w:lang w:val="el" w:eastAsia="el"/>
        </w:rPr>
        <w:t xml:space="preserve"> Η είσπραξη του φόρου στο πλαίσιο του παρόντος πραγματοποιείται στην αρμόδια τελωνειακή αρχή με ηλεκτρονικά μέσα σε μηνιαία βάση. Ο φόρος καταβάλλεται εντός της προθεσμίας καταβολής που εφαρμόζεται για την καταβολή των εισαγωγικών δασμών.</w:t>
      </w:r>
      <w:r>
        <w:rPr>
          <w:rStyle w:val="Hyperlink"/>
          <w:b/>
          <w:bCs/>
          <w:color w:val="000000"/>
          <w:sz w:val="20"/>
          <w:szCs w:val="20"/>
          <w:u w:val="none" w:color="0000EE"/>
          <w:vertAlign w:val="superscript"/>
          <w:lang w:val="el" w:eastAsia="el"/>
        </w:rPr>
        <w:footnoteReference w:id="654"/>
      </w:r>
    </w:p>
    <w:p>
      <w:pPr>
        <w:pStyle w:val="MainText"/>
        <w:spacing w:before="120" w:after="0"/>
        <w:rPr>
          <w:lang w:val="el" w:eastAsia="el"/>
        </w:rPr>
      </w:pPr>
      <w:r>
        <w:rPr>
          <w:b/>
          <w:bCs/>
          <w:lang w:val="el" w:eastAsia="el"/>
        </w:rPr>
        <w:t>4.</w:t>
      </w:r>
      <w:r>
        <w:rPr>
          <w:b/>
          <w:bCs/>
          <w:lang w:val="el" w:eastAsia="el"/>
        </w:rPr>
        <w:t xml:space="preserve"> Τα πρόσωπα που χρησιμοποιούν το παρόν τηρούν αρχείο των εισαγωγών που υπάγονται σε αυτό για χρονικό διάστημα δέκα (10) ετών. Η τήρηση του αρχείου εισαγωγών είναι λεπτομερής, ώστε να επιτρέπει στις τελωνειακές αρχές να επαληθεύουν την ακρίβεια του δηλωθέντος ποσού ΦΠΑ. Το αρχείο εισαγωγών είναι διαθέσιμο σε ηλεκτρονική μορφή κατόπιν αιτήματος των τελωνειακών αρχών.</w:t>
      </w:r>
      <w:r>
        <w:rPr>
          <w:rStyle w:val="Hyperlink"/>
          <w:b/>
          <w:bCs/>
          <w:color w:val="000000"/>
          <w:sz w:val="20"/>
          <w:szCs w:val="20"/>
          <w:u w:val="none" w:color="0000EE"/>
          <w:vertAlign w:val="superscript"/>
          <w:lang w:val="el" w:eastAsia="el"/>
        </w:rPr>
        <w:footnoteReference w:id="655"/>
      </w:r>
    </w:p>
    <w:p>
      <w:pPr>
        <w:pStyle w:val="MainText"/>
        <w:spacing w:before="120" w:after="0"/>
        <w:rPr>
          <w:lang w:val="el" w:eastAsia="el"/>
        </w:rPr>
      </w:pPr>
      <w:r>
        <w:rPr>
          <w:b/>
          <w:bCs/>
          <w:lang w:val="el" w:eastAsia="el"/>
        </w:rPr>
        <w:t>5.</w:t>
      </w:r>
      <w:r>
        <w:rPr>
          <w:b/>
          <w:bCs/>
          <w:lang w:val="el" w:eastAsia="el"/>
        </w:rPr>
        <w:t xml:space="preserve"> Οποιαδήποτε παράβαση του παρόντος θεωρείται, με την επιφύλαξη της περί λαθρεμπορίας νομοθεσίας, ως απλή τελωνειακή παράβαση, σύμφωνα με την παρ. 1 του άρθρου 142 του Εθνικού Τελωνειακού Κώδικα (ν. 2960/2001, Α` 265) και τιμωρείται σύμφωνα με τον ανωτέρω Κώδικα.</w:t>
      </w:r>
      <w:r>
        <w:rPr>
          <w:rStyle w:val="Hyperlink"/>
          <w:b/>
          <w:bCs/>
          <w:color w:val="000000"/>
          <w:sz w:val="20"/>
          <w:szCs w:val="20"/>
          <w:u w:val="none" w:color="0000EE"/>
          <w:vertAlign w:val="superscript"/>
          <w:lang w:val="el" w:eastAsia="el"/>
        </w:rPr>
        <w:footnoteReference w:id="656"/>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στ</w:t>
      </w:r>
      <w:r>
        <w:rPr>
          <w:rStyle w:val="Hyperlink"/>
          <w:b/>
          <w:bCs/>
          <w:color w:val="000000"/>
          <w:sz w:val="20"/>
          <w:szCs w:val="20"/>
          <w:u w:val="none" w:color="0000EE"/>
          <w:vertAlign w:val="superscript"/>
          <w:lang w:val="el" w:eastAsia="el"/>
        </w:rPr>
        <w:footnoteReference w:id="657"/>
      </w:r>
    </w:p>
    <w:p>
      <w:pPr>
        <w:pStyle w:val="MainText"/>
        <w:spacing w:before="120" w:after="0"/>
        <w:rPr>
          <w:lang w:val="el" w:eastAsia="el"/>
        </w:rPr>
      </w:pPr>
      <w:r>
        <w:rPr>
          <w:b/>
          <w:bCs/>
          <w:lang w:val="el" w:eastAsia="el"/>
        </w:rPr>
        <w:t>1.</w:t>
      </w:r>
      <w:r>
        <w:rPr>
          <w:b/>
          <w:bCs/>
          <w:lang w:val="el" w:eastAsia="el"/>
        </w:rPr>
        <w:t xml:space="preserve"> Στις εξ αποστάσεως πωλήσεις αγαθών, εφαρμόζονται οι απαγορεύσεις των πωλήσεων προϊόντων καπνού, ηλεκτρονικών τσιγάρων και περιεκτών αναπλήρωσης που προβλέπονται στην παρ. 7 του άρθρου 60 του Εθνικού Τελωνειακού Κώδικα, του ν. 2960/2001 (Α` 265) και το άρθρο 16 του ν. 4419/2016 (Α` 174).</w:t>
      </w:r>
      <w:r>
        <w:rPr>
          <w:rStyle w:val="Hyperlink"/>
          <w:b/>
          <w:bCs/>
          <w:color w:val="000000"/>
          <w:sz w:val="20"/>
          <w:szCs w:val="20"/>
          <w:u w:val="none" w:color="0000EE"/>
          <w:vertAlign w:val="superscript"/>
          <w:lang w:val="el" w:eastAsia="el"/>
        </w:rPr>
        <w:footnoteReference w:id="658"/>
      </w:r>
    </w:p>
    <w:p>
      <w:pPr>
        <w:pStyle w:val="MainText"/>
        <w:spacing w:before="120" w:after="0"/>
        <w:rPr>
          <w:lang w:val="el" w:eastAsia="el"/>
        </w:rPr>
      </w:pPr>
      <w:r>
        <w:rPr>
          <w:b/>
          <w:bCs/>
          <w:lang w:val="el" w:eastAsia="el"/>
        </w:rPr>
        <w:t>2.</w:t>
      </w:r>
      <w:r>
        <w:rPr>
          <w:b/>
          <w:bCs/>
          <w:lang w:val="el" w:eastAsia="el"/>
        </w:rPr>
        <w:t xml:space="preserve"> Για τις ενδοκοινοτικές εξ αποστάσεως πωλήσεις αγαθών και τις εξ αποστάσεως πωλήσεις αγαθών που εισάγονται από τρίτες χώρες ή τρίτα εδάφη, τα οποία υπόκεινται σε φόρο κατανάλωσης, όταν η άφιξη της αποστολής ή μεταφοράς στον αποκτώντα πελάτη είναι το εσωτερικό της χώρας, με την επιφύλαξη της παρ. 1, εφαρμόζεται το άρθρο 53Α του ν. 2960/2001, για τη βεβαίωση και είσπραξη του φόρου κατανάλωσης και του ΦΠΑ.</w:t>
      </w:r>
      <w:r>
        <w:rPr>
          <w:rStyle w:val="Hyperlink"/>
          <w:b/>
          <w:bCs/>
          <w:color w:val="000000"/>
          <w:sz w:val="20"/>
          <w:szCs w:val="20"/>
          <w:u w:val="none" w:color="0000EE"/>
          <w:vertAlign w:val="superscript"/>
          <w:lang w:val="el" w:eastAsia="el"/>
        </w:rPr>
        <w:footnoteReference w:id="659"/>
      </w:r>
    </w:p>
    <w:p>
      <w:pPr>
        <w:pStyle w:val="MainText"/>
        <w:spacing w:before="120" w:after="0"/>
        <w:rPr>
          <w:lang w:val="el" w:eastAsia="el"/>
        </w:rPr>
      </w:pPr>
      <w:r>
        <w:rPr>
          <w:b/>
          <w:bCs/>
          <w:lang w:val="el" w:eastAsia="el"/>
        </w:rPr>
        <w:t>3.</w:t>
      </w:r>
      <w:r>
        <w:rPr>
          <w:b/>
          <w:bCs/>
          <w:lang w:val="el" w:eastAsia="el"/>
        </w:rPr>
        <w:t xml:space="preserve"> Για τις ενδοκοινοτικές εξ αποστάσεως πωλήσεις αγαθών, τα οποία υπόκεινται σε ειδικό φόρο κατανάλωσης, όταν η άφιξη της αποστολής ή μεταφοράς στον αποκτώντα πελάτη, είναι το εσωτερικό της Χώρας, με την επιφύλαξη της παρ. 1, εφαρμόζονται το άρθρο 60 και η παρ. 5 του άρθρου 109 του ν. 2960/2001, για τη βεβαίωση και είσπραξη του ειδικού φόρου κατανάλωσης και του ΦΠΑ.</w:t>
      </w:r>
      <w:r>
        <w:rPr>
          <w:rStyle w:val="Hyperlink"/>
          <w:b/>
          <w:bCs/>
          <w:color w:val="000000"/>
          <w:sz w:val="20"/>
          <w:szCs w:val="20"/>
          <w:u w:val="none" w:color="0000EE"/>
          <w:vertAlign w:val="superscript"/>
          <w:lang w:val="el" w:eastAsia="el"/>
        </w:rPr>
        <w:footnoteReference w:id="660"/>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ΒΕΒΑΙΩΣΗΣ ΚΑΙ ΚΑΤΑΒΟΛΗΣ ΤΟΥ ΦΟΡΟΥ </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Αρμόδια φορολογική αρχή - Φορολογικός έλεγχος</w:t>
      </w:r>
    </w:p>
    <w:p>
      <w:pPr>
        <w:pStyle w:val="MainText"/>
        <w:spacing w:before="120" w:after="0"/>
        <w:rPr>
          <w:lang w:val="el" w:eastAsia="el"/>
        </w:rPr>
      </w:pPr>
      <w:r>
        <w:rPr>
          <w:b/>
          <w:bCs/>
          <w:lang w:val="el" w:eastAsia="el"/>
        </w:rPr>
        <w:t>1.</w:t>
      </w:r>
      <w:r>
        <w:rPr>
          <w:b/>
          <w:bCs/>
          <w:lang w:val="el" w:eastAsia="el"/>
        </w:rPr>
        <w:t xml:space="preserve"> Η επιβολή του φόρου γίνεται από τον Προϊστάμενο ΔΟΥ που είναι αρμόδιος για τη φορολογία εισοδήματος του υπόχρεου στο φόρο. Η παραλαβή των δηλώσεων γίνεται από τον εν λόγω Προϊστάμενο ΔΟΥ, σύμφωνα με τα οριζόμενα στις διατάξεις του άρθρου 38. </w:t>
      </w:r>
    </w:p>
    <w:p>
      <w:pPr>
        <w:pStyle w:val="MainText"/>
        <w:spacing w:before="120" w:after="0"/>
        <w:rPr>
          <w:lang w:val="el" w:eastAsia="el"/>
        </w:rPr>
      </w:pPr>
      <w:r>
        <w:rPr>
          <w:b/>
          <w:bCs/>
          <w:lang w:val="el" w:eastAsia="el"/>
        </w:rPr>
        <w:t>2.</w:t>
      </w:r>
      <w:r>
        <w:rPr>
          <w:b/>
          <w:bCs/>
          <w:lang w:val="el" w:eastAsia="el"/>
        </w:rPr>
        <w:t xml:space="preserve"> Ο Προϊστάμενος ΔΟΥ ελέγχει την ακρίβεια των υποβαλλόμενων δηλώσεων και προβαίνει στην εξακρίβωση των υπόχρεων που δεν έχουν υποβάλει δήλωση. Κατά την υποβολή της ειδικής δήλωσης Φ.Π.Α που προβλέπεται από τις διατάξεις της περίπτωσης γ της παραγράφου 4 του άρθρου 36 και σε περίπτωση κατά την οποία το δηλούμενο από τον υποκείμενο στον φόρο τίμημα υπολείπεται της αγοραίας αξίας, ο Προϊστάμενος της Δ.Ο.Υ. ελέγχει άμεσα την ακρίβεια της υποβαλλόμενης δήλωσης, λαμβάνοντας υπόψη του τις αξίες όπως αυτές ισχύουν στη Φορολογία μεταβίβασης ακινήτων και στη φορολογία εισοδήματος, καθώς και το συνολικό κόστος του παραδιδόμενου ακινήτου σε συνδυασμό με τα τεχνικά, ποσοτικά και οικονομικά δεδομένα που αφορούν την άδεια ανέγερσης του ακινήτου. Σε περίπτωση κατά την οποία ο υποκείμενος στο φόρο δεν αποδέχεται το αποτέλεσμα του ελέγχου αυτού, η αξία του παραδιδόμενου ακινήτου υπόκειται στη δεσμευτική κρίση του Σώματος Ορκωτών Εκτιμητών.</w:t>
      </w:r>
    </w:p>
    <w:p>
      <w:pPr>
        <w:spacing w:before="240" w:after="240"/>
        <w:rPr>
          <w:lang w:val="el" w:eastAsia="el"/>
        </w:rPr>
      </w:pPr>
      <w:r>
        <w:rPr>
          <w:b/>
          <w:bCs/>
          <w:lang w:val="el" w:eastAsia="el"/>
        </w:rPr>
        <w:t>Με αποφάσεις του Υπουργού Οικονομίας και Οικονομικών ρυθμίζεται ο τρόπος, η διαδικασία και κάθε αναγκαίο στοιχείο ή λεπτομέρεια που αφορά τον έλεγχο αυτόν.</w:t>
      </w:r>
      <w:r>
        <w:rPr>
          <w:rStyle w:val="Hyperlink"/>
          <w:b/>
          <w:bCs/>
          <w:color w:val="000000"/>
          <w:sz w:val="20"/>
          <w:szCs w:val="20"/>
          <w:u w:val="none" w:color="0000EE"/>
          <w:vertAlign w:val="superscript"/>
          <w:lang w:val="el" w:eastAsia="el"/>
        </w:rPr>
        <w:footnoteReference w:id="661"/>
      </w:r>
    </w:p>
    <w:p>
      <w:pPr>
        <w:pStyle w:val="MainText"/>
        <w:spacing w:before="120" w:after="0"/>
        <w:rPr>
          <w:lang w:val="el" w:eastAsia="el"/>
        </w:rPr>
      </w:pPr>
      <w:r>
        <w:rPr>
          <w:b/>
          <w:bCs/>
          <w:lang w:val="el" w:eastAsia="el"/>
        </w:rPr>
        <w:t>3.</w:t>
      </w:r>
      <w:r>
        <w:rPr>
          <w:b/>
          <w:bCs/>
          <w:lang w:val="el" w:eastAsia="el"/>
        </w:rPr>
        <w:t xml:space="preserve"> Εφόσον διαπιστώνεται ανεπάρκεια ή ανακρίβεια των βιβλίων και στοιχείων, τα οποία τηρεί ο υπόχρεος στο φόρο, αναφορικά με τη φορολογητέα αξία, τα ποσοστά ή τις εκπτώσεις του φόρου, ο Προϊστάμενος ΔΟΥ προβαίνει στον προσδιορισμό τους με βάση τα υπόψη του στοιχεία και ιδίως:</w:t>
      </w:r>
    </w:p>
    <w:p>
      <w:pPr>
        <w:pStyle w:val="StructureList1"/>
        <w:spacing w:before="120" w:after="0"/>
        <w:rPr>
          <w:lang w:val="el" w:eastAsia="el"/>
        </w:rPr>
      </w:pPr>
      <w:r>
        <w:rPr>
          <w:b/>
          <w:bCs/>
          <w:lang w:val="el" w:eastAsia="el"/>
        </w:rPr>
        <w:t>α)</w:t>
      </w:r>
      <w:r>
        <w:rPr>
          <w:b/>
          <w:bCs/>
          <w:lang w:val="en" w:eastAsia="en"/>
        </w:rPr>
        <w:tab/>
      </w:r>
      <w:r>
        <w:rPr>
          <w:b/>
          <w:bCs/>
          <w:lang w:val="el" w:eastAsia="el"/>
        </w:rPr>
        <w:t>Τα ακαθάριστα έσοδα που προσδιορίζονται ύστερα από έλεγχο στη φορολογία εισοδήματος, τις αγορές και τις σχετικές με το φόρο του παρόντος νόμου δαπάνες,</w:t>
      </w:r>
    </w:p>
    <w:p>
      <w:pPr>
        <w:pStyle w:val="StructureList1"/>
        <w:spacing w:before="120" w:after="0"/>
        <w:rPr>
          <w:lang w:val="el" w:eastAsia="el"/>
        </w:rPr>
      </w:pPr>
      <w:r>
        <w:rPr>
          <w:b/>
          <w:bCs/>
          <w:lang w:val="el" w:eastAsia="el"/>
        </w:rPr>
        <w:t>β)</w:t>
      </w:r>
      <w:r>
        <w:rPr>
          <w:b/>
          <w:bCs/>
          <w:lang w:val="en" w:eastAsia="en"/>
        </w:rPr>
        <w:tab/>
      </w:r>
      <w:r>
        <w:rPr>
          <w:b/>
          <w:bCs/>
          <w:lang w:val="el" w:eastAsia="el"/>
        </w:rPr>
        <w:t>τα συναφή στοιχεία που προκύπτουν από τον έλεγχο άλλων φορολογιών από πληροφορίες που διαθέτει ή περιέρχονται σ΄ αυτόν. Η ανεπάρκεια ή ανακρίβεια των βιβλίων και στοιχείων κρίνεται σύμφωνα με τις διατάξεις του Κ.Β.Σ. και της φορολογίας εισοδήματος.</w:t>
      </w:r>
    </w:p>
    <w:p>
      <w:pPr>
        <w:pStyle w:val="MainText"/>
        <w:spacing w:before="120" w:after="0"/>
        <w:rPr>
          <w:lang w:val="el" w:eastAsia="el"/>
        </w:rPr>
      </w:pPr>
      <w:r>
        <w:rPr>
          <w:b/>
          <w:bCs/>
          <w:lang w:val="el" w:eastAsia="el"/>
        </w:rPr>
        <w:t>4.</w:t>
      </w:r>
      <w:r>
        <w:rPr>
          <w:b/>
          <w:bCs/>
          <w:lang w:val="el" w:eastAsia="el"/>
        </w:rPr>
        <w:t xml:space="preserve"> Ο έλεγχος ενεργείται τις εργάσιμες για τον υπόχρεο ημέρες και ώρες, στην επαγγελματική του εγκατάσταση ή, όταν τούτο είναι δύσκολο, στη ΔΟΥ, καθώς και σε άλλο τόπο και χρόνο ύστερα από συμφωνία του Προϊσταμένου ΔΟΥ και του υπόχρεου στο φόρο.</w:t>
      </w:r>
    </w:p>
    <w:p>
      <w:pPr>
        <w:pStyle w:val="MainText"/>
        <w:spacing w:before="120" w:after="0"/>
        <w:rPr>
          <w:lang w:val="el" w:eastAsia="el"/>
        </w:rPr>
      </w:pPr>
      <w:r>
        <w:rPr>
          <w:b/>
          <w:bCs/>
          <w:lang w:val="el" w:eastAsia="el"/>
        </w:rPr>
        <w:t>5.</w:t>
      </w:r>
      <w:r>
        <w:rPr>
          <w:b/>
          <w:bCs/>
          <w:lang w:val="el" w:eastAsia="el"/>
        </w:rPr>
        <w:t xml:space="preserve"> Κατά τη διάρκεια του ελέγχου επιτρέπεται κάθε αναγκαία εξέταση ή έρευνα στην επαγγελματική εγκατάσταση του υπόχρεου στο φόρο και κυρίως στους χώρους παραγωγής, επεξεργασίας γενικά, αποθήκευσης ή παράδοσης των αγαθών, καθώς και στον τόπο παροχής των υπηρεσιών, σύμφωνα με όσα ειδικότερα ορίζονται από τις διατάξεις του άρθρου 36 του Κώδικα Βιβλίων και Στοιχείων και του άρθρου 25 του Ν. 820/1978 (ΦΕΚ 174 Α΄).</w:t>
      </w:r>
    </w:p>
    <w:p>
      <w:pPr>
        <w:pStyle w:val="MainText"/>
        <w:spacing w:before="120" w:after="0"/>
        <w:rPr>
          <w:lang w:val="el" w:eastAsia="el"/>
        </w:rPr>
      </w:pPr>
      <w:r>
        <w:rPr>
          <w:b/>
          <w:bCs/>
          <w:lang w:val="el" w:eastAsia="el"/>
        </w:rPr>
        <w:t>6.</w:t>
      </w:r>
      <w:r>
        <w:rPr>
          <w:b/>
          <w:bCs/>
          <w:lang w:val="el" w:eastAsia="el"/>
        </w:rPr>
        <w:t xml:space="preserve"> Ο υπόχρεος στο φόρο επιδεικνύει ή παραδίδει κάθε έγγραφο ή άλλο στοιχείο που του ζητούν για τη διεξαγωγή του ελέγχου.</w:t>
      </w:r>
    </w:p>
    <w:p>
      <w:pPr>
        <w:spacing w:before="240" w:after="240"/>
        <w:rPr>
          <w:lang w:val="el" w:eastAsia="el"/>
        </w:rPr>
      </w:pPr>
      <w:r>
        <w:rPr>
          <w:b/>
          <w:bCs/>
          <w:lang w:val="el" w:eastAsia="el"/>
        </w:rPr>
        <w:t>Τις ίδιες υποχρεώσεις έχουν και τα πρόσωπα τα οποία. από τη σχέση εργασίας που έχουν με τον υπόχρεο, μπορούν να δώσουν τα ζητούμενα στοιχεία.</w:t>
      </w:r>
    </w:p>
    <w:p>
      <w:pPr>
        <w:pStyle w:val="MainText"/>
        <w:spacing w:before="120" w:after="0"/>
        <w:rPr>
          <w:lang w:val="el" w:eastAsia="el"/>
        </w:rPr>
      </w:pPr>
      <w:r>
        <w:rPr>
          <w:b/>
          <w:bCs/>
          <w:lang w:val="el" w:eastAsia="el"/>
        </w:rPr>
        <w:t>7.</w:t>
      </w:r>
      <w:r>
        <w:rPr>
          <w:b/>
          <w:bCs/>
          <w:lang w:val="el" w:eastAsia="el"/>
        </w:rPr>
        <w:t xml:space="preserve"> Ύστερα από έγγραφη πρόσκληση του Προϊσταμένου ΔΟΥ, οι δημόσιες, δημοτικές, κοινοτικές και λοιπές αρχές, καθώς και κάθε φυσικό ή νομικό πρόσωπο δημόσιου ή ιδιωτικού δικαίου, οφείλουν να αποστέλλουν σε αυτόν, μέσα σε προθεσμία τριάντα (30) ημερών από τη γνωστοποίηση της πρόσκλησης, κάθε στοιχείο χρήσιμο για τη διεξαγωγή του ελέγχου και να παρέχουν κάθε σχετική πληροφορία ή συνδρομή.</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μπορεί να ορίζεται άλλος Προϊστάμενος Δ.Ο.Υ. ή άλλη δημόσια αρχή ή τα Ελληνικά Ταχυδρομεία ή άλλος οργανισμός κοινής ωφέλειας ή πιστωτικός οργανισμός, για την παραλαβή των δηλώσεων, καθώς και άλλος Προϊστάμενος ΔΟΥ για την επιβολή του φόρου.</w:t>
      </w:r>
    </w:p>
    <w:p>
      <w:pPr>
        <w:pStyle w:val="Heading6"/>
        <w:spacing w:before="240" w:after="240"/>
        <w:rPr>
          <w:lang w:val="el" w:eastAsia="el"/>
        </w:rPr>
      </w:pPr>
      <w:r>
        <w:rPr>
          <w:b/>
          <w:bCs/>
          <w:lang w:val="el" w:eastAsia="el"/>
        </w:rPr>
        <w:t xml:space="preserve">Άρθρο 48Α </w:t>
      </w:r>
    </w:p>
    <w:p>
      <w:pPr>
        <w:pStyle w:val="Heading6"/>
        <w:spacing w:before="240" w:after="240"/>
        <w:rPr>
          <w:lang w:val="el" w:eastAsia="el"/>
        </w:rPr>
      </w:pPr>
      <w:r>
        <w:rPr>
          <w:b/>
          <w:bCs/>
          <w:lang w:val="el" w:eastAsia="el"/>
        </w:rPr>
        <w:t>Έλεγχος από το γραφείο</w:t>
      </w:r>
      <w:r>
        <w:rPr>
          <w:rStyle w:val="Hyperlink"/>
          <w:b/>
          <w:bCs/>
          <w:color w:val="000000"/>
          <w:sz w:val="20"/>
          <w:szCs w:val="20"/>
          <w:u w:val="none" w:color="0000EE"/>
          <w:vertAlign w:val="superscript"/>
          <w:lang w:val="el" w:eastAsia="el"/>
        </w:rPr>
        <w:footnoteReference w:id="662"/>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τις ήδη διαπιστωμένες παραβάσεις και τα λοιπά στοιχεία του φακέλου, τα δελτία πληροφοριών, τις εκθέσεις ελέγχου του Σ.Δ.Ο.Ε. και άλλων υπηρεσιών του Υπουργείου Οικονομικών, τα στοιχεία και τις πληροφορίες των προσώπων που ορίζονται στο άρθρο 17 του ν. 3842/2010, καθώς και τα στοιχεία που προκύπτουν από τη μηχανογραφική επεξεργασία δεδομένων της Γ.Γ.Π.Σ., προκύπτει ότι ο υπόχρεος στο φόρο παρέλειψε να δηλώσει ή δήλωσε ανακριβώς τη φορολογητέα αξία ή υπολόγισε εσφαλμένα τα ποσοστά ή τις εκπτώσεις, ο προϊστάμενος της ελεγκτικής υπηρεσίας μπορεί να εκδώσει από το γραφείο μερική πράξη προσδιορισμού του φόρου για μία ή περισσότερες φορολογικές περιόδους ή και για ολόκληρη διαχειριστική περίοδο ακόμα και χωρίς έλεγχο όλων των βιβλίων και στοιχείων και χωρίς να είναι αναγκαία η διενέργεια ελέγχου σε άλλες φορολογίες.</w:t>
      </w:r>
      <w:r>
        <w:rPr>
          <w:rStyle w:val="Hyperlink"/>
          <w:b/>
          <w:bCs/>
          <w:color w:val="000000"/>
          <w:sz w:val="20"/>
          <w:szCs w:val="20"/>
          <w:u w:val="none" w:color="0000EE"/>
          <w:vertAlign w:val="superscript"/>
          <w:lang w:val="el" w:eastAsia="el"/>
        </w:rPr>
        <w:footnoteReference w:id="663"/>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 τα κριτήρια και οι τεχνικές βάσει των γενικά παραδεκτών αρχών και τεχνικών της ελεγκτικής με τις οποίες προσδιορίζονται οι εκροές του ελεγχόμενου επιτηδευματία.</w:t>
      </w:r>
      <w:r>
        <w:rPr>
          <w:rStyle w:val="Hyperlink"/>
          <w:b/>
          <w:bCs/>
          <w:color w:val="000000"/>
          <w:sz w:val="20"/>
          <w:szCs w:val="20"/>
          <w:u w:val="none" w:color="0000EE"/>
          <w:vertAlign w:val="superscript"/>
          <w:lang w:val="el" w:eastAsia="el"/>
        </w:rPr>
        <w:footnoteReference w:id="664"/>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Με βάση τα αποτελέσματα του ελέγχου ο Προϊστάμενος ΔΟΥ εκδίδει πράξη προσδιορισμού του φόρου για χρονική περίοδο που δεν μπορεί να είναι μεγαλύτερη από μία διαχειριστική περίοδο.</w:t>
      </w:r>
    </w:p>
    <w:p>
      <w:pPr>
        <w:spacing w:before="240" w:after="240"/>
        <w:rPr>
          <w:lang w:val="el" w:eastAsia="el"/>
        </w:rPr>
      </w:pPr>
      <w:r>
        <w:rPr>
          <w:b/>
          <w:bCs/>
          <w:lang w:val="el" w:eastAsia="el"/>
        </w:rPr>
        <w:t>Ο Προϊστάμενος ΔΟΥ δεν έχει υποχρέωση να προσδιορίζει το φόρο για κάθε μήνα ή τρίμηνο χωριστά, αν η πράξη προσδιορισμού του φόρου που εκδόθηκε αφορά περίοδο μεγαλύτερη του μήνα ή του τριμήνου.</w:t>
      </w:r>
    </w:p>
    <w:p>
      <w:pPr>
        <w:spacing w:before="240" w:after="240"/>
        <w:rPr>
          <w:lang w:val="el" w:eastAsia="el"/>
        </w:rPr>
      </w:pPr>
      <w:r>
        <w:rPr>
          <w:b/>
          <w:bCs/>
          <w:lang w:val="el" w:eastAsia="el"/>
        </w:rPr>
        <w:t>Αν από τον έλεγχο προέκυψε διαφορά φόρου που δεν υπερβαίνει τα 3 ευρώ, εκδίδεται πράξη με την οποία περαιώνεται η υπόθεση ως ειλικρινής.</w:t>
      </w:r>
      <w:r>
        <w:rPr>
          <w:rStyle w:val="Hyperlink"/>
          <w:b/>
          <w:bCs/>
          <w:color w:val="000000"/>
          <w:sz w:val="20"/>
          <w:szCs w:val="20"/>
          <w:u w:val="none" w:color="0000EE"/>
          <w:vertAlign w:val="superscript"/>
          <w:lang w:val="el" w:eastAsia="el"/>
        </w:rPr>
        <w:footnoteReference w:id="665"/>
      </w:r>
    </w:p>
    <w:p>
      <w:pPr>
        <w:pStyle w:val="MainText"/>
        <w:spacing w:before="120" w:after="0"/>
        <w:rPr>
          <w:lang w:val="el" w:eastAsia="el"/>
        </w:rPr>
      </w:pPr>
      <w:r>
        <w:rPr>
          <w:b/>
          <w:bCs/>
          <w:lang w:val="el" w:eastAsia="el"/>
        </w:rPr>
        <w:t>2.</w:t>
      </w:r>
      <w:r>
        <w:rPr>
          <w:b/>
          <w:bCs/>
          <w:lang w:val="el" w:eastAsia="el"/>
        </w:rPr>
        <w:t xml:space="preserve"> α) Αν ο προσδιορισμός του φόρου με μία πράξη είναι δυσχερής, εκδίδεται μερική πράξη στην οποία περιλαμβάνεται η φορολογητέα ύλη για την οποία ο Προϊστάμενος ΔΟΥ διαθέτει τα απαιτούμενα στοιχεία. Στην πράξη αυτή διατυπώνεται ρητή επιφύλαξη για την έκδοση συμπληρωματικής πράξης.</w:t>
      </w:r>
    </w:p>
    <w:p>
      <w:pPr>
        <w:pStyle w:val="StructureList1"/>
        <w:spacing w:before="120" w:after="0"/>
        <w:rPr>
          <w:lang w:val="el" w:eastAsia="el"/>
        </w:rPr>
      </w:pPr>
      <w:r>
        <w:rPr>
          <w:b/>
          <w:bCs/>
          <w:lang w:val="el" w:eastAsia="el"/>
        </w:rPr>
        <w:t>β)</w:t>
      </w:r>
      <w:r>
        <w:rPr>
          <w:b/>
          <w:bCs/>
          <w:lang w:val="en" w:eastAsia="en"/>
        </w:rPr>
        <w:tab/>
      </w:r>
      <w:r>
        <w:rPr>
          <w:b/>
          <w:bCs/>
          <w:lang w:val="el" w:eastAsia="el"/>
        </w:rPr>
        <w:t>Μερική πράξη είναι και η πράξη που εκδίδεται επί ειδικής δήλωσης για τη μεταβίβαση ακινήτων κατά τα οριζόμενα στην παράγραφο 2 του άρθρου 48. Η έκδοση της πράξης αυτής δεν αποκλείει την έκδοση συμπληρωματικής πράξης επί της ειδικής δήλωσης όταν συντρέχουν οι προϋποθέσεις της υποπερίπτωσης iv της περίπτωσης γ` της παραγράφου 4 του άρθρου 36.</w:t>
      </w:r>
      <w:r>
        <w:rPr>
          <w:rStyle w:val="Hyperlink"/>
          <w:b/>
          <w:bCs/>
          <w:color w:val="000000"/>
          <w:sz w:val="20"/>
          <w:szCs w:val="20"/>
          <w:u w:val="none" w:color="0000EE"/>
          <w:vertAlign w:val="superscript"/>
          <w:lang w:val="el" w:eastAsia="el"/>
        </w:rPr>
        <w:footnoteReference w:id="666"/>
      </w:r>
    </w:p>
    <w:p>
      <w:pPr>
        <w:pStyle w:val="MainText"/>
        <w:spacing w:before="120" w:after="0"/>
        <w:rPr>
          <w:lang w:val="el" w:eastAsia="el"/>
        </w:rPr>
      </w:pPr>
      <w:r>
        <w:rPr>
          <w:b/>
          <w:bCs/>
          <w:lang w:val="el" w:eastAsia="el"/>
        </w:rPr>
        <w:t>3.</w:t>
      </w:r>
      <w:r>
        <w:rPr>
          <w:b/>
          <w:bCs/>
          <w:lang w:val="el" w:eastAsia="el"/>
        </w:rPr>
        <w:t xml:space="preserve"> Πράξη προσδιορισμού του φόρου, και αν ακόμη έγινε οριστική, δεν αποκλείει την έκδοση και κοινοποίηση συμπληρωματικής πράξης, αν από συμπληρωματικά στοιχεία που περιήλθαν με οποιονδήποτε τρόπο σε γνώση του Προϊσταμένου ΔΟΥ, μετά την έκδοση της πράξης, εξακριβώνεται ότι ο φόρος που προκύπτει είναι μεγαλύτερος απ΄ αυτόν που προσδιορίζεται με την αρχική πράξη ή αν η δήλωση ή τα έντυπα ή οι καταστάσεις που τη συνοδεύουν αποδεικνύονται ανακριβή. Τα ανωτέρω ισχύουν και όταν συντρέχουν οι προϋποθέσεις της περίπτωσης γ` της παραγράφου 2 του άρθρου 68 του Κώδικα Φορολογίας Εισοδήματος.</w:t>
      </w:r>
      <w:r>
        <w:rPr>
          <w:rStyle w:val="Hyperlink"/>
          <w:b/>
          <w:bCs/>
          <w:color w:val="000000"/>
          <w:sz w:val="20"/>
          <w:szCs w:val="20"/>
          <w:u w:val="none" w:color="0000EE"/>
          <w:vertAlign w:val="superscript"/>
          <w:lang w:val="el" w:eastAsia="el"/>
        </w:rPr>
        <w:footnoteReference w:id="667"/>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668"/>
      </w:r>
    </w:p>
    <w:p>
      <w:pPr>
        <w:pStyle w:val="MainText"/>
        <w:spacing w:before="120" w:after="0"/>
        <w:rPr>
          <w:lang w:val="el" w:eastAsia="el"/>
        </w:rPr>
      </w:pPr>
      <w:r>
        <w:rPr>
          <w:b/>
          <w:bCs/>
          <w:lang w:val="el" w:eastAsia="el"/>
        </w:rPr>
        <w:t>4α.</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669"/>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670"/>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 Τα ανωτέρω ισχύουν ανεξάρτητα εάν ο φορολογικός έλεγχος έχει πραγματοποιηθεί με τις διατάξεις του άρθρου 48 ή του άρθρου 48Α.</w:t>
      </w:r>
      <w:r>
        <w:rPr>
          <w:rStyle w:val="Hyperlink"/>
          <w:b/>
          <w:bCs/>
          <w:color w:val="000000"/>
          <w:sz w:val="20"/>
          <w:szCs w:val="20"/>
          <w:u w:val="none" w:color="0000EE"/>
          <w:vertAlign w:val="superscript"/>
          <w:lang w:val="el" w:eastAsia="el"/>
        </w:rPr>
        <w:footnoteReference w:id="671"/>
      </w:r>
    </w:p>
    <w:p>
      <w:pPr>
        <w:pStyle w:val="MainText"/>
        <w:spacing w:before="120" w:after="0"/>
        <w:rPr>
          <w:lang w:val="el" w:eastAsia="el"/>
        </w:rPr>
      </w:pPr>
      <w:r>
        <w:rPr>
          <w:b/>
          <w:bCs/>
          <w:lang w:val="el" w:eastAsia="el"/>
        </w:rPr>
        <w:t>5.</w:t>
      </w:r>
      <w:r>
        <w:rPr>
          <w:b/>
          <w:bCs/>
          <w:lang w:val="el" w:eastAsia="el"/>
        </w:rPr>
        <w:t xml:space="preserve"> Με αποφάσεις του Υπ. Οικονομικών ορίζονται ο τύπος και το περιεχόμενο των πράξεων προσδιορισμού του φόρου, καθώς και ο τρόπος της τήρησης του βιβλίου καταχώρισης των πράξεων αυτών.</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Προσωρινή 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προκύπτει ότι παρέλειψε να δηλώσει ή δήλωσε ανακριβώς τη φορολογητέα αξία που προκύπτει απ΄ αυτά ή υπολόγισε εσφαλμένα τα ποσοστά ή τις εκπτώσεις, ο Προϊστάμενος ΔΟΥ μπορεί να εκδώσει προσωρινή πράξη προσδιορισμού του φόρου για μία ή περισσότερες φορολογικές περιόδους ή και για ολόκληρη διαχειριστική περίοδο.</w:t>
      </w:r>
      <w:r>
        <w:rPr>
          <w:rStyle w:val="Hyperlink"/>
          <w:b/>
          <w:bCs/>
          <w:color w:val="000000"/>
          <w:sz w:val="20"/>
          <w:szCs w:val="20"/>
          <w:u w:val="none" w:color="0000EE"/>
          <w:vertAlign w:val="superscript"/>
          <w:lang w:val="el" w:eastAsia="el"/>
        </w:rPr>
        <w:footnoteReference w:id="672"/>
      </w:r>
    </w:p>
    <w:p>
      <w:pPr>
        <w:pStyle w:val="MainText"/>
        <w:spacing w:before="120" w:after="0"/>
        <w:rPr>
          <w:lang w:val="el" w:eastAsia="el"/>
        </w:rPr>
      </w:pPr>
      <w:r>
        <w:rPr>
          <w:b/>
          <w:bCs/>
          <w:lang w:val="el" w:eastAsia="el"/>
        </w:rPr>
        <w:t>2.</w:t>
      </w:r>
      <w:r>
        <w:rPr>
          <w:b/>
          <w:bCs/>
          <w:lang w:val="el" w:eastAsia="el"/>
        </w:rPr>
        <w:t xml:space="preserve"> Εφόσον διαπιστώνεται η μη υποβολή από τον υπόχρεο του φόρου, περιοδικής δήλωσης για κάποια φορολογική περίοδο, ο προϊστάμενος της ελεγκτικής υπηρεσίας μπορεί, χωρίς άλλη ελεγκτική ενέργεια, να εκδώσει προσωρινή πράξη προσδιορισμού του φόρου, με την οποία προβαίνει στον προσδιορισμό της φορολογητέας αξίας, των ποσοστών και των εκπτώσεων του φόρου με βάση τα στοιχεία των περιοδικών δηλώσεων στις οποίες έχει προβεί ο υπόχρεος κατά τις τρεις προηγούμενες φορολογικές περιόδους. Στην περίπτωση αυτή, ως φορολογητέα αξία ανά συντελεστή φόρου λαμβάνονται οι αντίστοιχοι μέσοι όροι που προκύπτουν από τις παραπάνω δηλώσεις. Για επιχειρήσεις που λειτουργούν εποχιακά ο προσδιορισμός της φορολογητέας αξίας, των ποσοστών και των εκπτώσεων του φόρου γίνεται με βάση τα στοιχεία της αντίστοιχης περιόδου του προηγούμενου έτους, προσαυξημένα κατά δεκαπέντε τοις εκατό (15%).</w:t>
      </w:r>
      <w:r>
        <w:rPr>
          <w:rStyle w:val="Hyperlink"/>
          <w:b/>
          <w:bCs/>
          <w:color w:val="000000"/>
          <w:sz w:val="20"/>
          <w:szCs w:val="20"/>
          <w:u w:val="none" w:color="0000EE"/>
          <w:vertAlign w:val="superscript"/>
          <w:lang w:val="el" w:eastAsia="el"/>
        </w:rPr>
        <w:footnoteReference w:id="673"/>
      </w:r>
    </w:p>
    <w:p>
      <w:pPr>
        <w:pStyle w:val="MainText"/>
        <w:spacing w:before="120" w:after="0"/>
        <w:rPr>
          <w:lang w:val="el" w:eastAsia="el"/>
        </w:rPr>
      </w:pPr>
      <w:r>
        <w:rPr>
          <w:b/>
          <w:bCs/>
          <w:lang w:val="el" w:eastAsia="el"/>
        </w:rPr>
        <w:t>3.</w:t>
      </w:r>
      <w:r>
        <w:rPr>
          <w:b/>
          <w:bCs/>
          <w:lang w:val="el" w:eastAsia="el"/>
        </w:rPr>
        <w:t xml:space="preserve"> Η προσωρινή πράξη περιέχει τη φορολογητέα αξία που προκύπτει από τα βιβλία και στοιχεία του υπόχρεου, το φόρο που αναλογεί, τις εκπτώσεις του φόρου, καθώς και τον πρόσθετο φόρο.</w:t>
      </w:r>
    </w:p>
    <w:p>
      <w:pPr>
        <w:spacing w:before="240" w:after="240"/>
        <w:rPr>
          <w:lang w:val="el" w:eastAsia="el"/>
        </w:rPr>
      </w:pPr>
      <w:r>
        <w:rPr>
          <w:b/>
          <w:bCs/>
          <w:lang w:val="el" w:eastAsia="el"/>
        </w:rPr>
        <w:t>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674"/>
      </w:r>
    </w:p>
    <w:p>
      <w:pPr>
        <w:pStyle w:val="MainText"/>
        <w:spacing w:before="120" w:after="0"/>
        <w:rPr>
          <w:lang w:val="el" w:eastAsia="el"/>
        </w:rPr>
      </w:pPr>
      <w:r>
        <w:rPr>
          <w:b/>
          <w:bCs/>
          <w:lang w:val="el" w:eastAsia="el"/>
        </w:rPr>
        <w:t>4.</w:t>
      </w:r>
      <w:r>
        <w:rPr>
          <w:b/>
          <w:bCs/>
          <w:lang w:val="el" w:eastAsia="el"/>
        </w:rPr>
        <w:t xml:space="preserve"> Κατά της προσωρινής πράξης επιτρέπεται η άσκηση προσφυγής, η οποία δεν αναστέλλει τη βεβαίωση και είσπραξη του φόρου. 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675"/>
      </w:r>
    </w:p>
    <w:p>
      <w:pPr>
        <w:pStyle w:val="MainText"/>
        <w:spacing w:before="120" w:after="0"/>
        <w:rPr>
          <w:lang w:val="el" w:eastAsia="el"/>
        </w:rPr>
      </w:pPr>
      <w:r>
        <w:rPr>
          <w:b/>
          <w:bCs/>
          <w:lang w:val="el" w:eastAsia="el"/>
        </w:rPr>
        <w:t>5.</w:t>
      </w:r>
      <w:r>
        <w:rPr>
          <w:b/>
          <w:bCs/>
          <w:lang w:val="el" w:eastAsia="el"/>
        </w:rPr>
        <w:t xml:space="preserve"> Από το φόρο που βεβαιώνεται οριστικά αφαιρείται ο φόρος της προσωρινής πράξης.</w:t>
      </w:r>
      <w:r>
        <w:rPr>
          <w:rStyle w:val="Hyperlink"/>
          <w:b/>
          <w:bCs/>
          <w:color w:val="000000"/>
          <w:sz w:val="20"/>
          <w:szCs w:val="20"/>
          <w:u w:val="none" w:color="0000EE"/>
          <w:vertAlign w:val="superscript"/>
          <w:lang w:val="el" w:eastAsia="el"/>
        </w:rPr>
        <w:footnoteReference w:id="676"/>
      </w:r>
    </w:p>
    <w:p>
      <w:pPr>
        <w:pStyle w:val="MainText"/>
        <w:spacing w:before="120" w:after="0"/>
        <w:rPr>
          <w:lang w:val="el" w:eastAsia="el"/>
        </w:rPr>
      </w:pPr>
      <w:r>
        <w:rPr>
          <w:b/>
          <w:bCs/>
          <w:lang w:val="el" w:eastAsia="el"/>
        </w:rPr>
        <w:t>6.</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677"/>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678"/>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r>
        <w:rPr>
          <w:rStyle w:val="Hyperlink"/>
          <w:b/>
          <w:bCs/>
          <w:color w:val="000000"/>
          <w:sz w:val="20"/>
          <w:szCs w:val="20"/>
          <w:u w:val="none" w:color="0000EE"/>
          <w:vertAlign w:val="superscript"/>
          <w:lang w:val="el" w:eastAsia="el"/>
        </w:rPr>
        <w:footnoteReference w:id="679"/>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Κοινοποίηση των πράξεων</w:t>
      </w:r>
    </w:p>
    <w:p>
      <w:pPr>
        <w:spacing w:before="240" w:after="240"/>
        <w:rPr>
          <w:lang w:val="el" w:eastAsia="el"/>
        </w:rPr>
      </w:pPr>
      <w:r>
        <w:rPr>
          <w:b/>
          <w:bCs/>
          <w:lang w:val="el" w:eastAsia="el"/>
        </w:rPr>
        <w:t>Οι πράξεις τις οποίες προβλέπουν οι διατάξεις των άρθρων 49 και 50 κοινοποιούνται στον υπόχρεο μαζί με τη σχετική έκθεση ελέγχου, κατά τις διατάξεις του Κώδικα Διοικητικής Δικονομίας. Αν η υπόθεση περαιωθεί ως ειλικρινής, τούτο γνωστοποιείται στον υπόχρεο με απλή ταχυδρομική επιστολή.</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Διοικητική επίλυση της διαφοράς</w:t>
      </w:r>
    </w:p>
    <w:p>
      <w:pPr>
        <w:pStyle w:val="MainText"/>
        <w:spacing w:before="120" w:after="0"/>
        <w:rPr>
          <w:lang w:val="el" w:eastAsia="el"/>
        </w:rPr>
      </w:pPr>
      <w:r>
        <w:rPr>
          <w:b/>
          <w:bCs/>
          <w:lang w:val="el" w:eastAsia="el"/>
        </w:rPr>
        <w:t>1.</w:t>
      </w:r>
      <w:r>
        <w:rPr>
          <w:b/>
          <w:bCs/>
          <w:lang w:val="el" w:eastAsia="el"/>
        </w:rPr>
        <w:t xml:space="preserve"> Ο υπόχρεος, σε βάρος του οποίου εκδόθηκε η πράξη που προβλέπουν οι διατάξεις των άρθρων 49 και 50 μπορεί, αν αμφισβητεί την ορθότητά της, να προτείνει στον αρμόδιο Προϊστάμενο ΔΟΥ τη διοικητική επίλυση της διαφοράς. </w:t>
      </w:r>
    </w:p>
    <w:p>
      <w:pPr>
        <w:pStyle w:val="MainText"/>
        <w:spacing w:before="120" w:after="0"/>
        <w:rPr>
          <w:lang w:val="el" w:eastAsia="el"/>
        </w:rPr>
      </w:pPr>
      <w:r>
        <w:rPr>
          <w:b/>
          <w:bCs/>
          <w:lang w:val="el" w:eastAsia="el"/>
        </w:rPr>
        <w:t>2.</w:t>
      </w:r>
      <w:r>
        <w:rPr>
          <w:b/>
          <w:bCs/>
          <w:lang w:val="el" w:eastAsia="el"/>
        </w:rPr>
        <w:t xml:space="preserve"> Η πρόταση υποβάλλεται με το δικόγραφο της προσφυγής ή με ιδιαίτερη αίτηση που κατατίθεται μέσα στη νόμιμη προθεσμία για την άσκηση της προσφυγής. Αυτός που υποβάλλει την αίτηση για τη διοικητική επίλυση της διαφοράς προσκομίζει τα αποδεικτικά στοιχεία για την υποστήριξη της αίτησής του και αναπτύσσει σ΄ αυτήν τους ισχυρισμούς του. </w:t>
      </w:r>
    </w:p>
    <w:p>
      <w:pPr>
        <w:spacing w:before="240" w:after="240"/>
        <w:rPr>
          <w:lang w:val="el" w:eastAsia="el"/>
        </w:rPr>
      </w:pPr>
      <w:r>
        <w:rPr>
          <w:b/>
          <w:bCs/>
          <w:lang w:val="el" w:eastAsia="el"/>
        </w:rPr>
        <w:t>Αν υποβληθεί αίτημα για διοικητική επίλυση της διαφοράς με ιδιαίτερη αίτηση, η προθεσμία για την άσκηση της προσφυγής αναστέλλεται με την υποβολή της αίτησης, μη υπολογιζόμενης της ημέρας υποβολής αυτής και συνεχίζεται από την επόμενη εργάσιμη για τις δημόσιες υπηρεσίες ημέρα, της ημέρας υπογραφής της πράξης ματαίωσης ή μερικής επίλυσης της διαφοράς.</w:t>
      </w:r>
      <w:r>
        <w:rPr>
          <w:rStyle w:val="Hyperlink"/>
          <w:b/>
          <w:bCs/>
          <w:color w:val="000000"/>
          <w:sz w:val="20"/>
          <w:szCs w:val="20"/>
          <w:u w:val="none" w:color="0000EE"/>
          <w:vertAlign w:val="superscript"/>
          <w:lang w:val="el" w:eastAsia="el"/>
        </w:rPr>
        <w:footnoteReference w:id="680"/>
      </w:r>
    </w:p>
    <w:p>
      <w:pPr>
        <w:pStyle w:val="MainText"/>
        <w:spacing w:before="120" w:after="0"/>
        <w:rPr>
          <w:lang w:val="el" w:eastAsia="el"/>
        </w:rPr>
      </w:pPr>
      <w:r>
        <w:rPr>
          <w:b/>
          <w:bCs/>
          <w:lang w:val="el" w:eastAsia="el"/>
        </w:rPr>
        <w:t>3.</w:t>
      </w:r>
      <w:r>
        <w:rPr>
          <w:b/>
          <w:bCs/>
          <w:lang w:val="el" w:eastAsia="el"/>
        </w:rPr>
        <w:t xml:space="preserve"> Ο Προϊστάμενος ΔΟΥ, αφού λάβει υπόψη του και εκτιμήσει όλα τα στοιχεία του φακέλου που προσκομίζονται από τον υπόχρεο και όσα αναπτύσσονται από αυτόν προφορικά ή γραπτά, καθώς και κάθε άλλο σχετικό με την υπόθεση στοιχείο, μπορεί, αν κρίνει το αίτημα βάσιμο εν όλω ή εν μέρει, να αποδεχθεί την ακύρωση της πράξης, την τροποποίηση της ή τη διαγραφή μερικών στοιχείων προσδιορισμού του φόρου, καθώς και τον περιορισμό του φόρου αυτού. </w:t>
      </w:r>
    </w:p>
    <w:p>
      <w:pPr>
        <w:pStyle w:val="MainText"/>
        <w:spacing w:before="120" w:after="0"/>
        <w:rPr>
          <w:lang w:val="el" w:eastAsia="el"/>
        </w:rPr>
      </w:pPr>
      <w:r>
        <w:rPr>
          <w:b/>
          <w:bCs/>
          <w:lang w:val="el" w:eastAsia="el"/>
        </w:rPr>
        <w:t>4.</w:t>
      </w:r>
      <w:r>
        <w:rPr>
          <w:b/>
          <w:bCs/>
          <w:lang w:val="el" w:eastAsia="el"/>
        </w:rPr>
        <w:t xml:space="preserve"> Αν συμπέσουν οι απόψεις του Προϊσταμένου της Δ.Ο.Υ. και του υπόχρεου, συντάσσεται και υπογράφεται και από τους δύο πρακτικό διοικητικής επίλυσης της διαφοράς.</w:t>
      </w:r>
    </w:p>
    <w:p>
      <w:pPr>
        <w:spacing w:before="240" w:after="240"/>
        <w:rPr>
          <w:lang w:val="el" w:eastAsia="el"/>
        </w:rPr>
      </w:pPr>
      <w:r>
        <w:rPr>
          <w:b/>
          <w:bCs/>
          <w:lang w:val="el" w:eastAsia="el"/>
        </w:rPr>
        <w:t>Με το πρακτικό αυτό, που επέχει θέση αμετάκλητης δικαστικής απόφασης, η διαφορά επιλύεται κατά το μέρος που επήλθε συμφωνία.</w:t>
      </w:r>
    </w:p>
    <w:p>
      <w:pPr>
        <w:spacing w:before="240" w:after="240"/>
        <w:rPr>
          <w:lang w:val="el" w:eastAsia="el"/>
        </w:rPr>
      </w:pPr>
      <w:r>
        <w:rPr>
          <w:b/>
          <w:bCs/>
          <w:lang w:val="el" w:eastAsia="el"/>
        </w:rPr>
        <w:t>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MainText"/>
        <w:spacing w:before="120" w:after="0"/>
        <w:rPr>
          <w:lang w:val="el" w:eastAsia="el"/>
        </w:rPr>
      </w:pPr>
      <w:r>
        <w:rPr>
          <w:b/>
          <w:bCs/>
          <w:lang w:val="el" w:eastAsia="el"/>
        </w:rPr>
        <w:t>5.</w:t>
      </w:r>
      <w:r>
        <w:rPr>
          <w:b/>
          <w:bCs/>
          <w:lang w:val="el" w:eastAsia="el"/>
        </w:rPr>
        <w:t xml:space="preserve"> Η προηγούμενη παράγραφος εφαρμόζεται και στην περίπτωση κατάργησης της δίκης, κατά τις διατάξεις του Ν.Δ. 4600/1966 (ΦΕΚ 242 Α΄). </w:t>
      </w:r>
    </w:p>
    <w:p>
      <w:pPr>
        <w:pStyle w:val="MainText"/>
        <w:spacing w:before="120" w:after="0"/>
        <w:rPr>
          <w:lang w:val="el" w:eastAsia="el"/>
        </w:rPr>
      </w:pPr>
      <w:r>
        <w:rPr>
          <w:b/>
          <w:bCs/>
          <w:lang w:val="el" w:eastAsia="el"/>
        </w:rPr>
        <w:t>6.</w:t>
      </w:r>
      <w:r>
        <w:rPr>
          <w:b/>
          <w:bCs/>
          <w:lang w:val="el" w:eastAsia="el"/>
        </w:rPr>
        <w:t xml:space="preserve"> Η διοικητική επίλυση της διαφοράς μπορεί να γίνει από ειδικό πληρεξούσιο, αν αυτός καταθέσει στον Προϊστάμενο της ΔΟΥ έγγραφο πληρεξουσιότητας, δημόσιο ή ιδιωτικό, εφόσον στο ιδιωτικό αυτό έγγραφο βεβαιώνεται το γνήσιο της υπογραφής του εντολέα από δημόσια, δημοτική ή κοινοτική αρχή ή από συμβολαιογράφο. </w:t>
      </w:r>
    </w:p>
    <w:p>
      <w:pPr>
        <w:pStyle w:val="MainText"/>
        <w:spacing w:before="120" w:after="0"/>
        <w:rPr>
          <w:lang w:val="el" w:eastAsia="el"/>
        </w:rPr>
      </w:pPr>
      <w:r>
        <w:rPr>
          <w:b/>
          <w:bCs/>
          <w:lang w:val="el" w:eastAsia="el"/>
        </w:rPr>
        <w:t>7.</w:t>
      </w:r>
      <w:r>
        <w:rPr>
          <w:b/>
          <w:bCs/>
          <w:lang w:val="el" w:eastAsia="el"/>
        </w:rPr>
        <w:t xml:space="preserve"> Με αποφάσεις του Υπ. Οικονομικών ορίζεται ο τύπος και το περιεχόμενο του πρακτικού διοικητικής επίλυσης της διαφοράς. </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Βεβαίωση του φόρου</w:t>
      </w:r>
    </w:p>
    <w:p>
      <w:pPr>
        <w:pStyle w:val="MainText"/>
        <w:spacing w:before="120" w:after="0"/>
        <w:rPr>
          <w:lang w:val="el" w:eastAsia="el"/>
        </w:rPr>
      </w:pPr>
      <w:r>
        <w:rPr>
          <w:b/>
          <w:bCs/>
          <w:lang w:val="el" w:eastAsia="el"/>
        </w:rPr>
        <w:t>1.</w:t>
      </w:r>
      <w:r>
        <w:rPr>
          <w:b/>
          <w:bCs/>
          <w:lang w:val="el" w:eastAsia="el"/>
        </w:rPr>
        <w:t xml:space="preserve"> Ο προϊστάμενος της αρμόδιας Δ.Ο.Υ. βεβαιώνει στο όνομα του υπόχρεου που προβλέπουν οι διατάξεις της παραγράφου 1 του άρθρου 35 τον κύριο και πρόσθετο φόρο που προκύπτει:</w:t>
      </w:r>
      <w:r>
        <w:rPr>
          <w:rStyle w:val="Hyperlink"/>
          <w:b/>
          <w:bCs/>
          <w:color w:val="000000"/>
          <w:sz w:val="20"/>
          <w:szCs w:val="20"/>
          <w:u w:val="none" w:color="0000EE"/>
          <w:vertAlign w:val="superscript"/>
          <w:lang w:val="el" w:eastAsia="el"/>
        </w:rPr>
        <w:footnoteReference w:id="681"/>
      </w:r>
    </w:p>
    <w:p>
      <w:pPr>
        <w:pStyle w:val="StructureList1"/>
        <w:spacing w:before="120" w:after="0"/>
        <w:rPr>
          <w:lang w:val="el" w:eastAsia="el"/>
        </w:rPr>
      </w:pPr>
      <w:r>
        <w:rPr>
          <w:b/>
          <w:bCs/>
          <w:lang w:val="el" w:eastAsia="el"/>
        </w:rPr>
        <w:t>α)</w:t>
      </w:r>
      <w:r>
        <w:rPr>
          <w:b/>
          <w:bCs/>
          <w:lang w:val="en" w:eastAsia="en"/>
        </w:rPr>
        <w:tab/>
      </w:r>
      <w:r>
        <w:rPr>
          <w:b/>
          <w:bCs/>
          <w:lang w:val="el" w:eastAsia="el"/>
        </w:rPr>
        <w:t>Βάσει των δηλώσεων που υποβάλλονται.</w:t>
      </w:r>
      <w:r>
        <w:rPr>
          <w:rStyle w:val="Hyperlink"/>
          <w:b/>
          <w:bCs/>
          <w:color w:val="000000"/>
          <w:sz w:val="20"/>
          <w:szCs w:val="20"/>
          <w:u w:val="none" w:color="0000EE"/>
          <w:vertAlign w:val="superscript"/>
          <w:lang w:val="el" w:eastAsia="el"/>
        </w:rPr>
        <w:footnoteReference w:id="682"/>
      </w:r>
    </w:p>
    <w:p>
      <w:pPr>
        <w:pStyle w:val="StructureList1"/>
        <w:spacing w:before="120" w:after="0"/>
        <w:rPr>
          <w:lang w:val="el" w:eastAsia="el"/>
        </w:rPr>
      </w:pPr>
      <w:r>
        <w:rPr>
          <w:b/>
          <w:bCs/>
          <w:lang w:val="el" w:eastAsia="el"/>
        </w:rPr>
        <w:t>β)</w:t>
      </w:r>
      <w:r>
        <w:rPr>
          <w:b/>
          <w:bCs/>
          <w:lang w:val="en" w:eastAsia="en"/>
        </w:rPr>
        <w:tab/>
      </w:r>
      <w:r>
        <w:rPr>
          <w:b/>
          <w:bCs/>
          <w:lang w:val="el" w:eastAsia="el"/>
        </w:rPr>
        <w:t>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r>
        <w:rPr>
          <w:rStyle w:val="Hyperlink"/>
          <w:b/>
          <w:bCs/>
          <w:color w:val="000000"/>
          <w:sz w:val="20"/>
          <w:szCs w:val="20"/>
          <w:u w:val="none" w:color="0000EE"/>
          <w:vertAlign w:val="superscript"/>
          <w:lang w:val="el" w:eastAsia="el"/>
        </w:rPr>
        <w:footnoteReference w:id="683"/>
      </w:r>
    </w:p>
    <w:p>
      <w:pPr>
        <w:pStyle w:val="StructureList1"/>
        <w:spacing w:before="120" w:after="0"/>
        <w:rPr>
          <w:lang w:val="el" w:eastAsia="el"/>
        </w:rPr>
      </w:pPr>
      <w:r>
        <w:rPr>
          <w:b/>
          <w:bCs/>
          <w:lang w:val="el" w:eastAsia="el"/>
        </w:rPr>
        <w:t>γ)</w:t>
      </w:r>
      <w:r>
        <w:rPr>
          <w:b/>
          <w:bCs/>
          <w:lang w:val="en" w:eastAsia="en"/>
        </w:rPr>
        <w:tab/>
      </w:r>
      <w:r>
        <w:rPr>
          <w:b/>
          <w:bCs/>
          <w:lang w:val="el" w:eastAsia="el"/>
        </w:rPr>
        <w:t>Βάσει οριστικών αποφάσεων διοικητικών δικαστηρίων ή πρακτικών δικαστικού συμβιβασμού. Για τη βεβαίωση του φόρου, ο προϊστάμενος Δ.Ο.Υ. συντάσσει χρηματικό κατάλογο μέσα σε προθεσμία δύο μηνών από τη λήξη του μήνα που αποκτήθηκε ο τίτλος βεβαίωσης και πάντως όχι αργότερα από τρία έτη από το τέλος του έτους κατά το οποίο αποκτήθηκε ο τίτλος βεβαίωσης. Η παράλειψη βεβαίωσης του φόρου μέσα στην προθεσμία των δύο μηνών που προβλέπεται στο προηγούμενο εδάφιο αποτελεί πειθαρχικό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684"/>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685"/>
      </w:r>
    </w:p>
    <w:p>
      <w:pPr>
        <w:pStyle w:val="MainText"/>
        <w:spacing w:before="120" w:after="0"/>
        <w:rPr>
          <w:lang w:val="el" w:eastAsia="el"/>
        </w:rPr>
      </w:pPr>
      <w:r>
        <w:rPr>
          <w:b/>
          <w:bCs/>
          <w:lang w:val="el" w:eastAsia="el"/>
        </w:rPr>
        <w:t>3.</w:t>
      </w:r>
      <w:r>
        <w:rPr>
          <w:b/>
          <w:bCs/>
          <w:lang w:val="el" w:eastAsia="el"/>
        </w:rPr>
        <w:t xml:space="preserve"> Η αναστολή που χορηγείται σύμφωνα με τις διατάξεις των άρθρων 200 έως 205 του ν.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r>
        <w:rPr>
          <w:rStyle w:val="Hyperlink"/>
          <w:b/>
          <w:bCs/>
          <w:color w:val="000000"/>
          <w:sz w:val="20"/>
          <w:szCs w:val="20"/>
          <w:u w:val="none" w:color="0000EE"/>
          <w:vertAlign w:val="superscript"/>
          <w:lang w:val="el" w:eastAsia="el"/>
        </w:rPr>
        <w:footnoteReference w:id="686"/>
      </w:r>
    </w:p>
    <w:p>
      <w:pPr>
        <w:pStyle w:val="MainText"/>
        <w:spacing w:before="120" w:after="0"/>
        <w:rPr>
          <w:lang w:val="el" w:eastAsia="el"/>
        </w:rPr>
      </w:pPr>
      <w:r>
        <w:rPr>
          <w:b/>
          <w:bCs/>
          <w:lang w:val="el" w:eastAsia="el"/>
        </w:rPr>
        <w:t>4.</w:t>
      </w:r>
      <w:r>
        <w:rPr>
          <w:b/>
          <w:bCs/>
          <w:lang w:val="el" w:eastAsia="el"/>
        </w:rPr>
        <w:t xml:space="preserve"> Φόρος που έχει ήδη βεβαιωθεί , κατά το ποσό που δεν οφείλεται με βάση οριστική απόφαση του αρμόδιου δικαστηρίου, εκπίπτεται ή επιστρέφεται, κατά περίπτωση.</w:t>
      </w:r>
      <w:r>
        <w:rPr>
          <w:rStyle w:val="Hyperlink"/>
          <w:b/>
          <w:bCs/>
          <w:color w:val="000000"/>
          <w:sz w:val="20"/>
          <w:szCs w:val="20"/>
          <w:u w:val="none" w:color="0000EE"/>
          <w:vertAlign w:val="superscript"/>
          <w:lang w:val="el" w:eastAsia="el"/>
        </w:rPr>
        <w:footnoteReference w:id="687"/>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ορίζεται ο τύπος, το περιεχόμενο και ο τρόπος σύνταξης του χρηματικού καταλόγου. Με κοινές αποφάσεις του ίδιου Υπουργού και του κατά περίπτωση αρμόδιου Υπουργού μπορεί να ορίζονται και άλλες, εκτός από τις ΔΟΥ, αρχές ή τράπεζες για την είσπραξη του φόρου.</w:t>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Χρόνος καταβολής του φόρου</w:t>
      </w:r>
      <w:r>
        <w:rPr>
          <w:rStyle w:val="Hyperlink"/>
          <w:b/>
          <w:bCs/>
          <w:color w:val="000000"/>
          <w:sz w:val="20"/>
          <w:szCs w:val="20"/>
          <w:u w:val="none" w:color="0000EE"/>
          <w:vertAlign w:val="superscript"/>
          <w:lang w:val="el" w:eastAsia="el"/>
        </w:rPr>
        <w:footnoteReference w:id="688"/>
      </w:r>
    </w:p>
    <w:p>
      <w:pPr>
        <w:spacing w:before="240" w:after="240"/>
        <w:rPr>
          <w:lang w:val="el" w:eastAsia="el"/>
        </w:rPr>
      </w:pPr>
      <w:r>
        <w:rPr>
          <w:b/>
          <w:bCs/>
          <w:lang w:val="el" w:eastAsia="el"/>
        </w:rPr>
        <w:t>Η προθεσμία καταβολής του φόρου ταυτίζεται με την ημερομηνία που η δήλωση υποβάλλεται εμπρόθεσμα, σε όλες τις λοιπές περιπτώσεις, πλην των δηλώσεων που υποβάλλουν οι υπόχρεοι για κάθε φορολογική περίοδο όπως αυτή ορίζεται στην παράγραφο 2 του άρθρου 38.</w:t>
      </w:r>
      <w:r>
        <w:rPr>
          <w:rStyle w:val="Hyperlink"/>
          <w:b/>
          <w:bCs/>
          <w:color w:val="000000"/>
          <w:sz w:val="20"/>
          <w:szCs w:val="20"/>
          <w:u w:val="none" w:color="0000EE"/>
          <w:vertAlign w:val="superscript"/>
          <w:lang w:val="el" w:eastAsia="el"/>
        </w:rPr>
        <w:footnoteReference w:id="689"/>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στις διατάξεις της παραγράφου 7 του άρθρου 36 και της περίπτωσης β της παραγράφου 4 του άρθρου 38,</w:t>
      </w:r>
    </w:p>
    <w:p>
      <w:pPr>
        <w:pStyle w:val="StructureList1"/>
        <w:spacing w:before="120" w:after="0"/>
        <w:rPr>
          <w:lang w:val="el" w:eastAsia="el"/>
        </w:rPr>
      </w:pPr>
      <w:r>
        <w:rPr>
          <w:b/>
          <w:bCs/>
          <w:lang w:val="el" w:eastAsia="el"/>
        </w:rPr>
        <w:t>β)</w:t>
      </w:r>
      <w:r>
        <w:rPr>
          <w:b/>
          <w:bCs/>
          <w:lang w:val="en" w:eastAsia="en"/>
        </w:rPr>
        <w:tab/>
      </w:r>
      <w:r>
        <w:rPr>
          <w:b/>
          <w:bCs/>
          <w:lang w:val="el" w:eastAsia="el"/>
        </w:rPr>
        <w:t>οι νόμιμοι εκπρόσωποι των νομικών προσώπων, κατά το χρόνο διάλυσης, συγχώνευσης ή μετατροπής τους, ανεξάρτητα από το χρόνο βεβαίωσης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το πρόσωπο που μεταβιβάζει, σύμφωνα με τις διατάξεις της παραγράφου 4 του άρθρου 5, για το φόρο που οφείλεται μέχρι το χρόνο της μεταβίβασης.</w:t>
      </w:r>
    </w:p>
    <w:p>
      <w:pPr>
        <w:pStyle w:val="StructureList1"/>
        <w:spacing w:before="120" w:after="0"/>
        <w:rPr>
          <w:lang w:val="el" w:eastAsia="el"/>
        </w:rPr>
      </w:pPr>
      <w:r>
        <w:rPr>
          <w:b/>
          <w:bCs/>
          <w:lang w:val="el" w:eastAsia="el"/>
        </w:rPr>
        <w:t>δ)</w:t>
      </w:r>
      <w:r>
        <w:rPr>
          <w:b/>
          <w:bCs/>
          <w:lang w:val="en" w:eastAsia="en"/>
        </w:rPr>
        <w:tab/>
      </w:r>
      <w:r>
        <w:rPr>
          <w:b/>
          <w:bCs/>
          <w:lang w:val="el" w:eastAsia="el"/>
        </w:rPr>
        <w:t>το μη υποκείμενο στο φόρο πρόσωπο, στην περίπτωση λήψης αγαθών ή υπηρεσιών, για τις οποίες υπόχρεος στο φόρο ορίζεται ο εγκαταστημένος εκτός της χώρας υποκείμενος στο φόρο ή ο φορολογικός του αντιπρόσωπος, σύμφωνα με τις διατάξεις του άρθρου 35.</w:t>
      </w:r>
      <w:r>
        <w:rPr>
          <w:rStyle w:val="Hyperlink"/>
          <w:b/>
          <w:bCs/>
          <w:color w:val="000000"/>
          <w:sz w:val="20"/>
          <w:szCs w:val="20"/>
          <w:u w:val="none" w:color="0000EE"/>
          <w:vertAlign w:val="superscript"/>
          <w:lang w:val="el" w:eastAsia="el"/>
        </w:rPr>
        <w:footnoteReference w:id="690"/>
      </w:r>
    </w:p>
    <w:p>
      <w:pPr>
        <w:spacing w:before="240" w:after="240"/>
        <w:rPr>
          <w:lang w:val="el" w:eastAsia="el"/>
        </w:rPr>
      </w:pPr>
      <w:r>
        <w:rPr>
          <w:b/>
          <w:bCs/>
          <w:lang w:val="el" w:eastAsia="el"/>
        </w:rPr>
        <w:t>Οι εγκαταστημένοι σε άλλο κράτος - μέλος υποκείμενοι στο φόρο, οι οποίοι πραγματοποιούν, κατά την έναρξη εφαρμογής του παρόντος άρθρου, φορολογητέες πράξεις στο εσωτερικό της χώρας και έχουν ήδη ορίσει φορολογικό αντιπρόσωπο, μπορούν να συνεχίσουν να πραγματοποιούν πράξεις μέσω αυτού, μέχρι 31.12.2002.</w:t>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Ακύρωση ή τροποποίηση οριστικής εγγραφής</w:t>
      </w:r>
    </w:p>
    <w:p>
      <w:pPr>
        <w:spacing w:before="240" w:after="240"/>
        <w:rPr>
          <w:lang w:val="el" w:eastAsia="el"/>
        </w:rPr>
      </w:pPr>
      <w:r>
        <w:rPr>
          <w:b/>
          <w:bCs/>
          <w:lang w:val="el" w:eastAsia="el"/>
        </w:rPr>
        <w:t>Για την ακύρωση ή την τροποποίηση οριστικής φορολογικής εγγραφής εφαρμόζονται αναλόγως οι διατάξεις του άρθρου 75 του Ν. 2238/1994 (ΦΕΚ 151 Α΄), όπως ισχύουν.</w:t>
      </w:r>
    </w:p>
    <w:p>
      <w:pPr>
        <w:pStyle w:val="MainText"/>
        <w:spacing w:before="120" w:after="0"/>
        <w:rPr>
          <w:lang w:val="el" w:eastAsia="el"/>
        </w:rPr>
      </w:pPr>
      <w:r>
        <w:rPr>
          <w:b/>
          <w:bCs/>
          <w:lang w:val="el" w:eastAsia="el"/>
        </w:rPr>
        <w:t>2.</w:t>
      </w:r>
      <w:r>
        <w:rPr>
          <w:b/>
          <w:bCs/>
          <w:lang w:val="el" w:eastAsia="el"/>
        </w:rPr>
        <w:t xml:space="preserve"> Ειδικά, πράξη προσδιορισμού του φόρου που εκδόθηκε σύμφωνα με το δεύτερο εδάφιο της παραγράφου 2 του άρθρου 48 επί ειδικής δήλωσης της περίπτωσης γ` της παραγράφου 4 του άρθρου 36 είτε κατ` αυτής ασκήθηκε προσφυγή είτε επετεύχθη διοικητική επίλυση της διαφοράς είτε περαιώθηκε ως ειλικρινής, δύναται να ακυρωθεί για έναν από τους παρακάτω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ματαίωσης συμβολαίου,</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διόρθωσης στοιχείων εκ παραδρομής δηλωθέντων λανθασμένα στην ειδική δήλωση, πλην του φόρου των εισροών, πριν την υπογραφή του συμβολαίου.</w:t>
      </w:r>
    </w:p>
    <w:p>
      <w:pPr>
        <w:spacing w:before="240" w:after="240"/>
        <w:rPr>
          <w:lang w:val="el" w:eastAsia="el"/>
        </w:rPr>
      </w:pPr>
      <w:r>
        <w:rPr>
          <w:b/>
          <w:bCs/>
          <w:lang w:val="el" w:eastAsia="el"/>
        </w:rPr>
        <w:t>Για την ακύρωση αποφασίζει ο προϊστάμενος της Δ.Ο.Υ., ύστερα από αίτηση του υποκειμένου, εφόσον προσκομίζεται το πρωτότυπο της ειδικής δήλωσης και βεβαιώνεται από τον συμβολαιογράφο επί του σώματος αυτής ότι δεν έγινε η μεταβίβαση.</w:t>
      </w:r>
      <w:r>
        <w:rPr>
          <w:rStyle w:val="Hyperlink"/>
          <w:b/>
          <w:bCs/>
          <w:color w:val="000000"/>
          <w:sz w:val="20"/>
          <w:szCs w:val="20"/>
          <w:u w:val="none" w:color="0000EE"/>
          <w:vertAlign w:val="superscript"/>
          <w:lang w:val="el" w:eastAsia="el"/>
        </w:rPr>
        <w:footnoteReference w:id="691"/>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ΠΑΡΑΓΡΑΦΗ - ΑΠΟΡΡΗΤΟ -ΛΟΙΠΕΣ ΔΙΑΔΙΚΑΣΤΙΚΕΣ ΔΙΑΤΑΞΕΙΣ </w:t>
      </w:r>
    </w:p>
    <w:p>
      <w:pPr>
        <w:pStyle w:val="Heading6"/>
        <w:spacing w:before="240" w:after="240"/>
        <w:rPr>
          <w:lang w:val="el" w:eastAsia="el"/>
        </w:rPr>
      </w:pPr>
      <w:r>
        <w:rPr>
          <w:b/>
          <w:bCs/>
          <w:lang w:val="el" w:eastAsia="el"/>
        </w:rPr>
        <w:t>Άρθρο 57</w:t>
      </w:r>
      <w:r>
        <w:rPr>
          <w:b/>
          <w:bCs/>
          <w:lang w:val="el" w:eastAsia="el"/>
        </w:rPr>
        <w:t xml:space="preserve"> </w:t>
      </w:r>
    </w:p>
    <w:p>
      <w:pPr>
        <w:pStyle w:val="Heading6"/>
        <w:spacing w:before="240" w:after="240"/>
        <w:rPr>
          <w:lang w:val="el" w:eastAsia="el"/>
        </w:rPr>
      </w:pPr>
      <w:r>
        <w:rPr>
          <w:b/>
          <w:bCs/>
          <w:lang w:val="el" w:eastAsia="el"/>
        </w:rPr>
        <w:t>Παραγραφή</w:t>
      </w:r>
      <w:r>
        <w:rPr>
          <w:rStyle w:val="Hyperlink"/>
          <w:b/>
          <w:bCs/>
          <w:color w:val="000000"/>
          <w:sz w:val="20"/>
          <w:szCs w:val="20"/>
          <w:u w:val="none" w:color="0000EE"/>
          <w:vertAlign w:val="superscript"/>
          <w:lang w:val="el" w:eastAsia="el"/>
        </w:rPr>
        <w:footnoteReference w:id="692"/>
      </w:r>
    </w:p>
    <w:p>
      <w:pPr>
        <w:pStyle w:val="MainText"/>
        <w:spacing w:before="120" w:after="0"/>
        <w:rPr>
          <w:lang w:val="el" w:eastAsia="el"/>
        </w:rPr>
      </w:pPr>
      <w:r>
        <w:rPr>
          <w:b/>
          <w:bCs/>
          <w:lang w:val="el" w:eastAsia="el"/>
        </w:rPr>
        <w:t>1.</w:t>
      </w:r>
      <w:r>
        <w:rPr>
          <w:b/>
          <w:bCs/>
          <w:lang w:val="el" w:eastAsia="el"/>
        </w:rPr>
        <w:t xml:space="preserve"> Η κοινοποίηση των πράξεων που προβλέπουν οι δια</w:t>
      </w:r>
      <w:r>
        <w:rPr>
          <w:b/>
          <w:bCs/>
          <w:lang w:val="el" w:eastAsia="el"/>
        </w:rPr>
        <w:softHyphen/>
        <w:t>τάξεις των άρθρων 49 και 50 του παρόντος δεν μπορεί να γίνει ύστερα από πάροδο πενταετίας από το τέλος του έτους μέσα στο οποίο λήγει η προθεσμία για την υ</w:t>
      </w:r>
      <w:r>
        <w:rPr>
          <w:b/>
          <w:bCs/>
          <w:lang w:val="el" w:eastAsia="el"/>
        </w:rPr>
        <w:softHyphen/>
        <w:t>ποβολή της εκκαθαριστικής δήλωσης ή της έκτακτης δήλωσης στις περιπτώσεις που δεν υπάρχει υποχρέωση για υποβολή εκκαθαριστικής ή η προθεσμία για την υπο</w:t>
      </w:r>
      <w:r>
        <w:rPr>
          <w:b/>
          <w:bCs/>
          <w:lang w:val="el" w:eastAsia="el"/>
        </w:rPr>
        <w:softHyphen/>
        <w:t>βολή αίτησης επιστροφής από τους αγρότες του ειδικού καθεστώτος του άρθρου 41. Μετά την πάροδο της πε</w:t>
      </w:r>
      <w:r>
        <w:rPr>
          <w:b/>
          <w:bCs/>
          <w:lang w:val="el" w:eastAsia="el"/>
        </w:rPr>
        <w:softHyphen/>
        <w:t>νταετίας παραγράφεται το δικαίωμα του Δημοσίου για την επιβολή του φόρου.</w:t>
      </w:r>
      <w:r>
        <w:rPr>
          <w:rStyle w:val="Hyperlink"/>
          <w:b/>
          <w:bCs/>
          <w:color w:val="000000"/>
          <w:sz w:val="20"/>
          <w:szCs w:val="20"/>
          <w:u w:val="none" w:color="0000EE"/>
          <w:vertAlign w:val="superscript"/>
          <w:lang w:val="el" w:eastAsia="el"/>
        </w:rPr>
        <w:footnoteReference w:id="693"/>
      </w:r>
    </w:p>
    <w:p>
      <w:pPr>
        <w:pStyle w:val="MainText"/>
        <w:spacing w:before="120" w:after="0"/>
        <w:rPr>
          <w:lang w:val="el" w:eastAsia="el"/>
        </w:rPr>
      </w:pPr>
      <w:r>
        <w:rPr>
          <w:b/>
          <w:bCs/>
          <w:lang w:val="el" w:eastAsia="el"/>
        </w:rPr>
        <w:t>2.</w:t>
      </w:r>
      <w:r>
        <w:rPr>
          <w:b/>
          <w:bCs/>
          <w:lang w:val="el" w:eastAsia="el"/>
        </w:rPr>
        <w:t xml:space="preserve"> Κατ' εξαίρεση από τις διατάξεις της προηγούμενης παραγράφου μπορεί να κοινοποιηθεί πράξη και μετά την πάροδο πενταετίας, όχι όμως και μετά την πάροδο δεκα</w:t>
      </w:r>
      <w:r>
        <w:rPr>
          <w:b/>
          <w:bCs/>
          <w:lang w:val="el" w:eastAsia="el"/>
        </w:rPr>
        <w:softHyphen/>
        <w:t>ετίας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υποβλήθηκε εκκαθαριστική δήλωση ή έκτακτη στις περιπτώσεις που δεν υπάρχει υποχρέωση για υπο</w:t>
      </w:r>
      <w:r>
        <w:rPr>
          <w:b/>
          <w:bCs/>
          <w:lang w:val="el" w:eastAsia="el"/>
        </w:rPr>
        <w:softHyphen/>
        <w:t>βολή εκκαθαριστικής,</w:t>
      </w:r>
    </w:p>
    <w:p>
      <w:pPr>
        <w:pStyle w:val="StructureList1"/>
        <w:spacing w:before="120" w:after="0"/>
        <w:rPr>
          <w:lang w:val="el" w:eastAsia="el"/>
        </w:rPr>
      </w:pPr>
      <w:r>
        <w:rPr>
          <w:b/>
          <w:bCs/>
          <w:lang w:val="el" w:eastAsia="el"/>
        </w:rPr>
        <w:t>β)</w:t>
      </w:r>
      <w:r>
        <w:rPr>
          <w:b/>
          <w:bCs/>
          <w:lang w:val="en" w:eastAsia="en"/>
        </w:rPr>
        <w:tab/>
      </w:r>
      <w:r>
        <w:rPr>
          <w:b/>
          <w:bCs/>
          <w:lang w:val="el" w:eastAsia="el"/>
        </w:rPr>
        <w:t>η μη άσκηση του δικαιώματος του Δημοσίου για την επιβολή του φόρου, εν όλω ή εν μέρει, οφείλεται σε πράξη ή παράλειψη από πρόθεση του υπόχρεου στο φό</w:t>
      </w:r>
      <w:r>
        <w:rPr>
          <w:b/>
          <w:bCs/>
          <w:lang w:val="el" w:eastAsia="el"/>
        </w:rPr>
        <w:softHyphen/>
        <w:t>ρο με σύμπραξη του αρμόδιου φορολογικού οργάνου,</w:t>
      </w:r>
    </w:p>
    <w:p>
      <w:pPr>
        <w:pStyle w:val="StructureList1"/>
        <w:spacing w:before="120" w:after="0"/>
        <w:rPr>
          <w:lang w:val="el" w:eastAsia="el"/>
        </w:rPr>
      </w:pPr>
      <w:r>
        <w:rPr>
          <w:b/>
          <w:bCs/>
          <w:lang w:val="el" w:eastAsia="el"/>
        </w:rPr>
        <w:t>γ)</w:t>
      </w:r>
      <w:r>
        <w:rPr>
          <w:b/>
          <w:bCs/>
          <w:lang w:val="en" w:eastAsia="en"/>
        </w:rPr>
        <w:tab/>
      </w:r>
      <w:r>
        <w:rPr>
          <w:b/>
          <w:bCs/>
          <w:lang w:val="el" w:eastAsia="el"/>
        </w:rPr>
        <w:t>αφορά συμπληρωματική πράξη που προβλέπει η διάταξη της παραγράφου 3 του άρθρου 49.</w:t>
      </w:r>
      <w:r>
        <w:rPr>
          <w:rStyle w:val="Hyperlink"/>
          <w:b/>
          <w:bCs/>
          <w:color w:val="000000"/>
          <w:sz w:val="20"/>
          <w:szCs w:val="20"/>
          <w:u w:val="none" w:color="0000EE"/>
          <w:vertAlign w:val="superscript"/>
          <w:lang w:val="el" w:eastAsia="el"/>
        </w:rPr>
        <w:footnoteReference w:id="694"/>
      </w:r>
    </w:p>
    <w:p>
      <w:pPr>
        <w:pStyle w:val="MainText"/>
        <w:spacing w:before="120" w:after="0"/>
        <w:rPr>
          <w:lang w:val="el" w:eastAsia="el"/>
        </w:rPr>
      </w:pPr>
      <w:r>
        <w:rPr>
          <w:b/>
          <w:bCs/>
          <w:lang w:val="el" w:eastAsia="el"/>
        </w:rPr>
        <w:t>3.</w:t>
      </w:r>
      <w:r>
        <w:rPr>
          <w:b/>
          <w:bCs/>
          <w:lang w:val="el" w:eastAsia="el"/>
        </w:rPr>
        <w:t xml:space="preserve"> Σε περίπτωση υποβολής εκπροθέσμως της εκκαθα</w:t>
      </w:r>
      <w:r>
        <w:rPr>
          <w:b/>
          <w:bCs/>
          <w:lang w:val="el" w:eastAsia="el"/>
        </w:rPr>
        <w:softHyphen/>
        <w:t>ριστικής δήλωσης ή της κατά τα παραπάνω έκτακτης δή</w:t>
      </w:r>
      <w:r>
        <w:rPr>
          <w:b/>
          <w:bCs/>
          <w:lang w:val="el" w:eastAsia="el"/>
        </w:rPr>
        <w:softHyphen/>
        <w:t>λωσης, το δικαίωμα του Δημοσίου για την κοινοποίηση των πράξεων των άρθρων 49 και 50 παρατείνεται ή ανα</w:t>
      </w:r>
      <w:r>
        <w:rPr>
          <w:b/>
          <w:bCs/>
          <w:lang w:val="el" w:eastAsia="el"/>
        </w:rPr>
        <w:softHyphen/>
        <w:t>βιώνει αναλόγως, ώστε ο υπολειπόμενος χρόνος για την παραγραφή του δικαιώματος του Δημοσίου προς επιβο</w:t>
      </w:r>
      <w:r>
        <w:rPr>
          <w:b/>
          <w:bCs/>
          <w:lang w:val="el" w:eastAsia="el"/>
        </w:rPr>
        <w:softHyphen/>
        <w:t>λή φόρου να μην είναι μικρότερος των τριών (3) ετών α</w:t>
      </w:r>
      <w:r>
        <w:rPr>
          <w:b/>
          <w:bCs/>
          <w:lang w:val="el" w:eastAsia="el"/>
        </w:rPr>
        <w:softHyphen/>
        <w:t>πό τη λήξη του έτους εντός του οποίου υποβλήθηκε η δήλωση.</w:t>
      </w:r>
      <w:r>
        <w:rPr>
          <w:rStyle w:val="Hyperlink"/>
          <w:b/>
          <w:bCs/>
          <w:color w:val="000000"/>
          <w:sz w:val="20"/>
          <w:szCs w:val="20"/>
          <w:u w:val="none" w:color="0000EE"/>
          <w:vertAlign w:val="superscript"/>
          <w:lang w:val="el" w:eastAsia="el"/>
        </w:rPr>
        <w:footnoteReference w:id="695"/>
      </w:r>
    </w:p>
    <w:p>
      <w:pPr>
        <w:pStyle w:val="MainText"/>
        <w:spacing w:before="120" w:after="0"/>
        <w:rPr>
          <w:lang w:val="el" w:eastAsia="el"/>
        </w:rPr>
      </w:pPr>
      <w:r>
        <w:rPr>
          <w:b/>
          <w:bCs/>
          <w:lang w:val="el" w:eastAsia="el"/>
        </w:rPr>
        <w:t>4.</w:t>
      </w:r>
      <w:r>
        <w:rPr>
          <w:b/>
          <w:bCs/>
          <w:lang w:val="el" w:eastAsia="el"/>
        </w:rPr>
        <w:t xml:space="preserve"> Χρέη προς το Δημόσιο, βεβαιωθέντα ή βεβαιούμενα με οποιονδήποτε τρόπο, κατ' εφαρμογή των διατάξεων του παρόντος νόμου, παραγράφονται μετά δεκαετία από τη λήξη του οικονομικού έτους εντός του οποίου κατέ</w:t>
      </w:r>
      <w:r>
        <w:rPr>
          <w:b/>
          <w:bCs/>
          <w:lang w:val="el" w:eastAsia="el"/>
        </w:rPr>
        <w:softHyphen/>
        <w:t>στησαν ληξιπρόθεσμα.</w:t>
      </w:r>
      <w:r>
        <w:rPr>
          <w:rStyle w:val="Hyperlink"/>
          <w:b/>
          <w:bCs/>
          <w:color w:val="000000"/>
          <w:sz w:val="20"/>
          <w:szCs w:val="20"/>
          <w:u w:val="none" w:color="0000EE"/>
          <w:vertAlign w:val="superscript"/>
          <w:lang w:val="el" w:eastAsia="el"/>
        </w:rPr>
        <w:footnoteReference w:id="696"/>
      </w:r>
    </w:p>
    <w:p>
      <w:pPr>
        <w:pStyle w:val="MainText"/>
        <w:spacing w:before="120" w:after="0"/>
        <w:rPr>
          <w:lang w:val="el" w:eastAsia="el"/>
        </w:rPr>
      </w:pPr>
      <w:r>
        <w:rPr>
          <w:b/>
          <w:bCs/>
          <w:lang w:val="el" w:eastAsia="el"/>
        </w:rPr>
        <w:t>5.</w:t>
      </w:r>
      <w:r>
        <w:rPr>
          <w:b/>
          <w:bCs/>
          <w:lang w:val="el" w:eastAsia="el"/>
        </w:rPr>
        <w:t xml:space="preserve"> Η κατά του Δημοσίου απαίτηση προς επιστροφή του φόρου παραγράφεται μετά τρία (3) έτη από την ημερο</w:t>
      </w:r>
      <w:r>
        <w:rPr>
          <w:b/>
          <w:bCs/>
          <w:lang w:val="el" w:eastAsia="el"/>
        </w:rPr>
        <w:softHyphen/>
        <w:t>μηνία εμπρόθεσμης υποβολής της εκκαθαριστικής δήλω</w:t>
      </w:r>
      <w:r>
        <w:rPr>
          <w:b/>
          <w:bCs/>
          <w:lang w:val="el" w:eastAsia="el"/>
        </w:rPr>
        <w:softHyphen/>
        <w:t>σης που αφορά τη διαχειριστική περίοδο εντός της οποί</w:t>
      </w:r>
      <w:r>
        <w:rPr>
          <w:b/>
          <w:bCs/>
          <w:lang w:val="el" w:eastAsia="el"/>
        </w:rPr>
        <w:softHyphen/>
        <w:t>ας γεννήθηκε το δικαίωμα έκπτωσης αυτού ή μετά (3) τρία έτη από την ημερομηνία εμπρόθεσμης υποβολής της έκτακτης δήλωσης στις περιπτώσεις που δεν υπάρχει υποχρέωση για υποβολή εκκαθαριστικής. Σε περί</w:t>
      </w:r>
      <w:r>
        <w:rPr>
          <w:b/>
          <w:bCs/>
          <w:lang w:val="el" w:eastAsia="el"/>
        </w:rPr>
        <w:softHyphen/>
        <w:t>πτωση μη υποβολής ή υποβολής των ανωτέρω δηλώσεων εκπροθέσμως, η κατά του Δημοσίου απαίτηση προς επιστροφή φόρου παραγράφεται μετά τρία (3) έτη από την ημερομηνία που οι δηλώσεις αυτές όφειλαν να είχαν υποβληθεί εμπροθέσμως. Η αξίωση κατά του Δημοσίου προς επιστροφή φόρου αναβιώνει από της κοινοποιήσεως πράξεως προσδιορι</w:t>
      </w:r>
      <w:r>
        <w:rPr>
          <w:b/>
          <w:bCs/>
          <w:lang w:val="el" w:eastAsia="el"/>
        </w:rPr>
        <w:softHyphen/>
        <w:t>σμού του φόρου, για ίσο χρόνο, εφόσον έχει υποβληθεί αίτημα προς επιστροφή πριν το χρόνο παραγραφής της αξίωσης και συμπληρώθηκε ο χρόνος παραγραφής, χω</w:t>
      </w:r>
      <w:r>
        <w:rPr>
          <w:b/>
          <w:bCs/>
          <w:lang w:val="el" w:eastAsia="el"/>
        </w:rPr>
        <w:softHyphen/>
        <w:t>ρίς να ικανοποιηθεί ή να απορριφθεί αιτιολογημένα το αίτημα από υπαιτιότητα του Δημοσίου. Ως προς τα λοιπά θέματα εφαρμόζονται οι διατάξεις περί δημοσίου λογιστικού όπως εκάστοτε ισχύουν. Η μη ικανοποίηση του αιτήματος επιστροφής ή η μη αιτιολογημένη απόρριψη αυτού εγγράφως πριν τη συμπλήρωση του χρόνου παραγραφής, αποτελεί πειθαρχι</w:t>
      </w:r>
      <w:r>
        <w:rPr>
          <w:b/>
          <w:bCs/>
          <w:lang w:val="el" w:eastAsia="el"/>
        </w:rPr>
        <w:softHyphen/>
        <w:t>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697"/>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Απόρρητο</w:t>
      </w:r>
    </w:p>
    <w:p>
      <w:pPr>
        <w:pStyle w:val="MainText"/>
        <w:spacing w:before="120" w:after="0"/>
        <w:rPr>
          <w:lang w:val="el" w:eastAsia="el"/>
        </w:rPr>
      </w:pPr>
      <w:r>
        <w:rPr>
          <w:b/>
          <w:bCs/>
          <w:lang w:val="el" w:eastAsia="el"/>
        </w:rPr>
        <w:t>1.</w:t>
      </w:r>
      <w:r>
        <w:rPr>
          <w:b/>
          <w:bCs/>
          <w:lang w:val="el" w:eastAsia="el"/>
        </w:rPr>
        <w:t xml:space="preserve"> Οι δηλώσεις που υποβάλλονται σύμφωνα με τις διατάξεις του παρόντος νόμου, τα φορολογικά στοιχεία, οι εκθέσεις και οι πράξεις προσδιορισμού του φόρου, είναι απόρρητα και δεν επιτρέπεται η γνωστοποίηση τους σε οποιονδήποτε τρίτο.</w:t>
      </w:r>
    </w:p>
    <w:p>
      <w:pPr>
        <w:pStyle w:val="MainText"/>
        <w:spacing w:before="120" w:after="0"/>
        <w:rPr>
          <w:lang w:val="el" w:eastAsia="el"/>
        </w:rPr>
      </w:pPr>
      <w:r>
        <w:rPr>
          <w:b/>
          <w:bCs/>
          <w:lang w:val="el" w:eastAsia="el"/>
        </w:rPr>
        <w:t>2.</w:t>
      </w:r>
      <w:r>
        <w:rPr>
          <w:b/>
          <w:bCs/>
          <w:lang w:val="el" w:eastAsia="el"/>
        </w:rPr>
        <w:t xml:space="preserve"> Οι δηλώσεις χρησιμοποιούνται αποκλειστικά για φορολογικούς σκοπούς και δεν επιτρέπεται να χρησιμοποιηθούν για δίωξη αυτού που τις υποβάλλει ή του προσώπου με το οποίο συναλλάσσεται για παράβαση άλλων διατάξεων εκτός από τις διατάξεις των φορολογικών νόμων.</w:t>
      </w:r>
    </w:p>
    <w:p>
      <w:pPr>
        <w:pStyle w:val="MainText"/>
        <w:spacing w:before="120" w:after="0"/>
        <w:rPr>
          <w:lang w:val="el" w:eastAsia="el"/>
        </w:rPr>
      </w:pPr>
      <w:r>
        <w:rPr>
          <w:b/>
          <w:bCs/>
          <w:lang w:val="el" w:eastAsia="el"/>
        </w:rPr>
        <w:t>3.</w:t>
      </w:r>
      <w:r>
        <w:rPr>
          <w:b/>
          <w:bCs/>
          <w:lang w:val="el" w:eastAsia="el"/>
        </w:rPr>
        <w:t xml:space="preserve"> Όσοι συμπράττουν στην εφαρμογή των διατάξεων του νόμου αυτού και για το λόγο αυτόν λαμβάνουν γνώση των συναλλαγών που υπάγονται στο φόρο προστιθέμενης αξίας, υποχρεούνται να τηρούν και να διαφυλάσσουν το απόρρητο των συναλλαγών αυτών</w:t>
      </w:r>
    </w:p>
    <w:p>
      <w:pPr>
        <w:pStyle w:val="MainText"/>
        <w:spacing w:before="120" w:after="0"/>
        <w:rPr>
          <w:lang w:val="el" w:eastAsia="el"/>
        </w:rPr>
      </w:pPr>
      <w:r>
        <w:rPr>
          <w:b/>
          <w:bCs/>
          <w:lang w:val="el" w:eastAsia="el"/>
        </w:rPr>
        <w:t>4.</w:t>
      </w:r>
      <w:r>
        <w:rPr>
          <w:b/>
          <w:bCs/>
          <w:lang w:val="el" w:eastAsia="el"/>
        </w:rPr>
        <w:t xml:space="preserve"> Διατάξεις ειδικών νόμων που προβλέπουν παρεκκλίσεις από το απόρρητο και αφορούν τη φορολογία εισοδήματος, ισχύουν αναλόγως και για την εφαρμογή του παρόντος νόμου.</w:t>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Λοιπές διαδικαστικές διατάξεις</w:t>
      </w:r>
    </w:p>
    <w:p>
      <w:pPr>
        <w:pStyle w:val="MainText"/>
        <w:spacing w:before="120" w:after="0"/>
        <w:rPr>
          <w:lang w:val="el" w:eastAsia="el"/>
        </w:rPr>
      </w:pPr>
      <w:r>
        <w:rPr>
          <w:b/>
          <w:bCs/>
          <w:lang w:val="el" w:eastAsia="el"/>
        </w:rPr>
        <w:t>1.</w:t>
      </w:r>
      <w:r>
        <w:rPr>
          <w:b/>
          <w:bCs/>
          <w:lang w:val="el" w:eastAsia="el"/>
        </w:rPr>
        <w:t xml:space="preserve"> Διατάξεις νόμων που αφορούν θέματα διαδικασίας για την επιβολή του φόρου εισοδήματος ισχύουν αναλόγως και για την εφαρμογή του παρόντος νόμου, εφόσον στις διατάξεις του δεν ορίζεται διαφορετικά. </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μπορεί να ρυθμίζεται κάθε διαδικαστικό θέμα και λεπτομέρεια για την εφαρμογή των διατάξεων του παρόντος νόμου.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b/>
          <w:bCs/>
          <w:lang w:val="el" w:eastAsia="el"/>
        </w:rPr>
        <w:t xml:space="preserve"> Κατά την εισαγωγή αγαθών από το εξωτερικό, ο φόρος του παρόντος νόμου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w:t>
      </w:r>
    </w:p>
    <w:p>
      <w:pPr>
        <w:spacing w:before="240" w:after="240"/>
        <w:rPr>
          <w:lang w:val="el" w:eastAsia="el"/>
        </w:rPr>
      </w:pPr>
      <w:r>
        <w:rPr>
          <w:b/>
          <w:bCs/>
          <w:lang w:val="el" w:eastAsia="el"/>
        </w:rPr>
        <w:t>Οι πιο πάνω διατάξεις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b/>
          <w:bCs/>
          <w:lang w:val="el" w:eastAsia="el"/>
        </w:rPr>
        <w:t xml:space="preserve"> Κάθε παράβαση των διατάξεων του παρόντος άρθρου χαρακτηρίζεται ως τελωνειακή παράβαση και διώκεται σύμφωνα με τις εκάστοτε ισχύουσες διατάξεις του Τελωνειακού Κώδικα.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II ΕΔΑΦΗ </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b/>
          <w:bCs/>
          <w:lang w:val="el" w:eastAsia="el"/>
        </w:rPr>
        <w:t xml:space="preserve"> Για αγαθά που εισέρχονται στο εσωτερικό της χώρας από ένα από τα αναφερόμενα στην περίπτωση β΄ της παραγράφου 2 του Παραρτήματος II εδάφη, εφαρμόζονται:</w:t>
      </w:r>
      <w:r>
        <w:rPr>
          <w:rStyle w:val="Hyperlink"/>
          <w:b/>
          <w:bCs/>
          <w:color w:val="000000"/>
          <w:sz w:val="20"/>
          <w:szCs w:val="20"/>
          <w:u w:val="none" w:color="0000EE"/>
          <w:vertAlign w:val="superscript"/>
          <w:lang w:val="el" w:eastAsia="el"/>
        </w:rPr>
        <w:footnoteReference w:id="698"/>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αριθ. 717/91, για την εισαγωγή των αγαθών στο εσωτερικό της χώρας,</w:t>
      </w:r>
      <w:r>
        <w:rPr>
          <w:rStyle w:val="Hyperlink"/>
          <w:b/>
          <w:bCs/>
          <w:color w:val="000000"/>
          <w:sz w:val="20"/>
          <w:szCs w:val="20"/>
          <w:u w:val="none" w:color="0000EE"/>
          <w:vertAlign w:val="superscript"/>
          <w:lang w:val="el" w:eastAsia="el"/>
        </w:rPr>
        <w:footnoteReference w:id="699"/>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b/>
          <w:bCs/>
          <w:lang w:val="el" w:eastAsia="el"/>
        </w:rPr>
        <w:t>αα)</w:t>
      </w:r>
      <w:r>
        <w:rPr>
          <w:b/>
          <w:bCs/>
          <w:lang w:val="en" w:eastAsia="en"/>
        </w:rPr>
        <w:tab/>
      </w:r>
      <w:r>
        <w:rPr>
          <w:b/>
          <w:bCs/>
          <w:lang w:val="el" w:eastAsia="el"/>
        </w:rPr>
        <w:t>προορίζονται για άλλο κράτος - μέλος,</w:t>
      </w:r>
    </w:p>
    <w:p>
      <w:pPr>
        <w:pStyle w:val="StructureList1"/>
        <w:spacing w:before="120" w:after="0"/>
        <w:rPr>
          <w:lang w:val="el" w:eastAsia="el"/>
        </w:rPr>
      </w:pPr>
      <w:r>
        <w:rPr>
          <w:b/>
          <w:bCs/>
          <w:lang w:val="el" w:eastAsia="el"/>
        </w:rPr>
        <w:t>ββ)</w:t>
      </w:r>
      <w:r>
        <w:rPr>
          <w:b/>
          <w:bCs/>
          <w:lang w:val="en" w:eastAsia="en"/>
        </w:rPr>
        <w:tab/>
      </w:r>
      <w:r>
        <w:rPr>
          <w:b/>
          <w:bCs/>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b/>
          <w:bCs/>
          <w:lang w:val="el" w:eastAsia="el"/>
        </w:rPr>
        <w:t>γγ)</w:t>
      </w:r>
      <w:r>
        <w:rPr>
          <w:b/>
          <w:bCs/>
          <w:lang w:val="en" w:eastAsia="en"/>
        </w:rPr>
        <w:tab/>
      </w:r>
      <w:r>
        <w:rPr>
          <w:b/>
          <w:bCs/>
          <w:lang w:val="el" w:eastAsia="el"/>
        </w:rPr>
        <w:t>τίθενται υπό καθεστώς προσωρινής εισαγωγής, κατά την έννοια της οδηγίας 85/362/ΕΟΚ.</w:t>
      </w:r>
    </w:p>
    <w:p>
      <w:pPr>
        <w:pStyle w:val="MainText"/>
        <w:spacing w:before="120" w:after="0"/>
        <w:rPr>
          <w:lang w:val="el" w:eastAsia="el"/>
        </w:rPr>
      </w:pPr>
      <w:r>
        <w:rPr>
          <w:b/>
          <w:bCs/>
          <w:lang w:val="el" w:eastAsia="el"/>
        </w:rPr>
        <w:t>2.</w:t>
      </w:r>
      <w:r>
        <w:rPr>
          <w:b/>
          <w:bCs/>
          <w:lang w:val="el" w:eastAsia="el"/>
        </w:rPr>
        <w:t xml:space="preserve"> Για αγαθά που προέρχονται από την Κοινότητα και αποστέλλονται ή μεταφέρονται προς ένα από τα εδάφη που αναφέρονται στην περίπτωση β΄ της παρ. 2 του Παραρτήματος II, εφαρμόζονται:</w:t>
      </w:r>
      <w:r>
        <w:rPr>
          <w:rStyle w:val="Hyperlink"/>
          <w:b/>
          <w:bCs/>
          <w:color w:val="000000"/>
          <w:sz w:val="20"/>
          <w:szCs w:val="20"/>
          <w:u w:val="none" w:color="0000EE"/>
          <w:vertAlign w:val="superscript"/>
          <w:lang w:val="el" w:eastAsia="el"/>
        </w:rPr>
        <w:footnoteReference w:id="700"/>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2913/92, για την εξαγωγή των αγαθών εκτός της Κοινότητας,</w:t>
      </w:r>
      <w:r>
        <w:rPr>
          <w:rStyle w:val="Hyperlink"/>
          <w:b/>
          <w:bCs/>
          <w:color w:val="000000"/>
          <w:sz w:val="20"/>
          <w:szCs w:val="20"/>
          <w:u w:val="none" w:color="0000EE"/>
          <w:vertAlign w:val="superscript"/>
          <w:lang w:val="el" w:eastAsia="el"/>
        </w:rPr>
        <w:footnoteReference w:id="701"/>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η παράδοση των αγαθών αυτών προς εξαγωγή έχει γίνει σε άλλο κράτος-μέλος διαφορετικό από εκείνο της εξόδου των αγαθών από την Κοινότητα.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 xml:space="preserve">ΜΕΤΑΒΑΤΙΚΕΣ - ΤΕΛΙΚΕΣ ΔΙΑΤΑΞΕΙΣ </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 xml:space="preserve">Έκπτωση φόρων για αποθέματα εμπορεύσιμων αγαθών - Φ.Π.Α., επί εργολαβικών προσυμφώνων </w:t>
      </w:r>
    </w:p>
    <w:p>
      <w:pPr>
        <w:pStyle w:val="MainText"/>
        <w:spacing w:before="120" w:after="0"/>
        <w:rPr>
          <w:lang w:val="el" w:eastAsia="el"/>
        </w:rPr>
      </w:pPr>
      <w:r>
        <w:rPr>
          <w:b/>
          <w:bCs/>
          <w:lang w:val="el" w:eastAsia="el"/>
        </w:rPr>
        <w:t>1.</w:t>
      </w:r>
      <w:r>
        <w:rPr>
          <w:b/>
          <w:bCs/>
          <w:lang w:val="el" w:eastAsia="el"/>
        </w:rPr>
        <w:t xml:space="preserve"> Ο υποκείμενος στο φόρο έχει δικαίωμα να εκπέσει τους φόρους, τα τέλη και τις εισφορές υπέρ του Δημοσίου ή τρίτων, με τους οποίους επιβαρύνθηκαν τα αποθέματα εμπορεύσιμων αγαθών που κατέχει κατά την έναρξη ισχύος του παρόντος νόμου.</w:t>
      </w:r>
    </w:p>
    <w:p>
      <w:pPr>
        <w:spacing w:before="240" w:after="240"/>
        <w:rPr>
          <w:lang w:val="el" w:eastAsia="el"/>
        </w:rPr>
      </w:pPr>
      <w:r>
        <w:rPr>
          <w:b/>
          <w:bCs/>
          <w:lang w:val="el" w:eastAsia="el"/>
        </w:rPr>
        <w:t>Το προς έκπτωση ποσό των φόρων, τελών και εισφορών υπολογίζεται στην αξία των αποθεμάτων με βάση κατ΄ αποκοπή συντελεστές που θα καθοριστούν με νεότερο νόμο:</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αγαθά του Παραρτήματος II του παρόντος νόμου,</w:t>
      </w:r>
    </w:p>
    <w:p>
      <w:pPr>
        <w:pStyle w:val="StructureList1"/>
        <w:spacing w:before="120" w:after="0"/>
        <w:rPr>
          <w:lang w:val="el" w:eastAsia="el"/>
        </w:rPr>
      </w:pPr>
      <w:r>
        <w:rPr>
          <w:b/>
          <w:bCs/>
          <w:lang w:val="el" w:eastAsia="el"/>
        </w:rPr>
        <w:t>β)</w:t>
      </w:r>
      <w:r>
        <w:rPr>
          <w:b/>
          <w:bCs/>
          <w:lang w:val="en" w:eastAsia="en"/>
        </w:rPr>
        <w:tab/>
      </w:r>
      <w:r>
        <w:rPr>
          <w:b/>
          <w:bCs/>
          <w:lang w:val="el" w:eastAsia="el"/>
        </w:rPr>
        <w:t>για αγαθά του Παραρτήματος III του παρόντος νόμου και όλα τα λοιπά αγαθά.</w:t>
      </w:r>
    </w:p>
    <w:p>
      <w:pPr>
        <w:spacing w:before="240" w:after="240"/>
        <w:rPr>
          <w:lang w:val="el" w:eastAsia="el"/>
        </w:rPr>
      </w:pPr>
      <w:r>
        <w:rPr>
          <w:b/>
          <w:bCs/>
          <w:lang w:val="el" w:eastAsia="el"/>
        </w:rPr>
        <w:t>Στα έτοιμα και ημικατεργασμένα προϊόντα, καθώς και στις πρώτες και βοηθητικές ύλες των επιχειρήσεων που υπάγονταν στο φόρο κύκλου εργασιών του Α.Ν. 660/1937 (ΦΕΚ 159), οι συντελεστές μειώνονται κατά πενήντα στα εκατό (50%). Η ίδια μείωση ισχύει και για τα αποθέματα των βιομηχανικών, βιοτεχνικών και εμπορικών επιχειρήσεων που λειτουργούν σε περιοχές στις οποίες δεν είχαν επεκταθεί οι διατάξεις του Α.Ν. 660/1937.</w:t>
      </w:r>
    </w:p>
    <w:p>
      <w:pPr>
        <w:pStyle w:val="MainText"/>
        <w:spacing w:before="120" w:after="0"/>
        <w:rPr>
          <w:lang w:val="el" w:eastAsia="el"/>
        </w:rPr>
      </w:pPr>
      <w:r>
        <w:rPr>
          <w:b/>
          <w:bCs/>
          <w:lang w:val="el" w:eastAsia="el"/>
        </w:rPr>
        <w:t>2.</w:t>
      </w:r>
      <w:r>
        <w:rPr>
          <w:b/>
          <w:bCs/>
          <w:lang w:val="el" w:eastAsia="el"/>
        </w:rPr>
        <w:t xml:space="preserve"> Το προς έκπτωση ποσό δεν μπορεί σε καμιά περίπτωση να υπερβεί τη συνολική επιβάρυνση από τους καταργούμενους με τις διατάξεις του άρθρου 63 φόρους, τέλη και εισφορές υπέρ του Δημοσίου ή τρίτων.</w:t>
      </w:r>
    </w:p>
    <w:p>
      <w:pPr>
        <w:pStyle w:val="MainText"/>
        <w:spacing w:before="120" w:after="0"/>
        <w:rPr>
          <w:lang w:val="el" w:eastAsia="el"/>
        </w:rPr>
      </w:pPr>
      <w:r>
        <w:rPr>
          <w:b/>
          <w:bCs/>
          <w:lang w:val="el" w:eastAsia="el"/>
        </w:rPr>
        <w:t>3.</w:t>
      </w:r>
      <w:r>
        <w:rPr>
          <w:b/>
          <w:bCs/>
          <w:lang w:val="el" w:eastAsia="el"/>
        </w:rPr>
        <w:t xml:space="preserve"> Για την άσκηση του δικαιώματος έκπτωσης που προβλέπεται από την πιο πάνω παράγραφο 1, οι υποκείμενοι στο φόρο οφείλουν:</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τηρούν μέσα στο έτος 1986 βιβλία τρίτης ή τετάρτης κατηγορίας του Κώδικα Φορολογικών Στοιχείων, να κάνουν ποσοτική καταγραφή και αποτίμηση των αποθεμάτων εμπορεύσιμων αγαθών που υπάρχουν στις 31/12/1986, σύμφωνα με τις διατάξεις του Κώδικα αυτού.</w:t>
      </w:r>
    </w:p>
    <w:p>
      <w:pPr>
        <w:spacing w:before="240" w:after="240"/>
        <w:rPr>
          <w:lang w:val="el" w:eastAsia="el"/>
        </w:rPr>
      </w:pPr>
      <w:r>
        <w:rPr>
          <w:b/>
          <w:bCs/>
          <w:lang w:val="el" w:eastAsia="el"/>
        </w:rPr>
        <w:t>Για τα πιο πάνω αποθέματα δεν παρέχεται δικαίωμα έκπτωσης κατά το μέρος που η σχέση αποθεμάτων και ακαθαρίστων εσόδων του έτους 1986 είναι μεγαλύτερη από τη μέση αυτή σχέση των τριών προηγούμενων ετών. Αν δεν υπάρχει απογραφή και για τα τρία προηγούμενα έτη, η σύγκριση γίνεται με όσες απογραφές υπάρχουν.</w:t>
      </w:r>
    </w:p>
    <w:p>
      <w:pPr>
        <w:spacing w:before="240" w:after="240"/>
        <w:rPr>
          <w:lang w:val="el" w:eastAsia="el"/>
        </w:rPr>
      </w:pPr>
      <w:r>
        <w:rPr>
          <w:b/>
          <w:bCs/>
          <w:lang w:val="el" w:eastAsia="el"/>
        </w:rPr>
        <w:t>Τα πιο πάνω εφαρμόζονται αναλογικά και για τις επιχειρήσεις που έχουν διαχειριστική περίοδο διαφορετική από το ημερολογιακό έτος,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τηρούν βιβλία δεύτερης κατηγορίας του Κώδικα Φορολογικών Στοιχείων, να κάνουν απογραφή, όπως και στην πιο πάνω περίπτωση α΄, στα τηρούμενα βιβλία ή σε καταστάσεις θεωρημένες από τον οικονομικό έφορο. Οι επιχειρήσεις αυτές, για τις ανάγκες μόνο του Φ.Π.Α., έχουν υποχρέωση να συντάσσουν την πιο πάνω ειδική απογραφή και στις αμέσως επόμενες τρεις διαχειρίσεις. Τα αποθέματα των τριών αυτών ειδικών απογραφών θα δηλωθούν με τις αντίστοιχες ετήσιες εκκαθαριστικές δηλώσεις. Η παράλειψη σύνταξης της ειδικής απογραφής έστω και για μία από τις τρεις επόμενες διαχειρίσεις συνεπάγεται τη μείωση του προς έκπτωση φόρου κατά πενήντα στα εκατό (50%). Οι πιο πάνω επιχειρήσεις που τηρούν βιβλία δεύτερης κατηγορίας στον Κώδικα Φορολογικών Στοιχείων δύνανται αντί απογραφής να υποβάλουν δήλωση στον αρμόδιο έφορο, στην οποία πρέπει να αναγράφουν χωριστά τις αγορές των εμπορεύσιμων αγαθών του έτους 1986, τα οποία περιλαμβάνονται στο παράρτημα 11 του παρόντος νόμου και χωριστά τις αγορές όλων μαζί των άλλων εμπορεύσιμων αγαθών. Το προς έκπτωση ποσό του φόρου στην περίπτωση αυτή θα υπολογίζεται στην αξία των αγορών με συντελεστή μηδέν τέσσερα στα εκατό (0,4%) για τα εμπορεύσιμα αγαθά του παραρτήματος II και με συντελεστή μηδέν εννέα στα εκατό (0,9%) για όλα τα άλλα εμπορεύσιμα αγαθά, χωρίς τη μείωση της παραγράφου 1.</w:t>
      </w:r>
    </w:p>
    <w:p>
      <w:pPr>
        <w:spacing w:before="240" w:after="240"/>
        <w:rPr>
          <w:lang w:val="el" w:eastAsia="el"/>
        </w:rPr>
      </w:pPr>
      <w:r>
        <w:rPr>
          <w:b/>
          <w:bCs/>
          <w:lang w:val="el" w:eastAsia="el"/>
        </w:rPr>
        <w:t>Από τον πιο πάνω τρόπο υπολογισμού του προς έκπτωση φόρου βάσει των αγορών, εξαιρούνται οι επιχειρήσεις που εργάζονται εποχιακά ή αγοράζουν αγροτικά προϊόντα, καθώς και οι επιχειρήσεις οι οποίες λόγω του αντικειμένου των εργασιών τους δεν είναι δυνατόν να έχουν αποθέματα.</w:t>
      </w:r>
    </w:p>
    <w:p>
      <w:pPr>
        <w:pStyle w:val="MainText"/>
        <w:spacing w:before="120" w:after="0"/>
        <w:rPr>
          <w:lang w:val="el" w:eastAsia="el"/>
        </w:rPr>
      </w:pPr>
      <w:r>
        <w:rPr>
          <w:b/>
          <w:bCs/>
          <w:lang w:val="el" w:eastAsia="el"/>
        </w:rPr>
        <w:t>4.</w:t>
      </w:r>
      <w:r>
        <w:rPr>
          <w:b/>
          <w:bCs/>
          <w:lang w:val="el" w:eastAsia="el"/>
        </w:rPr>
        <w:t xml:space="preserve"> Για την έκπτωση των φόρων υποβάλλεται δήλωση στον αρμόδιο οικονομικό έφορο μέσα σε τρεις (3) μήνες από την έναρξη της ισχύος του νόμου αυτού, εφόσον προηγείται απογραφή και μέχρι τις 10 Φεβρουαρίου 1987, όταν ο προς έκπτωση φόρος υπολογίζεται με τον τεκμαρτό τρόπο βάσει αγορών, όπως ορίζεται από τις διατάξεις της προηγούμενης παραγράφου.</w:t>
      </w:r>
    </w:p>
    <w:p>
      <w:pPr>
        <w:spacing w:before="240" w:after="240"/>
        <w:rPr>
          <w:lang w:val="el" w:eastAsia="el"/>
        </w:rPr>
      </w:pPr>
      <w:r>
        <w:rPr>
          <w:b/>
          <w:bCs/>
          <w:lang w:val="el" w:eastAsia="el"/>
        </w:rPr>
        <w:t>Αν ο υποκείμενος στο φόρο δεν υποβάλει δήλωση μέσα στην πιο πάνω προθεσμία, στερείται το δικαίωμα για έκπτωση. Αν υποβάλει ανακριβή δήλωση, το προς έκπτωση ποσό των φόρων περιορίζεται κατά πενήντα στα εκατό (50%).</w:t>
      </w:r>
    </w:p>
    <w:p>
      <w:pPr>
        <w:pStyle w:val="MainText"/>
        <w:spacing w:before="120" w:after="0"/>
        <w:rPr>
          <w:lang w:val="el" w:eastAsia="el"/>
        </w:rPr>
      </w:pPr>
      <w:r>
        <w:rPr>
          <w:b/>
          <w:bCs/>
          <w:lang w:val="el" w:eastAsia="el"/>
        </w:rPr>
        <w:t>5.</w:t>
      </w:r>
      <w:r>
        <w:rPr>
          <w:b/>
          <w:bCs/>
          <w:lang w:val="el" w:eastAsia="el"/>
        </w:rPr>
        <w:t xml:space="preserve"> Το προς έκπτωση ποσό συμψηφίζεται με το φόρο του παρόντος νόμου:</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τρία (3) έτη από την έναρξη ισχύος του, όταν προηγείται απογραφή ή όταν ο προς έκπτωση φόρος υπολογίζεται με τον τεκμαρτό τρόπο βάσει των αγορών. Το προς έκπτωση ποσό φόρου δεν μπορεί να υπερβαίνει για κάθε φορολογική περίοδο το ήμισυ (50%) του προς απόδοση φόρου. Το ποσό που τυχόν δεν εκπέστηκε μεταφέρεται για έκπτωση στην επόμενη φορολογική περίοδο με τους ίδιους περιορισμούς και στο τέλος της τριετίας εκπίπτεται ή επιστρέφεται εφάπαξ. Ο περιορισμός κατά πενήντα τοις εκατό (50%) και η μεταφορά για έκπτωση στο τέλος της τριετίας δεν ισχύει για τις επιχειρήσεις που ενεργούν απαλλασσόμενες πράξεις για τις οποίες παρέχεται δικαίωμα έκπτωσης.</w:t>
      </w:r>
    </w:p>
    <w:p>
      <w:pPr>
        <w:pStyle w:val="StructureList1"/>
        <w:spacing w:before="120" w:after="0"/>
        <w:rPr>
          <w:lang w:val="el" w:eastAsia="el"/>
        </w:rPr>
      </w:pPr>
      <w:r>
        <w:rPr>
          <w:b/>
          <w:bCs/>
          <w:lang w:val="el" w:eastAsia="el"/>
        </w:rPr>
        <w:t>β)</w:t>
      </w:r>
      <w:r>
        <w:rPr>
          <w:b/>
          <w:bCs/>
          <w:lang w:val="en" w:eastAsia="en"/>
        </w:rPr>
        <w:tab/>
      </w:r>
      <w:r>
        <w:rPr>
          <w:b/>
          <w:bCs/>
          <w:lang w:val="el" w:eastAsia="el"/>
        </w:rPr>
        <w:t>μέσα στο έτος 1988, στην περίπτωση που ορίζεται από τις διατάξεις της επόμενης παραγράφου 6.</w:t>
      </w:r>
    </w:p>
    <w:p>
      <w:pPr>
        <w:pStyle w:val="MainText"/>
        <w:spacing w:before="120" w:after="0"/>
        <w:rPr>
          <w:lang w:val="el" w:eastAsia="el"/>
        </w:rPr>
      </w:pPr>
      <w:r>
        <w:rPr>
          <w:b/>
          <w:bCs/>
          <w:lang w:val="el" w:eastAsia="el"/>
        </w:rPr>
        <w:t>6.</w:t>
      </w:r>
      <w:r>
        <w:rPr>
          <w:b/>
          <w:bCs/>
          <w:lang w:val="el" w:eastAsia="el"/>
        </w:rPr>
        <w:t xml:space="preserve"> Κατ΄ εξαίρεση, οι επιχειρήσεις οι οποίες από την έναρξη εφαρμογής του παρόντος νόμου τηρούν, υποχρεωτικά ή προαιρετικά, βιβλία δεύτερης κατηγορίας του Κώδικα Φορολογικών Στοιχείων και κατά το διαχειριστικό έτος 1986 τηρούσαν βιβλία πρώτης κατηγορίας ή δεν τηρούσαν καθόλου βιβλία, δικαιούνται την έκπτωση των φόρων, χωρίς υποχρέωση σύνταξης απογραφής.</w:t>
      </w:r>
    </w:p>
    <w:p>
      <w:pPr>
        <w:spacing w:before="240" w:after="240"/>
        <w:rPr>
          <w:lang w:val="el" w:eastAsia="el"/>
        </w:rPr>
      </w:pPr>
      <w:r>
        <w:rPr>
          <w:b/>
          <w:bCs/>
          <w:lang w:val="el" w:eastAsia="el"/>
        </w:rPr>
        <w:t>Η έκπτωση παρέχεται μόνο εφόσον μέσα στο διαχειριστικό έτος 1987 οι πιο πάνω επιχειρήσεις πραγματοποίησαν ακαθάριστα έσοδα μεγαλύτερα από αυτά που αναλογούν στις αγορές του ιδίου έτους. Το προς έκπτωση ποσό υπολογίζεται στην αξία των αγορών που αντιστοιχεί στη διαφορά των ακαθάριστων εσόδων, με βάση τους συντελεστές της παραγράφου 1.</w:t>
      </w:r>
    </w:p>
    <w:p>
      <w:pPr>
        <w:pStyle w:val="MainText"/>
        <w:spacing w:before="120" w:after="0"/>
        <w:rPr>
          <w:lang w:val="el" w:eastAsia="el"/>
        </w:rPr>
      </w:pPr>
      <w:r>
        <w:rPr>
          <w:b/>
          <w:bCs/>
          <w:lang w:val="el" w:eastAsia="el"/>
        </w:rPr>
        <w:t>7.</w:t>
      </w:r>
      <w:r>
        <w:rPr>
          <w:b/>
          <w:bCs/>
          <w:lang w:val="el" w:eastAsia="el"/>
        </w:rPr>
        <w:t xml:space="preserve"> Δεν έχουν δικαίωμα για έκπτωση των φόρων και δεν έχουν υποχρέωση για σύνταξη απογραφής: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επιχειρήσεις του άρθρου 39, με εξαίρεση αυτές που στο διαχειριστικό έτος 1986 τηρούσαν βιβλία τρίτης ή τέταρτης κατηγορίας του Κώδικα Φορολογικών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αγρότες που υπάγονται στο ειδικό καθεστώς φορολογίας. σύμφωνα με τις διατάξεις του άρθρου 41,</w:t>
      </w:r>
    </w:p>
    <w:p>
      <w:pPr>
        <w:pStyle w:val="StructureList1"/>
        <w:spacing w:before="120" w:after="0"/>
        <w:rPr>
          <w:lang w:val="el" w:eastAsia="el"/>
        </w:rPr>
      </w:pPr>
      <w:r>
        <w:rPr>
          <w:b/>
          <w:bCs/>
          <w:lang w:val="el" w:eastAsia="el"/>
        </w:rPr>
        <w:t>γ)</w:t>
      </w:r>
      <w:r>
        <w:rPr>
          <w:b/>
          <w:bCs/>
          <w:lang w:val="en" w:eastAsia="en"/>
        </w:rPr>
        <w:tab/>
      </w:r>
      <w:r>
        <w:rPr>
          <w:b/>
          <w:bCs/>
          <w:lang w:val="el" w:eastAsia="el"/>
        </w:rPr>
        <w:t>οι ασχολούμενοι με δραστηριότητες που απαλλάσσονται από το φόρο για τις οποίες δεν παρέχεται δικαίωμα έκπτωσης, καθώς και οι ασχολούμενοι με την παροχή υπηρεσιών,</w:t>
      </w:r>
    </w:p>
    <w:p>
      <w:pPr>
        <w:pStyle w:val="StructureList1"/>
        <w:spacing w:before="120" w:after="0"/>
        <w:rPr>
          <w:lang w:val="el" w:eastAsia="el"/>
        </w:rPr>
      </w:pPr>
      <w:r>
        <w:rPr>
          <w:b/>
          <w:bCs/>
          <w:lang w:val="el" w:eastAsia="el"/>
        </w:rPr>
        <w:t>δ)</w:t>
      </w:r>
      <w:r>
        <w:rPr>
          <w:b/>
          <w:bCs/>
          <w:lang w:val="en" w:eastAsia="en"/>
        </w:rPr>
        <w:tab/>
      </w:r>
      <w:r>
        <w:rPr>
          <w:b/>
          <w:bCs/>
          <w:lang w:val="el" w:eastAsia="el"/>
        </w:rPr>
        <w:t>οι επιχειρήσεις που ασχολούνται με την εισαγωγή και μεταπώληση καπνοβιομηχανικών προϊόντων ή καπνού σε φύλλα, καθώς και οι καπνοβιομηχανίες για τα αποθέματα καπνοβιομηχανικών προϊόντων για τα οποία μέχρι 31 Δεκεμβρίου 1986, αγοράστηκαν ένσημες ταινίες φορολογίας καπνού,</w:t>
      </w:r>
    </w:p>
    <w:p>
      <w:pPr>
        <w:pStyle w:val="StructureList1"/>
        <w:spacing w:before="120" w:after="0"/>
        <w:rPr>
          <w:lang w:val="el" w:eastAsia="el"/>
        </w:rPr>
      </w:pPr>
      <w:r>
        <w:rPr>
          <w:b/>
          <w:bCs/>
          <w:lang w:val="el" w:eastAsia="el"/>
        </w:rPr>
        <w:t>ε)</w:t>
      </w:r>
      <w:r>
        <w:rPr>
          <w:b/>
          <w:bCs/>
          <w:lang w:val="en" w:eastAsia="en"/>
        </w:rPr>
        <w:tab/>
      </w:r>
      <w:r>
        <w:rPr>
          <w:b/>
          <w:bCs/>
          <w:lang w:val="el" w:eastAsia="el"/>
        </w:rPr>
        <w:t>οι ασχολούμενοι με την παράδοση ακινήτων που υπάγονται στο φόρο του παρόντος νόμου σύμφωνα με τις διατάξεις του άρθρ. 6 και,</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υποκείμενος στο φόρο για αποθέματα πετρελαιοειδών.</w:t>
      </w:r>
    </w:p>
    <w:p>
      <w:pPr>
        <w:pStyle w:val="MainText"/>
        <w:spacing w:before="120" w:after="0"/>
        <w:rPr>
          <w:lang w:val="el" w:eastAsia="el"/>
        </w:rPr>
      </w:pPr>
      <w:r>
        <w:rPr>
          <w:b/>
          <w:bCs/>
          <w:lang w:val="el" w:eastAsia="el"/>
        </w:rPr>
        <w:t>8.</w:t>
      </w:r>
      <w:r>
        <w:rPr>
          <w:b/>
          <w:bCs/>
          <w:lang w:val="el" w:eastAsia="el"/>
        </w:rPr>
        <w:t xml:space="preserve"> Με αποφάσεις του Υπ. Οικονομικών ορίζεται η διαδικασία έκπτωσης και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702"/>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Καταργούμενες διατάξεις και λοιπές ρυθμίσεις</w:t>
      </w:r>
    </w:p>
    <w:p>
      <w:pPr>
        <w:pStyle w:val="MainText"/>
        <w:spacing w:before="120" w:after="0"/>
        <w:rPr>
          <w:lang w:val="el" w:eastAsia="el"/>
        </w:rPr>
      </w:pPr>
      <w:r>
        <w:rPr>
          <w:b/>
          <w:bCs/>
          <w:lang w:val="el" w:eastAsia="el"/>
        </w:rPr>
        <w:t>1.</w:t>
      </w:r>
      <w:r>
        <w:rPr>
          <w:b/>
          <w:bCs/>
          <w:lang w:val="el" w:eastAsia="el"/>
        </w:rPr>
        <w:t xml:space="preserve"> Από την έναρξη ισχύος του Ν. 1642/1986, καταργούνται οι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επιβολή φόρου κύκλου εργασιών στις πράξεις τις οποίες προβλέπουν οι διατάξεις του άρθρου 2 του παρόντος νόμου, με εξαίρεση τις διατάξεις που αφορούν την επιβολή του φόρου αυτού στα έσοδα των ασφαλιστικών επιχειρήσεων,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επιβολή τελών χαρτοσήμου στις πράξεις τις οποίες προβλέπουν οι διατάξεις του άρθρου 2 του παρόντος νόμου και στα παρεπόμενα τους σύμφωνα.</w:t>
      </w:r>
    </w:p>
    <w:p>
      <w:pPr>
        <w:spacing w:before="240" w:after="240"/>
        <w:rPr>
          <w:lang w:val="el" w:eastAsia="el"/>
        </w:rPr>
      </w:pPr>
      <w:r>
        <w:rPr>
          <w:b/>
          <w:bCs/>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(RACHATS) ασφαλιστηρίων ζωής από ασφαλιστικές εταιρείες,</w:t>
      </w:r>
    </w:p>
    <w:p>
      <w:pPr>
        <w:pStyle w:val="StructureList1"/>
        <w:spacing w:before="120" w:after="0"/>
        <w:rPr>
          <w:lang w:val="el" w:eastAsia="el"/>
        </w:rPr>
      </w:pPr>
      <w:r>
        <w:rPr>
          <w:b/>
          <w:bCs/>
          <w:lang w:val="el" w:eastAsia="el"/>
        </w:rPr>
        <w:t>γ)</w:t>
      </w:r>
      <w:r>
        <w:rPr>
          <w:b/>
          <w:bCs/>
          <w:lang w:val="en" w:eastAsia="en"/>
        </w:rPr>
        <w:tab/>
      </w:r>
      <w:r>
        <w:rPr>
          <w:b/>
          <w:bCs/>
          <w:lang w:val="el" w:eastAsia="el"/>
        </w:rPr>
        <w:t>του Α.Ν. 505/1937 (ΦΕΚ 79).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46 του Ν. 1249/1982 (ΦΕΚ 43),</w:t>
      </w:r>
    </w:p>
    <w:p>
      <w:pPr>
        <w:pStyle w:val="StructureList1"/>
        <w:spacing w:before="120" w:after="0"/>
        <w:rPr>
          <w:lang w:val="el" w:eastAsia="el"/>
        </w:rPr>
      </w:pPr>
      <w:r>
        <w:rPr>
          <w:b/>
          <w:bCs/>
          <w:lang w:val="el" w:eastAsia="el"/>
        </w:rPr>
        <w:t>ε)</w:t>
      </w:r>
      <w:r>
        <w:rPr>
          <w:b/>
          <w:bCs/>
          <w:lang w:val="en" w:eastAsia="en"/>
        </w:rPr>
        <w:tab/>
      </w:r>
      <w:r>
        <w:rPr>
          <w:b/>
          <w:bCs/>
          <w:lang w:val="el" w:eastAsia="el"/>
        </w:rPr>
        <w:t>του τρίτου εδαφίου της παραγράφου 1 του άρθρου 13 του Α.Ν. 1524/1950 (ΦΕΚ 246), που κυρώθηκε με το Ν. 1620/1951 (ΦΕΚ 2),</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παραγράφου 2 του άρθρου 4 του Ν. 3287/1955 (ΦΕΚ 169),</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5 του Α.Ν. 843/1948 (ΦΕΚ 319),</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ν.δ./τος 254/1973 (ΦΕΚ 335),</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10 του Ν. 4169/1961 (ΦΕΚ 81) και του άρθρου 3 του Ν. 1066/1980 (ΦΕΚ 183),</w:t>
      </w:r>
    </w:p>
    <w:p>
      <w:pPr>
        <w:pStyle w:val="StructureList1"/>
        <w:spacing w:before="120" w:after="0"/>
        <w:rPr>
          <w:lang w:val="el" w:eastAsia="el"/>
        </w:rPr>
      </w:pPr>
      <w:r>
        <w:rPr>
          <w:b/>
          <w:bCs/>
          <w:lang w:val="el" w:eastAsia="el"/>
        </w:rPr>
        <w:t>ι)</w:t>
      </w:r>
      <w:r>
        <w:rPr>
          <w:b/>
          <w:bCs/>
          <w:lang w:val="en" w:eastAsia="en"/>
        </w:rPr>
        <w:tab/>
      </w:r>
      <w:r>
        <w:rPr>
          <w:b/>
          <w:bCs/>
          <w:lang w:val="el" w:eastAsia="el"/>
        </w:rPr>
        <w:t>της παραγράφου 2 του άρθρου 2 της από 18.5.1977 πράξης νομοθετικού περιεχομένου, η οποία κυρώθηκε με το Ν. 625/1977 (ΦΕΚ 180),</w:t>
      </w:r>
    </w:p>
    <w:p>
      <w:pPr>
        <w:spacing w:before="240" w:after="240"/>
        <w:rPr>
          <w:lang w:val="el" w:eastAsia="el"/>
        </w:rPr>
      </w:pPr>
      <w:r>
        <w:rPr>
          <w:b/>
          <w:bCs/>
          <w:lang w:val="el" w:eastAsia="el"/>
        </w:rPr>
        <w:t>ία) των πιο κάτω νόμων, με τους οποίους είχαν επιβληθεί φόροι που ενοποιήθηκαν με το άρθρο 3 του Ν. 1477/1984 :</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1 του Α.Ν. 1901/1939 (ΦΕΚ 332),</w:t>
      </w:r>
    </w:p>
    <w:p>
      <w:pPr>
        <w:pStyle w:val="StructureList1"/>
        <w:spacing w:before="120" w:after="0"/>
        <w:rPr>
          <w:lang w:val="el" w:eastAsia="el"/>
        </w:rPr>
      </w:pPr>
      <w:r>
        <w:rPr>
          <w:b/>
          <w:bCs/>
          <w:lang w:val="el" w:eastAsia="el"/>
        </w:rPr>
        <w:t>-</w:t>
      </w:r>
      <w:r>
        <w:rPr>
          <w:b/>
          <w:bCs/>
          <w:lang w:val="en" w:eastAsia="en"/>
        </w:rPr>
        <w:tab/>
      </w:r>
      <w:r>
        <w:rPr>
          <w:b/>
          <w:bCs/>
          <w:lang w:val="el" w:eastAsia="el"/>
        </w:rPr>
        <w:t>του Ν. 4324/1963 (ΦΕΚ 152) και</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4 του Α. Ν. 156/1967 (ΦΕΚ 179),</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Ν.Δ. 1674/1942 (ΦΕΚ 240), του άρθρου μόνου του από 31.10.1942 Ν.Δ. (ΦΕΚ 296), του άρθρου 20 του Α.Ν. 154/1967 (ΦΕΚ 180).</w:t>
      </w:r>
    </w:p>
    <w:p>
      <w:pPr>
        <w:spacing w:before="240" w:after="240"/>
        <w:rPr>
          <w:lang w:val="el" w:eastAsia="el"/>
        </w:rPr>
      </w:pPr>
      <w:r>
        <w:rPr>
          <w:b/>
          <w:bCs/>
          <w:lang w:val="el" w:eastAsia="el"/>
        </w:rPr>
        <w:t>Η κατάργηση των πιο πάνω διατάξεων αφορά και την περιοχή του Αγίου Όρους.</w:t>
      </w:r>
    </w:p>
    <w:p>
      <w:pPr>
        <w:pStyle w:val="MainText"/>
        <w:spacing w:before="120" w:after="0"/>
        <w:rPr>
          <w:lang w:val="el" w:eastAsia="el"/>
        </w:rPr>
      </w:pPr>
      <w:r>
        <w:rPr>
          <w:b/>
          <w:bCs/>
          <w:lang w:val="el" w:eastAsia="el"/>
        </w:rPr>
        <w:t>2.</w:t>
      </w:r>
      <w:r>
        <w:rPr>
          <w:b/>
          <w:bCs/>
          <w:lang w:val="el" w:eastAsia="el"/>
        </w:rPr>
        <w:t xml:space="preserve"> Με προεδρικά διατάγματα, που εκδίδονται ύστερα από πρόταση του Υπ. Οικονομικών, μπορούν να τροποποιούνται, συμπληρώνονται ή καταργούνται οι διατάξεις του Κώδικα Βιβλίων και Στοιχείων με σκοπό την εναρμόνισή τους με τις διατάξεις του παρόντος νόμου.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b/>
          <w:bCs/>
          <w:lang w:val="el" w:eastAsia="el"/>
        </w:rPr>
        <w:t xml:space="preserve"> Οι δηλώσεις , τα πιστοποιητικά του Προϊσταμένου ΔΟΥ και κάθε άλλης αρχής, καθώς και κάθε άλλο έγγραφο που εκδίδεται για την εφαρμογή του παρόντος νόμου δεν υπόκεινται σε τέλος χαρτοσήμου ή άλλη επιβάρυνση.</w:t>
      </w:r>
    </w:p>
    <w:p>
      <w:pPr>
        <w:spacing w:before="240" w:after="240"/>
        <w:rPr>
          <w:lang w:val="el" w:eastAsia="el"/>
        </w:rPr>
      </w:pPr>
      <w:r>
        <w:rPr>
          <w:b/>
          <w:bCs/>
          <w:lang w:val="el" w:eastAsia="el"/>
        </w:rPr>
        <w:t>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41, δεν υπόκειται σε φόρο προστιθέμενης αξίας και χαρτόσημο.</w:t>
      </w:r>
    </w:p>
    <w:p>
      <w:pPr>
        <w:pStyle w:val="MainText"/>
        <w:spacing w:before="120" w:after="0"/>
        <w:rPr>
          <w:lang w:val="el" w:eastAsia="el"/>
        </w:rPr>
      </w:pPr>
      <w:r>
        <w:rPr>
          <w:b/>
          <w:bCs/>
          <w:lang w:val="el" w:eastAsia="el"/>
        </w:rPr>
        <w:t>2.</w:t>
      </w:r>
      <w:r>
        <w:rPr>
          <w:b/>
          <w:bCs/>
          <w:lang w:val="el" w:eastAsia="el"/>
        </w:rPr>
        <w:t xml:space="preserve"> Ο Υπουργός των Οικονομικών εγκρίνει και εντέλλεται με αποφάσεις του κάθε δαπάνη που είναι αναγκαία για την εκτέλεση και εφαρμογή των διατάξεων του παρόντος νόμου. Με τις αποφάσεις αυτές εγκρίνεται και η καταβολή στους εφοριακούς υπαλλήλους, στους υπαλλήλους που είναι αποσπασμένοι στην Κεντρική Υπηρεσία των Διευθύνσεων Φορολογίας και Δημοσίας Περιουσίας του Υπουργείου Οικονομικών, την Υπηρεσία Ελέγχου Διακίνησης Αγαθών (ΥΠ.Ε.Δ.Α.) και τα παραρτήματα αυτής και τις Δημόσιες Οικονομικές Υπηρεσίες (Δ.Ο.Υ) του Κράτους και στους επιθεωρητές Δημοσίων Οικονομικών Υπηρεσιών (Δ.Ο.Υ.), αμοιβής για την πέραν της πενθήμερης εργασίας τους απασχόληση τους σε εθελοντική βάση.</w:t>
      </w:r>
    </w:p>
    <w:p>
      <w:pPr>
        <w:spacing w:before="240" w:after="240"/>
        <w:rPr>
          <w:lang w:val="el" w:eastAsia="el"/>
        </w:rPr>
      </w:pPr>
      <w:r>
        <w:rPr>
          <w:b/>
          <w:bCs/>
          <w:lang w:val="el" w:eastAsia="el"/>
        </w:rPr>
        <w:t>Οι λεπτομέρειες γενικά ως προς τη συγκρότηση και λειτουργία των συνεργείων ελέγχου και ειδικότερα περί του συνολικού αριθμού ημερών και ωρών εργασίας κατά μήνα όσων υπαλλήλων θα μετέχουν σ΄ αυτά και περί την αμοιβή αυτών, καθορίζονται με τις κατά το προηγούμενο εδάφιο αποφάσεις ή του κατά το Νόμο 1558/1985 εξουσιοδοτούμενου από τον Υπουργό οργάνου.</w:t>
      </w:r>
    </w:p>
    <w:p>
      <w:pPr>
        <w:spacing w:before="240" w:after="240"/>
        <w:rPr>
          <w:lang w:val="el" w:eastAsia="el"/>
        </w:rPr>
      </w:pPr>
      <w:r>
        <w:rPr>
          <w:b/>
          <w:bCs/>
          <w:lang w:val="el" w:eastAsia="el"/>
        </w:rPr>
        <w:t>Για την κάλυψη της κατά τα προηγούμενα εδάφια δαπάνης εγγράφεται στον προϋπολογισμό εξόδων του Υπουργείου Οικονομικών η απαιτούμενη πίστωση.</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 του παρόντος νόμου δημοσιεύονται στην Εφημερίδα της Κυβερνήσεως.</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 xml:space="preserve">Έναρξη ισχύος του Ν . 1642/1986 </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στην παρ. 10 του άρθρου 41,</w:t>
      </w:r>
    </w:p>
    <w:p>
      <w:pPr>
        <w:pStyle w:val="StructureList1"/>
        <w:spacing w:before="120" w:after="0"/>
        <w:rPr>
          <w:lang w:val="el" w:eastAsia="el"/>
        </w:rPr>
      </w:pPr>
      <w:r>
        <w:rPr>
          <w:b/>
          <w:bCs/>
          <w:lang w:val="el" w:eastAsia="el"/>
        </w:rPr>
        <w:t>β)</w:t>
      </w:r>
      <w:r>
        <w:rPr>
          <w:b/>
          <w:bCs/>
          <w:lang w:val="en" w:eastAsia="en"/>
        </w:rPr>
        <w:tab/>
      </w:r>
      <w:r>
        <w:rPr>
          <w:b/>
          <w:bCs/>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spacing w:before="240" w:after="240"/>
        <w:rPr>
          <w:lang w:val="el" w:eastAsia="el"/>
        </w:rPr>
      </w:pPr>
      <w:r>
        <w:rPr>
          <w:b/>
          <w:bCs/>
          <w:lang w:val="el" w:eastAsia="el"/>
        </w:rPr>
        <w:t>ΠΑΡΑΡΤΗΜΑ Ι Δραστηριότητες που προβλέπονται στο τελευταίο εδάφιο της παραγράφου 2 του άρθρου 3:</w:t>
      </w:r>
    </w:p>
    <w:p>
      <w:pPr>
        <w:pStyle w:val="MainText"/>
        <w:spacing w:before="120" w:after="0"/>
        <w:rPr>
          <w:lang w:val="el" w:eastAsia="el"/>
        </w:rPr>
      </w:pPr>
      <w:r>
        <w:rPr>
          <w:b/>
          <w:bCs/>
          <w:lang w:val="el" w:eastAsia="el"/>
        </w:rPr>
        <w:t>1.</w:t>
      </w:r>
      <w:r>
        <w:rPr>
          <w:b/>
          <w:bCs/>
          <w:lang w:val="el" w:eastAsia="el"/>
        </w:rPr>
        <w:t xml:space="preserve"> Τηλεπικοινωνίες.</w:t>
      </w:r>
    </w:p>
    <w:p>
      <w:pPr>
        <w:pStyle w:val="MainText"/>
        <w:spacing w:before="120" w:after="0"/>
        <w:rPr>
          <w:lang w:val="el" w:eastAsia="el"/>
        </w:rPr>
      </w:pPr>
      <w:r>
        <w:rPr>
          <w:b/>
          <w:bCs/>
          <w:lang w:val="el" w:eastAsia="el"/>
        </w:rPr>
        <w:t>2.</w:t>
      </w:r>
      <w:r>
        <w:rPr>
          <w:b/>
          <w:bCs/>
          <w:lang w:val="el" w:eastAsia="el"/>
        </w:rPr>
        <w:t xml:space="preserve"> Διανομή ηλεκτρισμού, αερίου και θερμικής ενέργειας.</w:t>
      </w:r>
    </w:p>
    <w:p>
      <w:pPr>
        <w:pStyle w:val="MainText"/>
        <w:spacing w:before="120" w:after="0"/>
        <w:rPr>
          <w:lang w:val="el" w:eastAsia="el"/>
        </w:rPr>
      </w:pPr>
      <w:r>
        <w:rPr>
          <w:b/>
          <w:bCs/>
          <w:lang w:val="el" w:eastAsia="el"/>
        </w:rPr>
        <w:t>3.</w:t>
      </w:r>
      <w:r>
        <w:rPr>
          <w:b/>
          <w:bCs/>
          <w:lang w:val="el" w:eastAsia="el"/>
        </w:rPr>
        <w:t xml:space="preserve"> Μεταφορά αγαθών.</w:t>
      </w:r>
    </w:p>
    <w:p>
      <w:pPr>
        <w:pStyle w:val="MainText"/>
        <w:spacing w:before="120" w:after="0"/>
        <w:rPr>
          <w:lang w:val="el" w:eastAsia="el"/>
        </w:rPr>
      </w:pPr>
      <w:r>
        <w:rPr>
          <w:b/>
          <w:bCs/>
          <w:lang w:val="el" w:eastAsia="el"/>
        </w:rPr>
        <w:t>4.</w:t>
      </w:r>
      <w:r>
        <w:rPr>
          <w:b/>
          <w:bCs/>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b/>
          <w:bCs/>
          <w:lang w:val="el" w:eastAsia="el"/>
        </w:rPr>
        <w:t xml:space="preserve"> Μεταφορά προσώπων.</w:t>
      </w:r>
    </w:p>
    <w:p>
      <w:pPr>
        <w:pStyle w:val="MainText"/>
        <w:spacing w:before="120" w:after="0"/>
        <w:rPr>
          <w:lang w:val="el" w:eastAsia="el"/>
        </w:rPr>
      </w:pPr>
      <w:r>
        <w:rPr>
          <w:b/>
          <w:bCs/>
          <w:lang w:val="el" w:eastAsia="el"/>
        </w:rPr>
        <w:t>6.</w:t>
      </w:r>
      <w:r>
        <w:rPr>
          <w:b/>
          <w:bCs/>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b/>
          <w:bCs/>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b/>
          <w:bCs/>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b/>
          <w:bCs/>
          <w:lang w:val="el" w:eastAsia="el"/>
        </w:rPr>
        <w:t xml:space="preserve"> Εναποθήκευση.</w:t>
      </w:r>
    </w:p>
    <w:p>
      <w:pPr>
        <w:pStyle w:val="MainText"/>
        <w:spacing w:before="120" w:after="0"/>
        <w:rPr>
          <w:lang w:val="el" w:eastAsia="el"/>
        </w:rPr>
      </w:pPr>
      <w:r>
        <w:rPr>
          <w:b/>
          <w:bCs/>
          <w:lang w:val="el" w:eastAsia="el"/>
        </w:rPr>
        <w:t>10.</w:t>
      </w:r>
      <w:r>
        <w:rPr>
          <w:b/>
          <w:bCs/>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b/>
          <w:bCs/>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b/>
          <w:bCs/>
          <w:lang w:val="el" w:eastAsia="el"/>
        </w:rPr>
        <w:t xml:space="preserve"> Εργασίες κυλικείων και λεσχών επιχειρήσεων, πρατηρίων και παρόμοιων καταστημάτων.</w:t>
      </w:r>
    </w:p>
    <w:p>
      <w:pPr>
        <w:pStyle w:val="MainText"/>
        <w:spacing w:before="120" w:after="0"/>
        <w:rPr>
          <w:lang w:val="el" w:eastAsia="el"/>
        </w:rPr>
      </w:pPr>
      <w:r>
        <w:rPr>
          <w:b/>
          <w:bCs/>
          <w:lang w:val="el" w:eastAsia="el"/>
        </w:rPr>
        <w:t>13.</w:t>
      </w:r>
      <w:r>
        <w:rPr>
          <w:b/>
          <w:bCs/>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ΠΑΡΑΡΤΗΜΑ II Πεδίο εδαφικής εφαρμογής</w:t>
      </w:r>
      <w:r>
        <w:rPr>
          <w:rStyle w:val="Hyperlink"/>
          <w:b/>
          <w:bCs/>
          <w:color w:val="000000"/>
          <w:sz w:val="20"/>
          <w:szCs w:val="20"/>
          <w:u w:val="none" w:color="0000EE"/>
          <w:vertAlign w:val="superscript"/>
          <w:lang w:val="el" w:eastAsia="el"/>
        </w:rPr>
        <w:footnoteReference w:id="703"/>
      </w:r>
    </w:p>
    <w:p>
      <w:pPr>
        <w:pStyle w:val="MainText"/>
        <w:spacing w:before="120" w:after="0"/>
        <w:rPr>
          <w:lang w:val="el" w:eastAsia="el"/>
        </w:rPr>
      </w:pPr>
      <w:r>
        <w:rPr>
          <w:b/>
          <w:bCs/>
          <w:lang w:val="el" w:eastAsia="el"/>
        </w:rPr>
        <w:t>1.</w:t>
      </w:r>
      <w:r>
        <w:rPr>
          <w:b/>
          <w:bCs/>
          <w:lang w:val="el" w:eastAsia="el"/>
        </w:rPr>
        <w:t xml:space="preserve"> «Ευρωπαϊκή Ένωση» και «έδαφος της Ευρωπαϊκής Ένωσης» είναι το σύνολο των κρατών - μελών της Ένωσης στο οποίο εφαρμόζεται η Συνθήκη για την Ευρωπαϊκή Ένωση σύμφωνα με το άρθρο 52 αυτής και η Συνθήκη για τη Λειτουργία της Ευρωπαϊκής Ένωσης σύμφωνα με τα άρθρα 349 και 355 αυτής, εκτός από τα εδάφη που αναφέρονται στην παράγραφο 2 του παρόντος.</w:t>
      </w:r>
      <w:r>
        <w:rPr>
          <w:rStyle w:val="Hyperlink"/>
          <w:b/>
          <w:bCs/>
          <w:color w:val="000000"/>
          <w:sz w:val="20"/>
          <w:szCs w:val="20"/>
          <w:u w:val="none" w:color="0000EE"/>
          <w:vertAlign w:val="superscript"/>
          <w:lang w:val="el" w:eastAsia="el"/>
        </w:rPr>
        <w:footnoteReference w:id="704"/>
      </w:r>
    </w:p>
    <w:p>
      <w:pPr>
        <w:pStyle w:val="MainText"/>
        <w:spacing w:before="120" w:after="0"/>
        <w:rPr>
          <w:lang w:val="el" w:eastAsia="el"/>
        </w:rPr>
      </w:pPr>
      <w:r>
        <w:rPr>
          <w:b/>
          <w:bCs/>
          <w:lang w:val="el" w:eastAsia="el"/>
        </w:rPr>
        <w:t>2.</w:t>
      </w:r>
      <w:r>
        <w:rPr>
          <w:b/>
          <w:bCs/>
          <w:lang w:val="el" w:eastAsia="el"/>
        </w:rPr>
        <w:t xml:space="preserve"> Από το πεδίο εδαφικής εφαρμογής του παρόντος Κώδικα εξαιρούνται:</w:t>
      </w:r>
      <w:r>
        <w:rPr>
          <w:rStyle w:val="Hyperlink"/>
          <w:b/>
          <w:bCs/>
          <w:color w:val="000000"/>
          <w:sz w:val="20"/>
          <w:szCs w:val="20"/>
          <w:u w:val="none" w:color="0000EE"/>
          <w:vertAlign w:val="superscript"/>
          <w:lang w:val="el" w:eastAsia="el"/>
        </w:rPr>
        <w:footnoteReference w:id="705"/>
      </w:r>
    </w:p>
    <w:p>
      <w:pPr>
        <w:pStyle w:val="StructureList1"/>
        <w:spacing w:before="120" w:after="0"/>
        <w:rPr>
          <w:lang w:val="el" w:eastAsia="el"/>
        </w:rPr>
      </w:pPr>
      <w:r>
        <w:rPr>
          <w:b/>
          <w:bCs/>
          <w:lang w:val="el" w:eastAsia="el"/>
        </w:rPr>
        <w:t>α)</w:t>
      </w:r>
      <w:r>
        <w:rPr>
          <w:b/>
          <w:bCs/>
          <w:lang w:val="en" w:eastAsia="en"/>
        </w:rPr>
        <w:tab/>
      </w:r>
      <w:r>
        <w:rPr>
          <w:b/>
          <w:bCs/>
          <w:lang w:val="el" w:eastAsia="el"/>
        </w:rPr>
        <w:t>Τα ακόλουθα εθνικά εδάφη, τα οποία δεν αποτελούν τμήμα του τελωνειακού εδάφους της Ευρωπαϊκής Ένωσης:</w:t>
      </w:r>
      <w:r>
        <w:rPr>
          <w:rStyle w:val="Hyperlink"/>
          <w:b/>
          <w:bCs/>
          <w:color w:val="000000"/>
          <w:sz w:val="20"/>
          <w:szCs w:val="20"/>
          <w:u w:val="none" w:color="0000EE"/>
          <w:vertAlign w:val="superscript"/>
          <w:lang w:val="el" w:eastAsia="el"/>
        </w:rPr>
        <w:footnoteReference w:id="706"/>
      </w:r>
    </w:p>
    <w:p>
      <w:pPr>
        <w:spacing w:before="240" w:after="240"/>
        <w:rPr>
          <w:lang w:val="el" w:eastAsia="el"/>
        </w:rPr>
      </w:pPr>
      <w:r>
        <w:rPr>
          <w:b/>
          <w:bCs/>
          <w:lang w:val="el" w:eastAsia="el"/>
        </w:rPr>
        <w:t>-Νήσος Ελιγολάνδη και περιοχή Μπύζιγκεν (Busingen) της Ομοσπονδιακής Δημοκρατίας της Γερμανίας.</w:t>
      </w:r>
    </w:p>
    <w:p>
      <w:pPr>
        <w:spacing w:before="240" w:after="240"/>
        <w:rPr>
          <w:lang w:val="el" w:eastAsia="el"/>
        </w:rPr>
      </w:pPr>
      <w:r>
        <w:rPr>
          <w:b/>
          <w:bCs/>
          <w:lang w:val="el" w:eastAsia="el"/>
        </w:rPr>
        <w:t>-Θέουτα και Μελίλλια του Βασιλείου της Ισπανίας.</w:t>
      </w:r>
    </w:p>
    <w:p>
      <w:pPr>
        <w:spacing w:before="240" w:after="240"/>
        <w:rPr>
          <w:lang w:val="el" w:eastAsia="el"/>
        </w:rPr>
      </w:pPr>
      <w:r>
        <w:rPr>
          <w:b/>
          <w:bCs/>
          <w:lang w:val="el" w:eastAsia="el"/>
        </w:rPr>
        <w:t>-Δήμοι Λιβίνιο και Καμπιόνε ντ’ Ιτάλια καθώς και τα ύδατα της λίμνης Λουγκάνο της Ιταλικής Δημοκρατίας.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ακόλουθα εθνικά εδάφη, τα οποία αποτελούν τμήμα του τελωνειακού εδάφους της ΕυρωπαϊκήςΈνω-σης (ειδικά φορολογικά εδάφη):</w:t>
      </w:r>
      <w:r>
        <w:rPr>
          <w:rStyle w:val="Hyperlink"/>
          <w:b/>
          <w:bCs/>
          <w:color w:val="000000"/>
          <w:sz w:val="20"/>
          <w:szCs w:val="20"/>
          <w:u w:val="none" w:color="0000EE"/>
          <w:vertAlign w:val="superscript"/>
          <w:lang w:val="el" w:eastAsia="el"/>
        </w:rPr>
        <w:footnoteReference w:id="707"/>
      </w:r>
    </w:p>
    <w:p>
      <w:pPr>
        <w:pStyle w:val="StructureList1"/>
        <w:spacing w:before="120" w:after="0"/>
        <w:rPr>
          <w:lang w:val="el" w:eastAsia="el"/>
        </w:rPr>
      </w:pPr>
      <w:r>
        <w:rPr>
          <w:b/>
          <w:bCs/>
          <w:lang w:val="el" w:eastAsia="el"/>
        </w:rPr>
        <w:t>-</w:t>
      </w:r>
      <w:r>
        <w:rPr>
          <w:b/>
          <w:bCs/>
          <w:lang w:val="en" w:eastAsia="en"/>
        </w:rPr>
        <w:tab/>
      </w:r>
      <w:r>
        <w:rPr>
          <w:b/>
          <w:bCs/>
          <w:lang w:val="el" w:eastAsia="el"/>
        </w:rPr>
        <w:t>`Αγιο Όρος της Ελληνικής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Υπερπόντια διαμερίσματα της Γαλλικής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Κανάρια νησιά του Βασιλείου της Ισπανίας.</w:t>
      </w:r>
    </w:p>
    <w:p>
      <w:pPr>
        <w:spacing w:before="240" w:after="240"/>
        <w:rPr>
          <w:lang w:val="el" w:eastAsia="el"/>
        </w:rPr>
      </w:pPr>
      <w:r>
        <w:rPr>
          <w:b/>
          <w:bCs/>
          <w:lang w:val="el" w:eastAsia="el"/>
        </w:rPr>
        <w:t>-Νήσοι Άαλαντ (Aland) της Φινλανδικής Δημοκρατίας.</w:t>
      </w:r>
    </w:p>
    <w:p>
      <w:pPr>
        <w:spacing w:before="240" w:after="240"/>
        <w:rPr>
          <w:lang w:val="el" w:eastAsia="el"/>
        </w:rPr>
      </w:pPr>
      <w:r>
        <w:rPr>
          <w:b/>
          <w:bCs/>
          <w:lang w:val="el" w:eastAsia="el"/>
        </w:rPr>
        <w:t>-Αγγλονορμανδικές νήσοι (Channel Islands: Alderney, Jersey, Guernsey, Sark, Herrn και Les Minquires).</w:t>
      </w:r>
    </w:p>
    <w:p>
      <w:pPr>
        <w:pStyle w:val="StructureList1"/>
        <w:spacing w:before="120" w:after="0"/>
        <w:rPr>
          <w:lang w:val="el" w:eastAsia="el"/>
        </w:rPr>
      </w:pPr>
      <w:r>
        <w:rPr>
          <w:b/>
          <w:bCs/>
          <w:lang w:val="el" w:eastAsia="el"/>
        </w:rPr>
        <w:t>-</w:t>
      </w:r>
      <w:r>
        <w:rPr>
          <w:b/>
          <w:bCs/>
          <w:lang w:val="en" w:eastAsia="en"/>
        </w:rPr>
        <w:tab/>
      </w:r>
      <w:r>
        <w:rPr>
          <w:b/>
          <w:bCs/>
          <w:lang w:val="el" w:eastAsia="el"/>
        </w:rPr>
        <w:t>Γαλλικά εδάφη που αναφέρονται στα άρθρα 349 και 355 παρ. 1 της Συνθήκης για τη Λειτουργία της Ευρωπαϊκής Ένωσης (Γαλλική Γουιάνα, Γουαδελούπη, Μαρτινίκα, Ρεϋνιόν και Μαγιότ).</w:t>
      </w:r>
      <w:r>
        <w:rPr>
          <w:rStyle w:val="Hyperlink"/>
          <w:b/>
          <w:bCs/>
          <w:color w:val="000000"/>
          <w:sz w:val="20"/>
          <w:szCs w:val="20"/>
          <w:u w:val="none" w:color="0000EE"/>
          <w:vertAlign w:val="superscript"/>
          <w:lang w:val="el" w:eastAsia="el"/>
        </w:rPr>
        <w:footnoteReference w:id="708"/>
      </w:r>
    </w:p>
    <w:p>
      <w:pPr>
        <w:pStyle w:val="MainText"/>
        <w:spacing w:before="120" w:after="0"/>
        <w:rPr>
          <w:lang w:val="el" w:eastAsia="el"/>
        </w:rPr>
      </w:pPr>
      <w:r>
        <w:rPr>
          <w:b/>
          <w:bCs/>
          <w:lang w:val="el" w:eastAsia="el"/>
        </w:rPr>
        <w:t>3.</w:t>
      </w:r>
      <w:r>
        <w:rPr>
          <w:b/>
          <w:bCs/>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w:t>
      </w:r>
    </w:p>
    <w:p>
      <w:pPr>
        <w:spacing w:before="240" w:after="240"/>
        <w:rPr>
          <w:lang w:val="el" w:eastAsia="el"/>
        </w:rPr>
      </w:pPr>
      <w:r>
        <w:rPr>
          <w:b/>
          <w:bCs/>
          <w:lang w:val="el" w:eastAsia="el"/>
        </w:rPr>
        <w:t>Επίσης πράξεις που διενεργούνται μεταξύ της Ελλάδος και του νησιού Μαν, θεωρούνται ως πράξεις διενεργούμενες από ή προς το Ηνωμένο Βασίλειο της Μεγάλης Βρετανίας και Βορείου Ιρλανδίας.</w:t>
      </w:r>
    </w:p>
    <w:p>
      <w:pPr>
        <w:spacing w:before="240" w:after="240"/>
        <w:rPr>
          <w:lang w:val="el" w:eastAsia="el"/>
        </w:rPr>
      </w:pPr>
      <w:r>
        <w:rPr>
          <w:b/>
          <w:bCs/>
          <w:lang w:val="el" w:eastAsia="el"/>
        </w:rPr>
        <w:t>Πράξεις που διενεργούνται από ή προς τις περιοχές των ζωνών κυριαρχίας του Ηνωμένου Βασιλείου στο Ακρωτήρι και τη Δεκέλεια αντιμετωπίζονται ως πράξεις διενεργούμενες από ή προς την Κύπρο.</w:t>
      </w:r>
      <w:r>
        <w:rPr>
          <w:rStyle w:val="Hyperlink"/>
          <w:b/>
          <w:bCs/>
          <w:color w:val="000000"/>
          <w:sz w:val="20"/>
          <w:szCs w:val="20"/>
          <w:u w:val="none" w:color="0000EE"/>
          <w:vertAlign w:val="superscript"/>
          <w:lang w:val="el" w:eastAsia="el"/>
        </w:rPr>
        <w:footnoteReference w:id="709"/>
      </w:r>
    </w:p>
    <w:p>
      <w:pPr>
        <w:pStyle w:val="MainText"/>
        <w:spacing w:before="120" w:after="0"/>
        <w:rPr>
          <w:lang w:val="el" w:eastAsia="el"/>
        </w:rPr>
      </w:pPr>
      <w:r>
        <w:rPr>
          <w:b/>
          <w:bCs/>
          <w:lang w:val="el" w:eastAsia="el"/>
        </w:rPr>
        <w:t>4.</w:t>
      </w:r>
      <w:r>
        <w:rPr>
          <w:b/>
          <w:bCs/>
          <w:lang w:val="el" w:eastAsia="el"/>
        </w:rPr>
        <w:t xml:space="preserve"> «Τρίτα εδάφη» νοούνται τα εδάφη τα οποία απα-ριθμούνται στην παράγραφο 2 του παρόντος. «Τρίτες χώρες» νοούνται τα κράτη ή εδάφη στα οποία δεν εφαρμόζεται η Συνθήκη για την Ευρωπαϊκή Ένωση και η Συνθήκη για τη Λειτουργία της Ευρωπαϊκής Ένωσης.</w:t>
      </w:r>
      <w:r>
        <w:rPr>
          <w:rStyle w:val="Hyperlink"/>
          <w:b/>
          <w:bCs/>
          <w:color w:val="000000"/>
          <w:sz w:val="20"/>
          <w:szCs w:val="20"/>
          <w:u w:val="none" w:color="0000EE"/>
          <w:vertAlign w:val="superscript"/>
          <w:lang w:val="el" w:eastAsia="el"/>
        </w:rPr>
        <w:footnoteReference w:id="710"/>
      </w:r>
    </w:p>
    <w:p>
      <w:pPr>
        <w:pStyle w:val="Title"/>
        <w:spacing w:before="120" w:after="360"/>
        <w:rPr>
          <w:lang w:val="el" w:eastAsia="el"/>
        </w:rPr>
      </w:pPr>
      <w:r>
        <w:rPr>
          <w:b/>
          <w:bCs/>
          <w:lang w:val="el" w:eastAsia="el"/>
        </w:rPr>
        <w:t>Παράρτημα III</w:t>
      </w:r>
      <w:r>
        <w:rPr>
          <w:rStyle w:val="Hyperlink"/>
          <w:b/>
          <w:bCs/>
          <w:color w:val="000000"/>
          <w:sz w:val="20"/>
          <w:szCs w:val="20"/>
          <w:u w:val="none" w:color="0000EE"/>
          <w:vertAlign w:val="superscript"/>
          <w:lang w:val="el" w:eastAsia="el"/>
        </w:rPr>
        <w:footnoteReference w:id="711"/>
      </w:r>
    </w:p>
    <w:p>
      <w:pPr>
        <w:rPr>
          <w:lang w:val="el" w:eastAsia="el"/>
        </w:rPr>
      </w:pPr>
      <w:r>
        <w:rPr>
          <w:b/>
          <w:bCs/>
          <w:lang w:val="el" w:eastAsia="el"/>
        </w:rPr>
        <w:t>ΑΓΑΘΑ ΚΑΙ ΥΠΗΡΕΣΙΕΣ ΠΟΥ ΥΠΑΓΟΝΤΑΙ ΣΕ ΜΕΙΩΜΕΝΟ ΣΥΝΤΕΛΕΣΤΗ</w:t>
      </w:r>
    </w:p>
    <w:p>
      <w:pPr>
        <w:spacing w:before="240" w:after="240"/>
        <w:rPr>
          <w:b/>
          <w:bCs/>
          <w:lang w:val="el" w:eastAsia="el"/>
        </w:rPr>
      </w:pPr>
      <w:r>
        <w:rPr>
          <w:b/>
          <w:bCs/>
          <w:lang w:val="el" w:eastAsia="el"/>
        </w:rPr>
        <w:t>(παράγραφος 1 του άρθρου 21)</w:t>
      </w:r>
    </w:p>
    <w:p>
      <w:pPr>
        <w:spacing w:before="240" w:after="240"/>
        <w:rPr>
          <w:b/>
          <w:bCs/>
          <w:lang w:val="el" w:eastAsia="el"/>
        </w:rPr>
      </w:pPr>
      <w:r>
        <w:rPr>
          <w:b/>
          <w:bCs/>
          <w:lang w:val="el" w:eastAsia="el"/>
        </w:rPr>
        <w:t>Α. ΑΓΑΘΑ</w:t>
      </w:r>
    </w:p>
    <w:p>
      <w:pPr>
        <w:spacing w:before="240" w:after="240"/>
        <w:rPr>
          <w:b/>
          <w:bCs/>
          <w:lang w:val="el" w:eastAsia="el"/>
        </w:rPr>
      </w:pPr>
      <w:r>
        <w:rPr>
          <w:b/>
          <w:bCs/>
          <w:lang w:val="el" w:eastAsia="el"/>
        </w:rPr>
        <w:t>Οι δασμολογικές κλάσεις του Παραρτήματος αυτού τέθηκαν, όπως αυτές αναφέρονται στη Συνδυασμένη Ονοματολογία που καθορίστηκε με τον Κανονισμό (ΕΟΚ) αριθμ. 2658/87 του Συμβουλίου της 23ης Ιουλίου 1987 (EE L 256), όπως έχει τροποποιηθεί με τον Εκτελεστικό Κανονισμό (ΕΕ) αριθμ. 2016/1821 της Επιτροπής της 6ης Οκτωβρίου 2016 (EE L 294/2016) και ισχύει. Όπου πριν από μια δασμολογική κλάση του παρόντος Παραρτήματος υπάρχει η ένδειξη ΕΧ, στον εφαρμοστέο συντελεστή Φ.Π.Α. υπάγονται μόνο τα προϊόντα που κατονομάζονται ρητά στη συγκεκριμένη παράγραφο του Παραρτήματος και όχι το σύνολο των προϊόντων που έχουν καταταγεί στην εν λόγω δασμολογική κλάση, ενώ, όταν μια δασμολογική κλάση αναγράφεται χωρίς το πρόθεμα ΕΧ, ο συντελεστής Φ.Π.Α. αφορά το σύνολο των προϊόντων που έχουν καταταγεί σε αυτή.</w:t>
      </w:r>
      <w:r>
        <w:rPr>
          <w:rStyle w:val="Hyperlink"/>
          <w:b/>
          <w:bCs/>
          <w:color w:val="000000"/>
          <w:sz w:val="20"/>
          <w:szCs w:val="20"/>
          <w:u w:val="none" w:color="0000EE"/>
          <w:vertAlign w:val="superscript"/>
          <w:lang w:val="el" w:eastAsia="el"/>
        </w:rPr>
        <w:footnoteReference w:id="712"/>
      </w:r>
    </w:p>
    <w:p>
      <w:pPr>
        <w:spacing w:before="240" w:after="240"/>
        <w:rPr>
          <w:b/>
          <w:bCs/>
          <w:lang w:val="el" w:eastAsia="el"/>
        </w:rPr>
      </w:pPr>
      <w:r>
        <w:rPr>
          <w:b/>
          <w:bCs/>
          <w:lang w:val="el" w:eastAsia="el"/>
        </w:rPr>
        <w:t>1. Άλογα, γαϊδούρια και μουλάρια κάθε είδους, βοοειδή, χοιροειδή, προβατοειδή και αιγοειδή, ζωντανά. Εξαιρούνται τα άλογα ιπποδρομιών (Δ.Κ. ΕΧ 0101,0102, 0103, 0104).</w:t>
      </w:r>
      <w:r>
        <w:rPr>
          <w:rStyle w:val="Hyperlink"/>
          <w:b/>
          <w:bCs/>
          <w:color w:val="000000"/>
          <w:sz w:val="20"/>
          <w:szCs w:val="20"/>
          <w:u w:val="none" w:color="0000EE"/>
          <w:vertAlign w:val="superscript"/>
          <w:lang w:val="el" w:eastAsia="el"/>
        </w:rPr>
        <w:footnoteReference w:id="713"/>
      </w:r>
    </w:p>
    <w:p>
      <w:pPr>
        <w:spacing w:before="240" w:after="240"/>
        <w:rPr>
          <w:b/>
          <w:bCs/>
          <w:lang w:val="el" w:eastAsia="el"/>
        </w:rPr>
      </w:pPr>
      <w:r>
        <w:rPr>
          <w:b/>
          <w:bCs/>
          <w:lang w:val="el" w:eastAsia="el"/>
        </w:rPr>
        <w:t>2. Πετεινοί, κότες, πάπιες, χήνες, γάλοι, γαλοπούλες και φραγκόκοτες, ζωντανά (Δ.Κ. 0105).</w:t>
      </w:r>
      <w:r>
        <w:rPr>
          <w:rStyle w:val="Hyperlink"/>
          <w:b/>
          <w:bCs/>
          <w:color w:val="000000"/>
          <w:sz w:val="20"/>
          <w:szCs w:val="20"/>
          <w:u w:val="none" w:color="0000EE"/>
          <w:vertAlign w:val="superscript"/>
          <w:lang w:val="el" w:eastAsia="el"/>
        </w:rPr>
        <w:footnoteReference w:id="714"/>
      </w:r>
    </w:p>
    <w:p>
      <w:pPr>
        <w:spacing w:before="240" w:after="240"/>
        <w:rPr>
          <w:b/>
          <w:bCs/>
          <w:lang w:val="el" w:eastAsia="el"/>
        </w:rPr>
      </w:pPr>
      <w:r>
        <w:rPr>
          <w:b/>
          <w:bCs/>
          <w:lang w:val="el" w:eastAsia="el"/>
        </w:rPr>
        <w:t>3. Κουνέλια, περιστέρια, ορτύκια, φασιανοί, πέρδικες, λαγοί και λοιπά ζώα και πτηνά, ζωντανά, που προορίζονται για την ανθρώπινη διατροφή. Ζώα που εκτρέφονται για τη γουνοποιία. Μέλισσες. Ακάρεα (έντομα που χρησιμοποιούνται στις καλλιέργειες αντί εντομοκτόνων) (Δ.Κ. ΕΧ 0106).</w:t>
      </w:r>
      <w:r>
        <w:rPr>
          <w:rStyle w:val="Hyperlink"/>
          <w:b/>
          <w:bCs/>
          <w:color w:val="000000"/>
          <w:sz w:val="20"/>
          <w:szCs w:val="20"/>
          <w:u w:val="none" w:color="0000EE"/>
          <w:vertAlign w:val="superscript"/>
          <w:lang w:val="el" w:eastAsia="el"/>
        </w:rPr>
        <w:footnoteReference w:id="715"/>
      </w:r>
    </w:p>
    <w:p>
      <w:pPr>
        <w:spacing w:before="240" w:after="240"/>
        <w:rPr>
          <w:b/>
          <w:bCs/>
          <w:lang w:val="el" w:eastAsia="el"/>
        </w:rPr>
      </w:pPr>
      <w:r>
        <w:rPr>
          <w:b/>
          <w:bCs/>
          <w:lang w:val="el" w:eastAsia="el"/>
        </w:rPr>
        <w:t>4. Κρέατα και παραπροϊόντα σφαγείων, βρώσιμα (Δ.Κ. 0201, 0202, 0203, 0204, 0205, 0206, 0207, 0208, 0209, 0210).</w:t>
      </w:r>
      <w:r>
        <w:rPr>
          <w:rStyle w:val="Hyperlink"/>
          <w:b/>
          <w:bCs/>
          <w:color w:val="000000"/>
          <w:sz w:val="20"/>
          <w:szCs w:val="20"/>
          <w:u w:val="none" w:color="0000EE"/>
          <w:vertAlign w:val="superscript"/>
          <w:lang w:val="el" w:eastAsia="el"/>
        </w:rPr>
        <w:footnoteReference w:id="716"/>
      </w:r>
    </w:p>
    <w:p>
      <w:pPr>
        <w:spacing w:before="240" w:after="240"/>
        <w:rPr>
          <w:b/>
          <w:bCs/>
          <w:lang w:val="el" w:eastAsia="el"/>
        </w:rPr>
      </w:pPr>
      <w:r>
        <w:rPr>
          <w:b/>
          <w:bCs/>
          <w:lang w:val="el" w:eastAsia="el"/>
        </w:rPr>
        <w:t>5. Ψάρια και ασπόνδυλα υδρόβια ζωντανά νωπά διατηρημένα με απλή ψύξη ή κατεψυγμένα. Εξαιρούνται τα ζωντανά ψάρια για διακόσμηση (Δ.Κ. ΕΧ 0301, 0302, 0303, 0304, 0305, 0306, 0307, 0308).</w:t>
      </w:r>
      <w:r>
        <w:rPr>
          <w:rStyle w:val="Hyperlink"/>
          <w:b/>
          <w:bCs/>
          <w:color w:val="000000"/>
          <w:sz w:val="20"/>
          <w:szCs w:val="20"/>
          <w:u w:val="none" w:color="0000EE"/>
          <w:vertAlign w:val="superscript"/>
          <w:lang w:val="el" w:eastAsia="el"/>
        </w:rPr>
        <w:footnoteReference w:id="717"/>
      </w:r>
    </w:p>
    <w:p>
      <w:pPr>
        <w:spacing w:before="240" w:after="240"/>
        <w:rPr>
          <w:b/>
          <w:bCs/>
          <w:lang w:val="el" w:eastAsia="el"/>
        </w:rPr>
      </w:pPr>
      <w:r>
        <w:rPr>
          <w:b/>
          <w:bCs/>
          <w:lang w:val="el" w:eastAsia="el"/>
        </w:rPr>
        <w:t>6. Γάλα και προϊόντα γαλακτοκομίας. Αυγά πτηνών. Μέλι φυσικό. Προϊόντα βρώσιμα ζωικής προέλευσης που δεν κατονομάζονται αλλού (Δ.Κ. 0401, 0402, 0403, 0404, 0405, 0406, 0407, 0408, 0409, 0410).</w:t>
      </w:r>
      <w:r>
        <w:rPr>
          <w:rStyle w:val="Hyperlink"/>
          <w:b/>
          <w:bCs/>
          <w:color w:val="000000"/>
          <w:sz w:val="20"/>
          <w:szCs w:val="20"/>
          <w:u w:val="none" w:color="0000EE"/>
          <w:vertAlign w:val="superscript"/>
          <w:lang w:val="el" w:eastAsia="el"/>
        </w:rPr>
        <w:footnoteReference w:id="718"/>
      </w:r>
    </w:p>
    <w:p>
      <w:pPr>
        <w:spacing w:before="240" w:after="240"/>
        <w:rPr>
          <w:b/>
          <w:bCs/>
          <w:lang w:val="el" w:eastAsia="el"/>
        </w:rPr>
      </w:pPr>
      <w:r>
        <w:rPr>
          <w:b/>
          <w:bCs/>
          <w:lang w:val="el" w:eastAsia="el"/>
        </w:rPr>
        <w:t>7. Έντερα, κύστες και στομάχια ζώων ολόκληρα ή σε τεμάχια, άλλα από εκείνα των ψαριών, νωπά, διατηρημένα με απλή ψύξη, κατεψυγμένα, αλατισμένα ή σε άλμη, αποξηραμένα ή καπνιστά ( Δ.Κ. 0504).</w:t>
      </w:r>
      <w:r>
        <w:rPr>
          <w:rStyle w:val="Hyperlink"/>
          <w:b/>
          <w:bCs/>
          <w:color w:val="000000"/>
          <w:sz w:val="20"/>
          <w:szCs w:val="20"/>
          <w:u w:val="none" w:color="0000EE"/>
          <w:vertAlign w:val="superscript"/>
          <w:lang w:val="el" w:eastAsia="el"/>
        </w:rPr>
        <w:footnoteReference w:id="719"/>
      </w:r>
    </w:p>
    <w:p>
      <w:pPr>
        <w:spacing w:before="240" w:after="240"/>
        <w:rPr>
          <w:b/>
          <w:bCs/>
          <w:lang w:val="el" w:eastAsia="el"/>
        </w:rPr>
      </w:pPr>
      <w:r>
        <w:rPr>
          <w:b/>
          <w:bCs/>
          <w:lang w:val="el" w:eastAsia="el"/>
        </w:rPr>
        <w:t>8. Βολβοί, κρεμμύδια, κόνδυλοι, ρίζες βολβοειδείς και ριζώματα γενικά, σε φυτική νάρκη, σε βλάστηση ή σε άνθηση. Φυτά φυτωρίου, άλλα φυτά και ρίζες κιχωρίου, άλλες από τις ρίζες της Δ.Κ. 1212. Άλλα φυτά ζωντανά (στα οποία περιλαμβάνονται και οι ρίζες τους), μοσχεύματα και μπόλια. Λευκό (φύτρα) μανιταριών (Δ.Κ. 0601,0602).</w:t>
      </w:r>
      <w:r>
        <w:rPr>
          <w:rStyle w:val="Hyperlink"/>
          <w:b/>
          <w:bCs/>
          <w:color w:val="000000"/>
          <w:sz w:val="20"/>
          <w:szCs w:val="20"/>
          <w:u w:val="none" w:color="0000EE"/>
          <w:vertAlign w:val="superscript"/>
          <w:lang w:val="el" w:eastAsia="el"/>
        </w:rPr>
        <w:footnoteReference w:id="720"/>
      </w:r>
    </w:p>
    <w:p>
      <w:pPr>
        <w:spacing w:before="240" w:after="240"/>
        <w:rPr>
          <w:b/>
          <w:bCs/>
          <w:lang w:val="el" w:eastAsia="el"/>
        </w:rPr>
      </w:pPr>
      <w:r>
        <w:rPr>
          <w:b/>
          <w:bCs/>
          <w:lang w:val="el" w:eastAsia="el"/>
        </w:rPr>
        <w:t>9.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ΕΧ 0604).</w:t>
      </w:r>
      <w:r>
        <w:rPr>
          <w:rStyle w:val="Hyperlink"/>
          <w:b/>
          <w:bCs/>
          <w:color w:val="000000"/>
          <w:sz w:val="20"/>
          <w:szCs w:val="20"/>
          <w:u w:val="none" w:color="0000EE"/>
          <w:vertAlign w:val="superscript"/>
          <w:lang w:val="el" w:eastAsia="el"/>
        </w:rPr>
        <w:footnoteReference w:id="721"/>
      </w:r>
    </w:p>
    <w:p>
      <w:pPr>
        <w:spacing w:before="240" w:after="240"/>
        <w:rPr>
          <w:b/>
          <w:bCs/>
          <w:lang w:val="el" w:eastAsia="el"/>
        </w:rPr>
      </w:pPr>
      <w:r>
        <w:rPr>
          <w:b/>
          <w:bCs/>
          <w:lang w:val="el" w:eastAsia="el"/>
        </w:rPr>
        <w:t>10. Λαχανικά, φυτά, ρίζες και κόνδυλοι, βρώσιμα (Δ.Κ. 0701, 0702, 0703, 0704, 0705, 0706, 0707, 0708, 0709, 0710, 0711,0712, 0713, 0714).</w:t>
      </w:r>
      <w:r>
        <w:rPr>
          <w:rStyle w:val="Hyperlink"/>
          <w:b/>
          <w:bCs/>
          <w:color w:val="000000"/>
          <w:sz w:val="20"/>
          <w:szCs w:val="20"/>
          <w:u w:val="none" w:color="0000EE"/>
          <w:vertAlign w:val="superscript"/>
          <w:lang w:val="el" w:eastAsia="el"/>
        </w:rPr>
        <w:footnoteReference w:id="722"/>
      </w:r>
    </w:p>
    <w:p>
      <w:pPr>
        <w:spacing w:before="240" w:after="240"/>
        <w:rPr>
          <w:b/>
          <w:bCs/>
          <w:lang w:val="el" w:eastAsia="el"/>
        </w:rPr>
      </w:pPr>
      <w:r>
        <w:rPr>
          <w:b/>
          <w:bCs/>
          <w:lang w:val="el" w:eastAsia="el"/>
        </w:rPr>
        <w:t>11. Καρποί και φρούτα βρώσιμα, φλούδες εσπεριδοειδών, πεπονιών και καρπουζιών (Δ.Κ. 0801,0802, 0803, 0804, 0805, 0806, 0807, 0808, 0809, 0810, 0811, 0812, 0813, 0814).</w:t>
      </w:r>
      <w:r>
        <w:rPr>
          <w:rStyle w:val="Hyperlink"/>
          <w:b/>
          <w:bCs/>
          <w:color w:val="000000"/>
          <w:sz w:val="20"/>
          <w:szCs w:val="20"/>
          <w:u w:val="none" w:color="0000EE"/>
          <w:vertAlign w:val="superscript"/>
          <w:lang w:val="el" w:eastAsia="el"/>
        </w:rPr>
        <w:footnoteReference w:id="723"/>
      </w:r>
    </w:p>
    <w:p>
      <w:pPr>
        <w:spacing w:before="240" w:after="240"/>
        <w:rPr>
          <w:b/>
          <w:bCs/>
          <w:lang w:val="el" w:eastAsia="el"/>
        </w:rPr>
      </w:pPr>
      <w:r>
        <w:rPr>
          <w:b/>
          <w:bCs/>
          <w:lang w:val="el" w:eastAsia="el"/>
        </w:rPr>
        <w:t>12. Καφές, τσάι, ματέ και μπαχαρικά (Δ.Κ. 0901, 0902, 0903, 0904, 0905, 0906, 0907, 0908, 0909, 0910).</w:t>
      </w:r>
      <w:r>
        <w:rPr>
          <w:rStyle w:val="Hyperlink"/>
          <w:b/>
          <w:bCs/>
          <w:color w:val="000000"/>
          <w:sz w:val="20"/>
          <w:szCs w:val="20"/>
          <w:u w:val="none" w:color="0000EE"/>
          <w:vertAlign w:val="superscript"/>
          <w:lang w:val="el" w:eastAsia="el"/>
        </w:rPr>
        <w:footnoteReference w:id="724"/>
      </w:r>
    </w:p>
    <w:p>
      <w:pPr>
        <w:spacing w:before="240" w:after="240"/>
        <w:rPr>
          <w:b/>
          <w:bCs/>
          <w:lang w:val="el" w:eastAsia="el"/>
        </w:rPr>
      </w:pPr>
      <w:r>
        <w:rPr>
          <w:b/>
          <w:bCs/>
          <w:lang w:val="el" w:eastAsia="el"/>
        </w:rPr>
        <w:t>13. Δημητριακά (Δ.Κ. 1001, 1002, 1003, 1004, 1005, 1006, 1007, 1008).</w:t>
      </w:r>
      <w:r>
        <w:rPr>
          <w:rStyle w:val="Hyperlink"/>
          <w:b/>
          <w:bCs/>
          <w:color w:val="000000"/>
          <w:sz w:val="20"/>
          <w:szCs w:val="20"/>
          <w:u w:val="none" w:color="0000EE"/>
          <w:vertAlign w:val="superscript"/>
          <w:lang w:val="el" w:eastAsia="el"/>
        </w:rPr>
        <w:footnoteReference w:id="725"/>
      </w:r>
    </w:p>
    <w:p>
      <w:pPr>
        <w:spacing w:before="240" w:after="240"/>
        <w:rPr>
          <w:b/>
          <w:bCs/>
          <w:lang w:val="el" w:eastAsia="el"/>
        </w:rPr>
      </w:pPr>
      <w:r>
        <w:rPr>
          <w:b/>
          <w:bCs/>
          <w:lang w:val="el" w:eastAsia="el"/>
        </w:rPr>
        <w:t>14. Προϊόντα αλευροποιίας. Άμυλα κάθε είδους (Δ.Κ. 1101, 1102, 1103,1104, 1105, 1106, ΕΧ 1108).</w:t>
      </w:r>
      <w:r>
        <w:rPr>
          <w:rStyle w:val="Hyperlink"/>
          <w:b/>
          <w:bCs/>
          <w:color w:val="000000"/>
          <w:sz w:val="20"/>
          <w:szCs w:val="20"/>
          <w:u w:val="none" w:color="0000EE"/>
          <w:vertAlign w:val="superscript"/>
          <w:lang w:val="el" w:eastAsia="el"/>
        </w:rPr>
        <w:footnoteReference w:id="726"/>
      </w:r>
    </w:p>
    <w:p>
      <w:pPr>
        <w:spacing w:before="240" w:after="240"/>
        <w:rPr>
          <w:b/>
          <w:bCs/>
          <w:lang w:val="el" w:eastAsia="el"/>
        </w:rPr>
      </w:pPr>
      <w:r>
        <w:rPr>
          <w:b/>
          <w:bCs/>
          <w:lang w:val="el" w:eastAsia="el"/>
        </w:rPr>
        <w:t>15. Σπέρματα και καρποί ελαιώδεις. Σπέρματα, σπόροι και διάφοροι καρποί (Δ.Κ. 1201, 1202, 1204, 1205, 1206, 1207,1208,1209).</w:t>
      </w:r>
      <w:r>
        <w:rPr>
          <w:rStyle w:val="Hyperlink"/>
          <w:b/>
          <w:bCs/>
          <w:color w:val="000000"/>
          <w:sz w:val="20"/>
          <w:szCs w:val="20"/>
          <w:u w:val="none" w:color="0000EE"/>
          <w:vertAlign w:val="superscript"/>
          <w:lang w:val="el" w:eastAsia="el"/>
        </w:rPr>
        <w:footnoteReference w:id="727"/>
      </w:r>
    </w:p>
    <w:p>
      <w:pPr>
        <w:spacing w:before="240" w:after="240"/>
        <w:rPr>
          <w:b/>
          <w:bCs/>
          <w:lang w:val="el" w:eastAsia="el"/>
        </w:rPr>
      </w:pPr>
      <w:r>
        <w:rPr>
          <w:b/>
          <w:bCs/>
          <w:lang w:val="el" w:eastAsia="el"/>
        </w:rPr>
        <w:t>16. Αρτεμισία, βασιλικός, χαμομήλι, μαντζουράνα η κοινή, μολόχα, δενδρομολόχα, μέντα (δυόσμος) όλων των ποικιλιών, ρίγανη, δενδρολίβανο, φασκόμηλο, τσάι του βουνού, δίκταμο, γριάδα η ιαματική και λουίζα, νωπά ή ξερά, έστω και κομμένα, σπασμένα ή σε σκόνη (Δ.Κ. ΕΧ 1211).</w:t>
      </w:r>
      <w:r>
        <w:rPr>
          <w:rStyle w:val="Hyperlink"/>
          <w:b/>
          <w:bCs/>
          <w:color w:val="000000"/>
          <w:sz w:val="20"/>
          <w:szCs w:val="20"/>
          <w:u w:val="none" w:color="0000EE"/>
          <w:vertAlign w:val="superscript"/>
          <w:lang w:val="el" w:eastAsia="el"/>
        </w:rPr>
        <w:footnoteReference w:id="728"/>
      </w:r>
    </w:p>
    <w:p>
      <w:pPr>
        <w:spacing w:before="240" w:after="240"/>
        <w:rPr>
          <w:b/>
          <w:bCs/>
          <w:lang w:val="el" w:eastAsia="el"/>
        </w:rPr>
      </w:pPr>
      <w:r>
        <w:rPr>
          <w:b/>
          <w:bCs/>
          <w:lang w:val="el" w:eastAsia="el"/>
        </w:rPr>
        <w:t>17. Χαρούπια, ζαχαρότευτλα, ζαχαροκάλαμα, διατηρημένα με απλή ψύξη, κατεψυγμένα ή αποξηραμένα, έστω και σε σκόνη. Κουκούτσια και αμύγδαλα καρπών και άλλα φυτικά προϊόντα (στα οποία περιλαμβάνονται και ρίζες κιχωρίου, μη φρυγμένες, της ποικιλίας CICHO-RIUM INTYBUS SATIVUM), που χρησιμεύουν κυρίως για διατροφή του ανθρώπου και που δεν κατονομάζονται ούτε περιλαμβάνονται αλλού (Δ.Κ. ΕΧ 1212).</w:t>
      </w:r>
      <w:r>
        <w:rPr>
          <w:rStyle w:val="Hyperlink"/>
          <w:b/>
          <w:bCs/>
          <w:color w:val="000000"/>
          <w:sz w:val="20"/>
          <w:szCs w:val="20"/>
          <w:u w:val="none" w:color="0000EE"/>
          <w:vertAlign w:val="superscript"/>
          <w:lang w:val="el" w:eastAsia="el"/>
        </w:rPr>
        <w:footnoteReference w:id="729"/>
      </w:r>
    </w:p>
    <w:p>
      <w:pPr>
        <w:spacing w:before="240" w:after="240"/>
        <w:rPr>
          <w:b/>
          <w:bCs/>
          <w:lang w:val="el" w:eastAsia="el"/>
        </w:rPr>
      </w:pPr>
      <w:r>
        <w:rPr>
          <w:b/>
          <w:bCs/>
          <w:lang w:val="el" w:eastAsia="el"/>
        </w:rPr>
        <w:t>18. Άχυρα και φλοιοί ακατέργαστων δημητριακών, έστω και τεμαχισμένα, αλεσμένα, συμπιεσμένα ή συσσωματωμένα με μορφή σβόλων. Γογγύλια Σουηδίας (γογγυλοκράμβες), τεύτλα κτηνοτροφικά, ρίζες κτηνοτροφικές, χορτονομές (FOIN, LUZERNE), τριφύλλια, κτηνοτροφικά λάχανα, χορτονομές λούπινου, βίκου και παρόμοια κτηνοτροφικά προϊόντα, έστω και συσσωματωμένα με μορφή σβόλων (Δ.Κ. 1213, 1214). Καλαμπόκι, ΕΧ1005, ΕΧ1103, ΕΧ1104. Ο συντελεστής του φόρου για τα αγαθά της παρούσας ορίζεται σε έξι τοις εκατό (6%).</w:t>
      </w:r>
      <w:r>
        <w:rPr>
          <w:rStyle w:val="Hyperlink"/>
          <w:b/>
          <w:bCs/>
          <w:color w:val="000000"/>
          <w:sz w:val="20"/>
          <w:szCs w:val="20"/>
          <w:u w:val="none" w:color="0000EE"/>
          <w:vertAlign w:val="superscript"/>
          <w:lang w:val="el" w:eastAsia="el"/>
        </w:rPr>
        <w:footnoteReference w:id="730"/>
      </w:r>
    </w:p>
    <w:p>
      <w:pPr>
        <w:spacing w:before="240" w:after="240"/>
        <w:rPr>
          <w:b/>
          <w:bCs/>
          <w:lang w:val="el" w:eastAsia="el"/>
        </w:rPr>
      </w:pPr>
      <w:r>
        <w:rPr>
          <w:b/>
          <w:bCs/>
          <w:lang w:val="el" w:eastAsia="el"/>
        </w:rPr>
        <w:t>19. Μαστίχα (λευκή ή μη), ακατέργαστη (Δ.Κ. ΕΧ 1301).</w:t>
      </w:r>
      <w:r>
        <w:rPr>
          <w:rStyle w:val="Hyperlink"/>
          <w:b/>
          <w:bCs/>
          <w:color w:val="000000"/>
          <w:sz w:val="20"/>
          <w:szCs w:val="20"/>
          <w:u w:val="none" w:color="0000EE"/>
          <w:vertAlign w:val="superscript"/>
          <w:lang w:val="el" w:eastAsia="el"/>
        </w:rPr>
        <w:footnoteReference w:id="731"/>
      </w:r>
    </w:p>
    <w:p>
      <w:pPr>
        <w:spacing w:before="240" w:after="240"/>
        <w:rPr>
          <w:b/>
          <w:bCs/>
          <w:lang w:val="el" w:eastAsia="el"/>
        </w:rPr>
      </w:pPr>
      <w:r>
        <w:rPr>
          <w:b/>
          <w:bCs/>
          <w:lang w:val="el" w:eastAsia="el"/>
        </w:rPr>
        <w:t>20. Ελαιόλαδο και τα κλάσματά του, έστω και εξευγενισμένα, αλλά όχι χημικώς μετασχηματισμένα. 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Δ.Κ. 1509 (Δ.Κ. 1509, 1510).</w:t>
      </w:r>
      <w:r>
        <w:rPr>
          <w:rStyle w:val="Hyperlink"/>
          <w:b/>
          <w:bCs/>
          <w:color w:val="000000"/>
          <w:sz w:val="20"/>
          <w:szCs w:val="20"/>
          <w:u w:val="none" w:color="0000EE"/>
          <w:vertAlign w:val="superscript"/>
          <w:lang w:val="el" w:eastAsia="el"/>
        </w:rPr>
        <w:footnoteReference w:id="732"/>
      </w:r>
    </w:p>
    <w:p>
      <w:pPr>
        <w:spacing w:before="240" w:after="240"/>
        <w:rPr>
          <w:b/>
          <w:bCs/>
          <w:lang w:val="el" w:eastAsia="el"/>
        </w:rPr>
      </w:pPr>
      <w:r>
        <w:rPr>
          <w:b/>
          <w:bCs/>
          <w:lang w:val="el" w:eastAsia="el"/>
        </w:rPr>
        <w:t>21. Σογιέλαιο, αραχιδέλαιο, λάδι ηλιοτρόπιου (ηλιανθέλαιο), λάδι βαμβακιού (βαμβακέλαιο), καλαμποκέλαιο, σησαμέλαιο και τα κλάσματά τους, έστω και εξευγενισμένα αλλά όχι χημικώς μετασχηματισμένα (Δ.Κ. 1507, 1508, ΕΧ 1512, ΕΧ 1515).</w:t>
      </w:r>
      <w:r>
        <w:rPr>
          <w:rStyle w:val="Hyperlink"/>
          <w:b/>
          <w:bCs/>
          <w:color w:val="000000"/>
          <w:sz w:val="20"/>
          <w:szCs w:val="20"/>
          <w:u w:val="none" w:color="0000EE"/>
          <w:vertAlign w:val="superscript"/>
          <w:lang w:val="el" w:eastAsia="el"/>
        </w:rPr>
        <w:footnoteReference w:id="733"/>
      </w:r>
    </w:p>
    <w:p>
      <w:pPr>
        <w:spacing w:before="240" w:after="240"/>
        <w:rPr>
          <w:b/>
          <w:bCs/>
          <w:lang w:val="el" w:eastAsia="el"/>
        </w:rPr>
      </w:pPr>
      <w:r>
        <w:rPr>
          <w:b/>
          <w:bCs/>
          <w:lang w:val="el" w:eastAsia="el"/>
        </w:rPr>
        <w:t>22. Λίπη και λάδια ζωικά ή φυτικά και τα κλάσματά τους, μερικώς ή ολικώς υδρογονωμένα, έστω και εξευγενισμένα αλλά όχι αλλιώς παρασκευασμένα. Μαργαρίνη. Μείγματα ή παρασκευάσματα βρώσιμα από λίπη ή λάδια ζωικά ή φυτικά ή από τα κλάσματα διαφόρων λιπών ή λαδιών του Κεφαλαίου 15 (Δ.Κ. ΕΧ 1516, 1517).</w:t>
      </w:r>
      <w:r>
        <w:rPr>
          <w:rStyle w:val="Hyperlink"/>
          <w:b/>
          <w:bCs/>
          <w:color w:val="000000"/>
          <w:sz w:val="20"/>
          <w:szCs w:val="20"/>
          <w:u w:val="none" w:color="0000EE"/>
          <w:vertAlign w:val="superscript"/>
          <w:lang w:val="el" w:eastAsia="el"/>
        </w:rPr>
        <w:footnoteReference w:id="734"/>
      </w:r>
    </w:p>
    <w:p>
      <w:pPr>
        <w:spacing w:before="240" w:after="240"/>
        <w:rPr>
          <w:b/>
          <w:bCs/>
          <w:lang w:val="el" w:eastAsia="el"/>
        </w:rPr>
      </w:pPr>
      <w:r>
        <w:rPr>
          <w:b/>
          <w:bCs/>
          <w:lang w:val="el" w:eastAsia="el"/>
        </w:rPr>
        <w:t>23. Παρασκευάσματα κρεάτων, ψαριών ή μαλακοστράκων, μαλακίων ή άλλων ασπόνδυλων υδρόβιων. Εξαιρείται το χαβιάρι (Δ.Κ. 1601, 1602, 1603, ΕΧ 1604, 1605).</w:t>
      </w:r>
      <w:r>
        <w:rPr>
          <w:rStyle w:val="Hyperlink"/>
          <w:b/>
          <w:bCs/>
          <w:color w:val="000000"/>
          <w:sz w:val="20"/>
          <w:szCs w:val="20"/>
          <w:u w:val="none" w:color="0000EE"/>
          <w:vertAlign w:val="superscript"/>
          <w:lang w:val="el" w:eastAsia="el"/>
        </w:rPr>
        <w:footnoteReference w:id="735"/>
      </w:r>
    </w:p>
    <w:p>
      <w:pPr>
        <w:spacing w:before="240" w:after="240"/>
        <w:rPr>
          <w:b/>
          <w:bCs/>
          <w:lang w:val="el" w:eastAsia="el"/>
        </w:rPr>
      </w:pPr>
      <w:r>
        <w:rPr>
          <w:b/>
          <w:bCs/>
          <w:lang w:val="el" w:eastAsia="el"/>
        </w:rPr>
        <w:t>24. Ζάχαρα και ζαχαρώδη παρασκευάσματα (Δ.Κ. 1701, 1702, 1703,1704).</w:t>
      </w:r>
      <w:r>
        <w:rPr>
          <w:rStyle w:val="Hyperlink"/>
          <w:b/>
          <w:bCs/>
          <w:color w:val="000000"/>
          <w:sz w:val="20"/>
          <w:szCs w:val="20"/>
          <w:u w:val="none" w:color="0000EE"/>
          <w:vertAlign w:val="superscript"/>
          <w:lang w:val="el" w:eastAsia="el"/>
        </w:rPr>
        <w:footnoteReference w:id="736"/>
      </w:r>
    </w:p>
    <w:p>
      <w:pPr>
        <w:spacing w:before="240" w:after="240"/>
        <w:rPr>
          <w:b/>
          <w:bCs/>
          <w:lang w:val="el" w:eastAsia="el"/>
        </w:rPr>
      </w:pPr>
      <w:r>
        <w:rPr>
          <w:b/>
          <w:bCs/>
          <w:lang w:val="el" w:eastAsia="el"/>
        </w:rPr>
        <w:t>25. Κακάο και παρασκευάσματα αυτού(Δ.Κ. 1801, 1802, 1803, 1804, 1805, 1806).</w:t>
      </w:r>
      <w:r>
        <w:rPr>
          <w:rStyle w:val="Hyperlink"/>
          <w:b/>
          <w:bCs/>
          <w:color w:val="000000"/>
          <w:sz w:val="20"/>
          <w:szCs w:val="20"/>
          <w:u w:val="none" w:color="0000EE"/>
          <w:vertAlign w:val="superscript"/>
          <w:lang w:val="el" w:eastAsia="el"/>
        </w:rPr>
        <w:footnoteReference w:id="737"/>
      </w:r>
    </w:p>
    <w:p>
      <w:pPr>
        <w:spacing w:before="240" w:after="240"/>
        <w:rPr>
          <w:b/>
          <w:bCs/>
          <w:lang w:val="el" w:eastAsia="el"/>
        </w:rPr>
      </w:pPr>
      <w:r>
        <w:rPr>
          <w:b/>
          <w:bCs/>
          <w:lang w:val="el" w:eastAsia="el"/>
        </w:rPr>
        <w:t>26. Παρασκευάσματα με βάση τα δημητριακά, τα αλεύρια, τα άμυλα κάθε είδους ή το γάλα, περιλαμβανομένων των παρασκευασμάτων για τη διατροφή των βρεφών και παιδιών, συσκευασμένων για τη λιανική πώληση. Είδη ζαχαροπλαστικής (Δ.Κ. 1901, 1902, 1903, 1904, 1905).</w:t>
      </w:r>
      <w:r>
        <w:rPr>
          <w:rStyle w:val="Hyperlink"/>
          <w:b/>
          <w:bCs/>
          <w:color w:val="000000"/>
          <w:sz w:val="20"/>
          <w:szCs w:val="20"/>
          <w:u w:val="none" w:color="0000EE"/>
          <w:vertAlign w:val="superscript"/>
          <w:lang w:val="el" w:eastAsia="el"/>
        </w:rPr>
        <w:footnoteReference w:id="738"/>
      </w:r>
    </w:p>
    <w:p>
      <w:pPr>
        <w:spacing w:before="240" w:after="240"/>
        <w:rPr>
          <w:b/>
          <w:bCs/>
          <w:lang w:val="el" w:eastAsia="el"/>
        </w:rPr>
      </w:pPr>
      <w:r>
        <w:rPr>
          <w:b/>
          <w:bCs/>
          <w:lang w:val="el" w:eastAsia="el"/>
        </w:rPr>
        <w:t>27. Παρασκευάσματα λαχανικών, καρπών και φρούτων ή άλλων μερών φυτών, καθώς και οι χυμοί φρούτων και λαχανικών (Δ.Κ. 2001, 2002, 2003, 2004, 2005, 2006, 2007, 2008, ΕΧ 2009).</w:t>
      </w:r>
      <w:r>
        <w:rPr>
          <w:rStyle w:val="Hyperlink"/>
          <w:b/>
          <w:bCs/>
          <w:color w:val="000000"/>
          <w:sz w:val="20"/>
          <w:szCs w:val="20"/>
          <w:u w:val="none" w:color="0000EE"/>
          <w:vertAlign w:val="superscript"/>
          <w:lang w:val="el" w:eastAsia="el"/>
        </w:rPr>
        <w:footnoteReference w:id="739"/>
      </w:r>
    </w:p>
    <w:p>
      <w:pPr>
        <w:spacing w:before="240" w:after="240"/>
        <w:rPr>
          <w:b/>
          <w:bCs/>
          <w:lang w:val="el" w:eastAsia="el"/>
        </w:rPr>
      </w:pPr>
      <w:r>
        <w:rPr>
          <w:b/>
          <w:bCs/>
          <w:lang w:val="el" w:eastAsia="el"/>
        </w:rPr>
        <w:t>28. Εκχυλίσματα, αποστάγματα και συμπυκνώματα καφέ, τσαγιού, ή ματέ και παρασκευάσματα με βάση τα προϊόντα αυτά ή με βάση τον καφέ, το τσάι ή το ματέ. Κιχώριο φρυγμένο και άλλα φρυγμένα υποκατάστατα του καφέ και τα εκχυλίσματα, αποστάγματα και συμπυκνώματα αυτών. Ζύμες (ενεργές ή αδρανείς). Άλλοι αδρανείς μονοκύτταροι οργανισμοί (με εξαίρεση τα εμβόλια της ΔΚ 3002). Σκόνες για το φούσκωμα της ζύμης, παρασκευασμένες. Παρασκευάσματα για σάλτσες και σάλτσες παρασκευασμένες. Μουστάρδα παρασκευασμένη. Παρασκευάσματα για σούπες και ζωμούς, σούπες και ζωμοί παρασκευασμένα. Παγωτά έστω και αν περιέχουν κακάο. Παρασκευάσματα διατροφής που δεν κατονομάζονται ούτε περιλαμβάνονται αλλού, με εξαίρεση τα συμπληρώματα διατροφής σε οποιαδήποτε μορφή παρουσιάζονται και τα σύνθετα αλκοολούχα παρασκευάσματα, άλλα από εκείνα που γίνονται με βάση ευώδεις ουσίες, των τύπων που χρησιμοποιούνται για την παρασκευή ποτών. (Δ.Κ. 2101, 2102, ΕΧ 2103, ΕΧ 2104, 2105, ΕΧ 2106.</w:t>
      </w:r>
    </w:p>
    <w:p>
      <w:pPr>
        <w:spacing w:before="240" w:after="240"/>
        <w:rPr>
          <w:b/>
          <w:bCs/>
          <w:lang w:val="el" w:eastAsia="el"/>
        </w:rPr>
      </w:pPr>
      <w:r>
        <w:rPr>
          <w:b/>
          <w:bCs/>
          <w:lang w:val="el" w:eastAsia="el"/>
        </w:rPr>
        <w:t>Παρασκευάσματα διατροφής που δεν κατονομάζονται ούτε περιλαμβάνονται αλλού, με εξαίρεση τα συμπληρώματα διατροφής σε οποιαδήποτε μορφή παρουσιάζονται και τα σύνθετα αλκοολούχα παρασκευάσματα, άλλα από εκείνα που γίνονται με βάση ευώδεις ουσίες, των τύπων που χρησιμοποιούνται για την παρασκευή ποτών. (Δ.Κ. 2101, 2102, ΕΧ 2103, ΕΧ 2104, 2105, ΕΧ 2106.</w:t>
      </w:r>
      <w:r>
        <w:rPr>
          <w:rStyle w:val="Hyperlink"/>
          <w:b/>
          <w:bCs/>
          <w:color w:val="000000"/>
          <w:sz w:val="20"/>
          <w:szCs w:val="20"/>
          <w:u w:val="none" w:color="0000EE"/>
          <w:vertAlign w:val="superscript"/>
          <w:lang w:val="el" w:eastAsia="el"/>
        </w:rPr>
        <w:footnoteReference w:id="740"/>
      </w:r>
    </w:p>
    <w:p>
      <w:pPr>
        <w:spacing w:before="240" w:after="240"/>
        <w:rPr>
          <w:b/>
          <w:bCs/>
          <w:lang w:val="el" w:eastAsia="el"/>
        </w:rPr>
      </w:pPr>
      <w:r>
        <w:rPr>
          <w:b/>
          <w:bCs/>
          <w:lang w:val="el" w:eastAsia="el"/>
        </w:rPr>
        <w:t>29. Νερά, στα οποία περιλαμβάνονται και τα φυσικά ή τεχνητά μεταλλικά νερά, χωρίς προσθήκη ζάχαρης ή άλλων γλυκαντικών, ούτε αρωματισμένα, μη αεριούχα, πάγος και χιόνι (Δ.Κ. ΕΧ 2201).</w:t>
      </w:r>
      <w:r>
        <w:rPr>
          <w:rStyle w:val="Hyperlink"/>
          <w:b/>
          <w:bCs/>
          <w:color w:val="000000"/>
          <w:sz w:val="20"/>
          <w:szCs w:val="20"/>
          <w:u w:val="none" w:color="0000EE"/>
          <w:vertAlign w:val="superscript"/>
          <w:lang w:val="el" w:eastAsia="el"/>
        </w:rPr>
        <w:footnoteReference w:id="741"/>
      </w:r>
    </w:p>
    <w:p>
      <w:pPr>
        <w:spacing w:before="240" w:after="240"/>
        <w:rPr>
          <w:b/>
          <w:bCs/>
          <w:lang w:val="el" w:eastAsia="el"/>
        </w:rPr>
      </w:pPr>
      <w:r>
        <w:rPr>
          <w:b/>
          <w:bCs/>
          <w:lang w:val="el" w:eastAsia="el"/>
        </w:rPr>
        <w:t>30. Ξύδια και υποκατάστατα αυτών βρώσιμα που λαμβάνονται από οξικό οξύ (Δ.Κ. 2209).</w:t>
      </w:r>
      <w:r>
        <w:rPr>
          <w:rStyle w:val="Hyperlink"/>
          <w:b/>
          <w:bCs/>
          <w:color w:val="000000"/>
          <w:sz w:val="20"/>
          <w:szCs w:val="20"/>
          <w:u w:val="none" w:color="0000EE"/>
          <w:vertAlign w:val="superscript"/>
          <w:lang w:val="el" w:eastAsia="el"/>
        </w:rPr>
        <w:footnoteReference w:id="742"/>
      </w:r>
    </w:p>
    <w:p>
      <w:pPr>
        <w:spacing w:before="240" w:after="240"/>
        <w:rPr>
          <w:b/>
          <w:bCs/>
          <w:lang w:val="el" w:eastAsia="el"/>
        </w:rPr>
      </w:pPr>
      <w:r>
        <w:rPr>
          <w:b/>
          <w:bCs/>
          <w:lang w:val="el" w:eastAsia="el"/>
        </w:rPr>
        <w:t>31. 31. Υπολείμματα και απορρίμματα των βιομηχανικών ειδών διατροφής. Τροφές παρασκευασμένες για ζώα, εξαιρουμένων των τροφών για σκύλους ή γάτες (Δ.Κ. 2301,2302, 2303, 2304, 2305, 2306, 2307, 2308, ΕΧ 2309). Ο συντελεστής του φόρου για τα αγαθά της παρούσας ορίζεται σε έξι τοις εκατό (6%).</w:t>
      </w:r>
      <w:r>
        <w:rPr>
          <w:rStyle w:val="Hyperlink"/>
          <w:b/>
          <w:bCs/>
          <w:color w:val="000000"/>
          <w:sz w:val="20"/>
          <w:szCs w:val="20"/>
          <w:u w:val="none" w:color="0000EE"/>
          <w:vertAlign w:val="superscript"/>
          <w:lang w:val="el" w:eastAsia="el"/>
        </w:rPr>
        <w:footnoteReference w:id="743"/>
      </w:r>
    </w:p>
    <w:p>
      <w:pPr>
        <w:spacing w:before="240" w:after="240"/>
        <w:rPr>
          <w:b/>
          <w:bCs/>
          <w:lang w:val="el" w:eastAsia="el"/>
        </w:rPr>
      </w:pPr>
      <w:r>
        <w:rPr>
          <w:b/>
          <w:bCs/>
          <w:lang w:val="el" w:eastAsia="el"/>
        </w:rPr>
        <w:t>32. Αλάτι (στο οποίο περιλαμβάνονται και το επιτραπέζιο και μετουσιωμένο αλάτι), έστω και σε υδατικό διάλυμα ή με προσθήκη αντισυσσωματικών ουσιών ή ουσιών που εξασφαλίζουν την καλή ρευστότητα. Θαλασσινό νερό (Δ.Κ. 2501).</w:t>
      </w:r>
    </w:p>
    <w:p>
      <w:pPr>
        <w:spacing w:before="240" w:after="240"/>
        <w:rPr>
          <w:b/>
          <w:bCs/>
          <w:lang w:val="el" w:eastAsia="el"/>
        </w:rPr>
      </w:pPr>
      <w:r>
        <w:rPr>
          <w:b/>
          <w:bCs/>
          <w:lang w:val="el" w:eastAsia="el"/>
        </w:rPr>
        <w:t>33. Η παράδοση νερού.</w:t>
      </w:r>
      <w:r>
        <w:rPr>
          <w:rStyle w:val="Hyperlink"/>
          <w:b/>
          <w:bCs/>
          <w:color w:val="000000"/>
          <w:sz w:val="20"/>
          <w:szCs w:val="20"/>
          <w:u w:val="none" w:color="0000EE"/>
          <w:vertAlign w:val="superscript"/>
          <w:lang w:val="el" w:eastAsia="el"/>
        </w:rPr>
        <w:footnoteReference w:id="744"/>
      </w:r>
    </w:p>
    <w:p>
      <w:pPr>
        <w:spacing w:before="240" w:after="240"/>
        <w:rPr>
          <w:b/>
          <w:bCs/>
          <w:lang w:val="el" w:eastAsia="el"/>
        </w:rPr>
      </w:pPr>
      <w:r>
        <w:rPr>
          <w:b/>
          <w:bCs/>
          <w:lang w:val="el" w:eastAsia="el"/>
        </w:rPr>
        <w:t>34. Η θέρμανση μέσω δικτύου (τηλεθέρμανση). Ο συντελεστής του φόρου για το αγαθό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745"/>
      </w:r>
    </w:p>
    <w:p>
      <w:pPr>
        <w:spacing w:before="240" w:after="240"/>
        <w:rPr>
          <w:b/>
          <w:bCs/>
          <w:lang w:val="el" w:eastAsia="el"/>
        </w:rPr>
      </w:pPr>
      <w:r>
        <w:rPr>
          <w:b/>
          <w:bCs/>
          <w:lang w:val="el" w:eastAsia="el"/>
        </w:rPr>
        <w:t>35. Η ηλεκτρική ενέργεια (Δ.Κ. 2716) και το φυσικό αέριο (Δ.Κ. ΕΧ 2711). Ο συντελεστής του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746"/>
      </w:r>
    </w:p>
    <w:p>
      <w:pPr>
        <w:spacing w:before="240" w:after="240"/>
        <w:rPr>
          <w:b/>
          <w:bCs/>
          <w:lang w:val="el" w:eastAsia="el"/>
        </w:rPr>
      </w:pPr>
      <w:r>
        <w:rPr>
          <w:b/>
          <w:bCs/>
          <w:lang w:val="el" w:eastAsia="el"/>
        </w:rPr>
        <w:t>36. Φαρμακευτικά προϊόντα (Δ.Κ. 3001, 3002, 3003, 3004, 3005, 3006).</w:t>
      </w:r>
      <w:r>
        <w:rPr>
          <w:rStyle w:val="Hyperlink"/>
          <w:b/>
          <w:bCs/>
          <w:color w:val="000000"/>
          <w:sz w:val="20"/>
          <w:szCs w:val="20"/>
          <w:u w:val="none" w:color="0000EE"/>
          <w:vertAlign w:val="superscript"/>
          <w:lang w:val="el" w:eastAsia="el"/>
        </w:rPr>
        <w:footnoteReference w:id="747"/>
      </w:r>
    </w:p>
    <w:p>
      <w:pPr>
        <w:spacing w:before="240" w:after="240"/>
        <w:rPr>
          <w:b/>
          <w:bCs/>
          <w:lang w:val="el" w:eastAsia="el"/>
        </w:rPr>
      </w:pPr>
      <w:r>
        <w:rPr>
          <w:b/>
          <w:bCs/>
          <w:lang w:val="el" w:eastAsia="el"/>
        </w:rPr>
        <w:t xml:space="preserve">37. Φάρμακα για την ιατρική του ανθρώπου των δασμολογικών κλάσεων 3003 και 3004 (ΔΚ ΕΧ 3003 και ΕΧ 3004). Εμβόλια και ανοσολογικά προϊόντα για την ιατρική του ανθρώπου της δασμολογικής κλάσης 3002 (ΔΚ ΕΧ 3002). Ραδιενεργά παρασκευάσματα για την ιατρική του ανθρώπου, για διαγνωστικούς ή θεραπευτικούς σκοπούς (ΔΚ ΕΧ 2844). Σκιατικά παρασκευάσματα για διαγνωστικούς σκοπούς για την ιατρική του ανθρώπου (ΕΧ3006). Άλλα διαγνωστικά παρασκευάσματα ή αντιδραστήρια για την ιατρική του ανθρώπου (ΕΧ 3002, ΕΧ 3006, ΕΧ 3822, ΕΧ 3824). Ο συντελεστής του φόρου για τα αγαθά της παρούσας περίπτωσης ορίζεται σε έξι τοις εκατό (6%). </w:t>
      </w:r>
      <w:r>
        <w:rPr>
          <w:rStyle w:val="Hyperlink"/>
          <w:b/>
          <w:bCs/>
          <w:color w:val="000000"/>
          <w:sz w:val="20"/>
          <w:szCs w:val="20"/>
          <w:u w:val="none" w:color="0000EE"/>
          <w:vertAlign w:val="superscript"/>
          <w:lang w:val="el" w:eastAsia="el"/>
        </w:rPr>
        <w:footnoteReference w:id="748"/>
      </w:r>
    </w:p>
    <w:p>
      <w:pPr>
        <w:spacing w:before="240" w:after="240"/>
        <w:rPr>
          <w:b/>
          <w:bCs/>
          <w:lang w:val="el" w:eastAsia="el"/>
        </w:rPr>
      </w:pPr>
      <w:r>
        <w:rPr>
          <w:b/>
          <w:bCs/>
          <w:lang w:val="el" w:eastAsia="el"/>
        </w:rPr>
        <w:t>Ο συντελεστής του φόρου για τα αγαθά της παρούσας περίπτωσης ορίζεται σε έξι τοις εκατό (6%).</w:t>
      </w:r>
    </w:p>
    <w:p>
      <w:pPr>
        <w:spacing w:before="240" w:after="240"/>
        <w:rPr>
          <w:b/>
          <w:bCs/>
          <w:lang w:val="el" w:eastAsia="el"/>
        </w:rPr>
      </w:pPr>
      <w:r>
        <w:rPr>
          <w:b/>
          <w:bCs/>
          <w:lang w:val="el" w:eastAsia="el"/>
        </w:rPr>
        <w:t>38. Λιπάσματα (Δ.Κ. 3101, 3102, 3103, 3104, 3105).</w:t>
      </w:r>
      <w:r>
        <w:rPr>
          <w:rStyle w:val="Hyperlink"/>
          <w:b/>
          <w:bCs/>
          <w:color w:val="000000"/>
          <w:sz w:val="20"/>
          <w:szCs w:val="20"/>
          <w:u w:val="none" w:color="0000EE"/>
          <w:vertAlign w:val="superscript"/>
          <w:lang w:val="el" w:eastAsia="el"/>
        </w:rPr>
        <w:footnoteReference w:id="749"/>
      </w:r>
    </w:p>
    <w:p>
      <w:pPr>
        <w:spacing w:before="240" w:after="240"/>
        <w:rPr>
          <w:b/>
          <w:bCs/>
          <w:lang w:val="el" w:eastAsia="el"/>
        </w:rPr>
      </w:pPr>
      <w:r>
        <w:rPr>
          <w:b/>
          <w:bCs/>
          <w:lang w:val="el" w:eastAsia="el"/>
        </w:rPr>
        <w:t>39. Εντομοκτόνα, ποντικοφάρμακα, μυκητοκτόνα, ζιζανιοκτόνα, ανασχετικά της βλάστησης και ρυθμιστικά της ανάπτυξης των φυτών, απολυμαντικά και παρόμοια προϊόντα που παρουσιάζονται σε μορφές ή συσκευασίες για τη λιανική πώληση ή ως παρασκευάσματα, άλλα από εκείνα που προορίζονται για ανθρώπινη χρήση. Εξαιρούνται τα εντομοαπωθητικά, τα απολυμαντικά για οικιακές χρήσεις, τα εντομοκτόνα και κατσαριδοκτόνα που παρουσιάζονται σε φιάλες με προωθητικό αέριο ή σε σκόνη για οικιακές χρήσεις (Δ.Κ. ΕΧ 3808).</w:t>
      </w:r>
      <w:r>
        <w:rPr>
          <w:rStyle w:val="Hyperlink"/>
          <w:b/>
          <w:bCs/>
          <w:color w:val="000000"/>
          <w:sz w:val="20"/>
          <w:szCs w:val="20"/>
          <w:u w:val="none" w:color="0000EE"/>
          <w:vertAlign w:val="superscript"/>
          <w:lang w:val="el" w:eastAsia="el"/>
        </w:rPr>
        <w:footnoteReference w:id="750"/>
      </w:r>
    </w:p>
    <w:p>
      <w:pPr>
        <w:spacing w:before="240" w:after="240"/>
        <w:rPr>
          <w:b/>
          <w:bCs/>
          <w:lang w:val="el" w:eastAsia="el"/>
        </w:rPr>
      </w:pPr>
      <w:r>
        <w:rPr>
          <w:b/>
          <w:bCs/>
          <w:lang w:val="el" w:eastAsia="el"/>
        </w:rPr>
        <w:t>40. Βιβλία και βιβλία με εικόνες για παιδιά (ΔΚ ΕΧ 4901, ΕΧ 4903). Εφημερίδες και περιοδικές εκδόσεις τυπωμένες, έστω και εικονογραφημένες ή με διαφημίσεις (ΔΚ 4902). Μουσική χειρόγραφη ή τυπωμένη, εικονογραφημένη ή μη έστω και δεμένη (ΔΚ 4904). Ο συντελεστής του φόρου για τα αγαθά αυτά, ορίζεται σε έξι τοις εκατό (6%).</w:t>
      </w:r>
      <w:r>
        <w:rPr>
          <w:rStyle w:val="Hyperlink"/>
          <w:b/>
          <w:bCs/>
          <w:color w:val="000000"/>
          <w:sz w:val="20"/>
          <w:szCs w:val="20"/>
          <w:u w:val="none" w:color="0000EE"/>
          <w:vertAlign w:val="superscript"/>
          <w:lang w:val="el" w:eastAsia="el"/>
        </w:rPr>
        <w:footnoteReference w:id="751"/>
      </w:r>
    </w:p>
    <w:p>
      <w:pPr>
        <w:spacing w:before="240" w:after="240"/>
        <w:rPr>
          <w:b/>
          <w:bCs/>
          <w:lang w:val="el" w:eastAsia="el"/>
        </w:rPr>
      </w:pPr>
      <w:r>
        <w:rPr>
          <w:b/>
          <w:bCs/>
          <w:lang w:val="el" w:eastAsia="el"/>
        </w:rPr>
        <w:t>41. Ειδικές ανυψωτικές συσκευές (σκάλες, ανελκυστήρες, μηχανήματα ανεβοκατεβάσματος αναπήρων και παρόμοια), που χρησιμοποιούνται για την εξυπηρέτηση αναπήρων (Δ.Κ. ΕΧ 8428).</w:t>
      </w:r>
      <w:r>
        <w:rPr>
          <w:rStyle w:val="Hyperlink"/>
          <w:b/>
          <w:bCs/>
          <w:color w:val="000000"/>
          <w:sz w:val="20"/>
          <w:szCs w:val="20"/>
          <w:u w:val="none" w:color="0000EE"/>
          <w:vertAlign w:val="superscript"/>
          <w:lang w:val="el" w:eastAsia="el"/>
        </w:rPr>
        <w:footnoteReference w:id="752"/>
      </w:r>
    </w:p>
    <w:p>
      <w:pPr>
        <w:spacing w:before="240" w:after="240"/>
        <w:rPr>
          <w:b/>
          <w:bCs/>
          <w:lang w:val="el" w:eastAsia="el"/>
        </w:rPr>
      </w:pPr>
      <w:r>
        <w:rPr>
          <w:b/>
          <w:bCs/>
          <w:lang w:val="el" w:eastAsia="el"/>
        </w:rPr>
        <w:t>42. Αμαξάκια τύπου πολυθρόνας και άλλα οχήματα για αναπήρους, έστω και με κινητήρα ή άλλον μηχανισμό προώθησης, ανταλλακτικά αναπηρικού αμαξιδίου και ερεισίνωτο (Δ.Κ. 8713, 9403, ΕΧ 8714).</w:t>
      </w:r>
      <w:r>
        <w:rPr>
          <w:rStyle w:val="Hyperlink"/>
          <w:b/>
          <w:bCs/>
          <w:color w:val="000000"/>
          <w:sz w:val="20"/>
          <w:szCs w:val="20"/>
          <w:u w:val="none" w:color="0000EE"/>
          <w:vertAlign w:val="superscript"/>
          <w:lang w:val="el" w:eastAsia="el"/>
        </w:rPr>
        <w:footnoteReference w:id="753"/>
      </w:r>
    </w:p>
    <w:p>
      <w:pPr>
        <w:spacing w:before="240" w:after="240"/>
        <w:rPr>
          <w:b/>
          <w:bCs/>
          <w:lang w:val="el" w:eastAsia="el"/>
        </w:rPr>
      </w:pPr>
      <w:r>
        <w:rPr>
          <w:b/>
          <w:bCs/>
          <w:lang w:val="el" w:eastAsia="el"/>
        </w:rPr>
        <w:t>43. Αντισυλληπτικές συσκευές που ονομάζονται «ενδομήτρια αντισυλληπτικά», καθετήρες για την ιατρική χρήση των ανθρώπων, σύριγγες σίτισης, πιεσόμετρα ομιλούντα, βελόνες (για τις πένες ινσουλίνης), βελόνες τεχνητού νεφρού, συσκευές έγχυσης ινσουλίνης (Δ.Κ. ΕΧ 9018).</w:t>
      </w:r>
      <w:r>
        <w:rPr>
          <w:rStyle w:val="Hyperlink"/>
          <w:b/>
          <w:bCs/>
          <w:color w:val="000000"/>
          <w:sz w:val="20"/>
          <w:szCs w:val="20"/>
          <w:u w:val="none" w:color="0000EE"/>
          <w:vertAlign w:val="superscript"/>
          <w:lang w:val="el" w:eastAsia="el"/>
        </w:rPr>
        <w:footnoteReference w:id="754"/>
      </w:r>
    </w:p>
    <w:p>
      <w:pPr>
        <w:spacing w:before="240" w:after="240"/>
        <w:rPr>
          <w:b/>
          <w:bCs/>
          <w:lang w:val="el" w:eastAsia="el"/>
        </w:rPr>
      </w:pPr>
      <w:r>
        <w:rPr>
          <w:b/>
          <w:bCs/>
          <w:lang w:val="el" w:eastAsia="el"/>
        </w:rPr>
        <w:t>44. Είδη και συσκευές ορθοπεδικής, στα οποία περιλαμβάνονται και οι ιατροχειρουργικές ζώνες, οι επίδεσμοι και οι πατερίτσες. Νάρθηκες, υποστηρίγματα και άλλα είδη και συσκευές για κατάγματα.</w:t>
      </w:r>
      <w:r>
        <w:rPr>
          <w:rStyle w:val="Hyperlink"/>
          <w:b/>
          <w:bCs/>
          <w:color w:val="000000"/>
          <w:sz w:val="20"/>
          <w:szCs w:val="20"/>
          <w:u w:val="none" w:color="0000EE"/>
          <w:vertAlign w:val="superscript"/>
          <w:lang w:val="el" w:eastAsia="el"/>
        </w:rPr>
        <w:footnoteReference w:id="755"/>
      </w:r>
    </w:p>
    <w:p>
      <w:pPr>
        <w:spacing w:before="240" w:after="240"/>
        <w:rPr>
          <w:b/>
          <w:bCs/>
          <w:lang w:val="el" w:eastAsia="el"/>
        </w:rPr>
      </w:pPr>
      <w:r>
        <w:rPr>
          <w:b/>
          <w:bCs/>
          <w:lang w:val="el" w:eastAsia="el"/>
        </w:rPr>
        <w:t>Είδη και συσκευές προθέσεως. Συσκευές για τη διευκόλυνση της ακοής στους κωφούς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Εξαιρούνται τα μέρη και εξαρτήματα των παραπάνω αγαθών (Δ.Κ. ΕΧ 9021).</w:t>
      </w:r>
      <w:r>
        <w:rPr>
          <w:rStyle w:val="Hyperlink"/>
          <w:b/>
          <w:bCs/>
          <w:color w:val="000000"/>
          <w:sz w:val="20"/>
          <w:szCs w:val="20"/>
          <w:u w:val="none" w:color="0000EE"/>
          <w:vertAlign w:val="superscript"/>
          <w:lang w:val="el" w:eastAsia="el"/>
        </w:rPr>
        <w:footnoteReference w:id="756"/>
      </w:r>
    </w:p>
    <w:p>
      <w:pPr>
        <w:spacing w:before="240" w:after="240"/>
        <w:rPr>
          <w:b/>
          <w:bCs/>
          <w:lang w:val="el" w:eastAsia="el"/>
        </w:rPr>
      </w:pPr>
      <w:r>
        <w:rPr>
          <w:b/>
          <w:bCs/>
          <w:lang w:val="el" w:eastAsia="el"/>
        </w:rPr>
        <w:t>45. Ανυψωτικό τουαλέτας (Δ.Κ. ΕΧ 3922), μπανιέρες για ανάπηρους (Δ.Κ. ΕΧ 3922, 6910, 7324), στηθόδεσμος μαστεκτομής - μαγιώ μαστεκτομής (Δ.Κ. ΕΧ 6212, ΕΧ 6112, ΕΧ 6211), προγράμματα για ηλεκτρονικούς υπολογιστές (jaws, supernova, hall, φωναισθησίας, fine reader) (Δ.Κ. EX 8523), εκτυπωτές Braille (Δ.Κ. EX 8443), ρολόγια χειρός (Braille) (Δ.Κ. EX 9102), πινακίδες γραφής (Braille), μέτρα (Braille) (Δ.Κ. ΕΧ 9017), μπαστούνια ηλεκτρονικά (Δ.Κ. ΕΧ 6602), κασετόφωνα με 4 tracks (Braille) (Δ.Κ. ΕΧ 8519), ταινίες μέτρησης σακχάρου (Δ.Κ. ΕΧ 3822), τα οποία προορίζονται για την εξυπηρέτηση ατόμων με αναπηρία.</w:t>
      </w:r>
      <w:r>
        <w:rPr>
          <w:rStyle w:val="Hyperlink"/>
          <w:b/>
          <w:bCs/>
          <w:color w:val="000000"/>
          <w:sz w:val="20"/>
          <w:szCs w:val="20"/>
          <w:u w:val="none" w:color="0000EE"/>
          <w:vertAlign w:val="superscript"/>
          <w:lang w:val="el" w:eastAsia="el"/>
        </w:rPr>
        <w:footnoteReference w:id="757"/>
      </w:r>
    </w:p>
    <w:p>
      <w:pPr>
        <w:spacing w:before="240" w:after="240"/>
        <w:rPr>
          <w:b/>
          <w:bCs/>
          <w:lang w:val="el" w:eastAsia="el"/>
        </w:rPr>
      </w:pPr>
      <w:r>
        <w:rPr>
          <w:b/>
          <w:bCs/>
          <w:lang w:val="el" w:eastAsia="el"/>
        </w:rPr>
        <w:t>46. Μπαστούνια λευκά (Δ.Κ. ΕΧ 6602), γραφομηχανές με χαρακτήρες Braille (Δ.Κ. ΕΧ 8472), προγράμματα για ηλεκτρονικούς υπολογιστές (jaws, supernova, hall, φωναισθησίας, fine reader) (Δ.Κ. EX 8523), εκτυπωτές Braille (Δ.Κ. EX 8443), ρολόγια χειρός (Braille) (Δ.Κ. EX 9102), πινακίδες γραφής (Braille), μέτρα (Braille) (Δ.Κ. ΕΧ 9017), μπαστούνια ηλεκτρονικά (Δ.Κ. ΕΧ 6602), κασετόφωνα με 4 tracks (Braille) (Δ.Κ. ΕΧ 8519), Braille display (Δ.Κ. ΕΧ 8528), scanner (Δ.Κ. ΕΧ 8471), Braille note taker (Δ.Κ. EX 8472), προγράμματα κινητών τηλεφώνων σε ελληνική και ξένη έκδοση (mobile speak, speaking phone) (Δ.Κ. EX 8523), πλαίσια γραφής για άτομα με μειωμένη όραση (Braille) (Δ.Κ. ΕΧ 3926, 7326), τα οποία προορίζονται για την εξυπηρέτηση ατόμων με αναπηρία όρασης.Ταινίες μέτρησης σακχάρου (Δ.Κ. ΕΧ 3822), σύστημα φωτεινής ειδοποίησης (Δ.Κ. ΕΧ 8531), δέκτης φωτεινών σημάτων (Δ.Κ. ΕΧ 8517) τα οποία προορίζονται για την εξυπηρέτηση ατόμων με αναπηρία.Ο συντελεστής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758"/>
      </w:r>
    </w:p>
    <w:p>
      <w:pPr>
        <w:spacing w:before="240" w:after="240"/>
        <w:rPr>
          <w:b/>
          <w:bCs/>
          <w:lang w:val="el" w:eastAsia="el"/>
        </w:rPr>
      </w:pPr>
      <w:r>
        <w:rPr>
          <w:b/>
          <w:bCs/>
          <w:lang w:val="el" w:eastAsia="el"/>
        </w:rPr>
        <w:t>47. Καθίσματα μπάνιου (Δ.Κ. ΕΧ 3922, ΕΧ 9401), αντλία αποσιδήρωσης για μεσογειακή αναιμία (Δ.Κ. ΕΧ 9018), σύστημα τραχειοστομίας τραχειοσωλήνες φίλτρα (Δ.Κ. ΕΧ 9018), περπατούρα (Δ.Κ. ΕΧ 6602, ΕΧ 9021), τρίποδο (Δ.Κ. ΕΧ 6602, ΕΧ 9021), κάλτσες Α.Γ. ή Κ.Γ. (Δ.Κ. ΕΧ 6115, ΕΧ 6217), κάλτσες κολοβώματος (Δ.Κ. ΕΧ 6307), φίλτρα αιμοκάθαρσης, αιμοδιήθησης, αιμοδιαδιήθησης και πλασμαφαίρεσης (Δ.Κ.ΕΧ 9018), γραμμές αιμοκάθαρσης, αιμοδιήθησης, αιμοδιαδιήθησης και πλασμαφαίρεσης (Δ.Κ. ΕΧ 9018), σάκοι περισυλλογής υγρού προετοιμασίας φίλτρων (Δ.Κ. ΕΧ 3926), Υconnectors, σετ φλεβοκέντησης κατά την αιμοκάθαρση (Δ.Κ. ΕΧ 9018), φύσιγγες διττανθρακικών (Δ.Κ. ΕΧ 2836), συνδετικό από τιτάνιο (Δ.Κ. ΕΧ 9018, ΕΧ 8108), γραμμή σύνδεσης και αποχέτευσης, σάκοι αποχέτευσης (Δ.Κ. ΕΧ 3926), κασέτες σύνδεσης, Clamp (λαβίδες) (Δ.Κ. ΕΧ 9018), βαλίτσα περιτοναϊκής κάθαρσης (SMART PD CASE) (Δ.Κ. ΕΧ 9018, ΕΧ 4202), αναλώσιμο υλικό για κολοστομίες (Δ.Κ. ΕΧ 3006), τα οποία προορίζονται για την εξυπηρέτηση ατόμων με αναπηρία. Ειδικά για τα φίλτρα αιμοκάθαρσης, αιμοδιήθησης, αιμοδιαδιήθησης και πλασμαφαίρεσης (Δ.Κ. ΕΧ 9018) και τις γραμμές αιμοκάθαρσης, αιμοδιήθησης, αιμοδιαδιήθησης και πλασμαφαίρεσης (Δ.Κ. ΕΧ 9018), ο συντελεστής φόρου ορίζεται σε έξι τοις εκατό (6%). Ο υπερμειωμένος συντελεστής του προηγούμενου εδαφίου εφαρμόζεται έως και την 31η Δεκεμβρίου 2021 και μετά την ημερομηνία αυτήν τα είδη αυτά υπάγονται στον μειωμένο συντελεστή ΦΠΑ 13%.</w:t>
      </w:r>
      <w:r>
        <w:rPr>
          <w:rStyle w:val="Hyperlink"/>
          <w:b/>
          <w:bCs/>
          <w:color w:val="000000"/>
          <w:sz w:val="20"/>
          <w:szCs w:val="20"/>
          <w:u w:val="none" w:color="0000EE"/>
          <w:vertAlign w:val="superscript"/>
          <w:lang w:val="el" w:eastAsia="el"/>
        </w:rPr>
        <w:footnoteReference w:id="759"/>
      </w:r>
    </w:p>
    <w:p>
      <w:pPr>
        <w:spacing w:before="240" w:after="240"/>
        <w:rPr>
          <w:b/>
          <w:bCs/>
          <w:lang w:val="el" w:eastAsia="el"/>
        </w:rPr>
      </w:pPr>
      <w:r>
        <w:rPr>
          <w:b/>
          <w:bCs/>
          <w:lang w:val="el" w:eastAsia="el"/>
        </w:rPr>
        <w:t>48. Καλύμματα κεφαλής ασφαλείας δικυκλιστών (κράνη δικυκλιστών) (Δ.Κ. Ε.Χ. 6506).</w:t>
      </w:r>
      <w:r>
        <w:rPr>
          <w:rStyle w:val="Hyperlink"/>
          <w:b/>
          <w:bCs/>
          <w:color w:val="000000"/>
          <w:sz w:val="20"/>
          <w:szCs w:val="20"/>
          <w:u w:val="none" w:color="0000EE"/>
          <w:vertAlign w:val="superscript"/>
          <w:lang w:val="el" w:eastAsia="el"/>
        </w:rPr>
        <w:footnoteReference w:id="760"/>
      </w:r>
    </w:p>
    <w:p>
      <w:pPr>
        <w:spacing w:before="240" w:after="240"/>
        <w:rPr>
          <w:b/>
          <w:bCs/>
          <w:lang w:val="el" w:eastAsia="el"/>
        </w:rPr>
      </w:pPr>
      <w:r>
        <w:rPr>
          <w:b/>
          <w:bCs/>
          <w:lang w:val="el" w:eastAsia="el"/>
        </w:rPr>
        <w:t>49. Είδη για τη βρεφική ασφάλεια και προστασία, ήτοι απορροφητικές πάνες για βρέφη, από κάθε ύλη (Δ.Κ. Ε.Χ. 9619) και καθίσματα αυτοκινήτου παιδικά και τα μέρη αυτών (Δ.Κ. Ε.Χ. 9401).</w:t>
      </w:r>
      <w:r>
        <w:rPr>
          <w:rStyle w:val="Hyperlink"/>
          <w:b/>
          <w:bCs/>
          <w:color w:val="000000"/>
          <w:sz w:val="20"/>
          <w:szCs w:val="20"/>
          <w:u w:val="none" w:color="0000EE"/>
          <w:vertAlign w:val="superscript"/>
          <w:lang w:val="el" w:eastAsia="el"/>
        </w:rPr>
        <w:footnoteReference w:id="761"/>
      </w:r>
    </w:p>
    <w:p>
      <w:pPr>
        <w:spacing w:before="240" w:after="240"/>
        <w:rPr>
          <w:b/>
          <w:bCs/>
          <w:lang w:val="el" w:eastAsia="el"/>
        </w:rPr>
      </w:pPr>
      <w:r>
        <w:rPr>
          <w:b/>
          <w:bCs/>
          <w:lang w:val="el" w:eastAsia="el"/>
        </w:rPr>
        <w:t>50. Μάσκες προστασίας και γάντια για την ιατρική (για την προστασία από ιούς και την αποφυγή μετάδοσης ασθενειών - νοσοκομειακή και ιδιωτική χρήση) (ΔΚ ΕΧ 3926, ΕΧ 4015, ΕΧ 4818 ΕΧ, ΕΧ 6307).Σαπούνι και άλλα παρασκευάσματα για την ατομική υγιεινή (ΔΚ ΕΧ 3401 και ΕΧ 3402).Αντισηπτικά διαλύματα, αντισηπτικά μαντιλάκια και άλλα αντισηπτικά παρασκευάσματα (ΔΚ 3307 ΕΧ, ΔΚ ΕΧ 3401, ΔΚ ΕΧ 2828, ΔΚ ΕΧ 3402, ΔΚ ΕΧ 3808 και ΕΧ 3824).Αιθυλική αλκοόλη μετουσιωμένη (ΔΚ ΕΧ 2207), η οποία προορίζεται ως πρώτη ύλη για την παραγωγή αντισηπτικών.Καθαρή αιθυλική αλκοόλη μη μετουσιωμένη γεωργικής προέλευσης με αλκοολικό τίτλο 95%, η οποία διατίθεται εμφιαλωμένη στη λιανική πώληση, σύμφωνα με την παρ. 5 του άρθρου 8 του ν. 2969/2001 (Α' 281) (ΔΚ ΕΧ 2207).Ο συντελεστής του φόρου για τα αγαθά των εν λόγω δασμολογικών κλάσεων ορίζεται σε έξι τοις εκατό (6%).</w:t>
      </w:r>
      <w:r>
        <w:rPr>
          <w:rStyle w:val="Hyperlink"/>
          <w:b/>
          <w:bCs/>
          <w:color w:val="000000"/>
          <w:sz w:val="20"/>
          <w:szCs w:val="20"/>
          <w:u w:val="none" w:color="0000EE"/>
          <w:vertAlign w:val="superscript"/>
          <w:lang w:val="el" w:eastAsia="el"/>
        </w:rPr>
        <w:footnoteReference w:id="762"/>
      </w:r>
    </w:p>
    <w:p>
      <w:pPr>
        <w:spacing w:before="240" w:after="240"/>
        <w:rPr>
          <w:b/>
          <w:bCs/>
          <w:lang w:val="el" w:eastAsia="el"/>
        </w:rPr>
      </w:pPr>
      <w:r>
        <w:rPr>
          <w:b/>
          <w:bCs/>
          <w:lang w:val="el" w:eastAsia="el"/>
        </w:rPr>
        <w:t>51. Μη αλκοολούχα ποτά, χωρίς προσθήκη αλκοόλης σε οποιαδήποτε αναλογία (ΔΚ ΕΧ 2202). Αεριούχα νερά της Δ.Κ. 2201 (ΔΚ ΕΧ 2201). Ο συντελεστής του φόρου για τα αγαθά των εν λόγω δασμολογικών κλάσεων ορίζεται σε δεκατρία τοις εκατό (13%).</w:t>
      </w:r>
      <w:r>
        <w:rPr>
          <w:rStyle w:val="Hyperlink"/>
          <w:b/>
          <w:bCs/>
          <w:color w:val="000000"/>
          <w:sz w:val="20"/>
          <w:szCs w:val="20"/>
          <w:u w:val="none" w:color="0000EE"/>
          <w:vertAlign w:val="superscript"/>
          <w:lang w:val="el" w:eastAsia="el"/>
        </w:rPr>
        <w:footnoteReference w:id="763"/>
      </w:r>
    </w:p>
    <w:p>
      <w:pPr>
        <w:spacing w:before="240" w:after="240"/>
        <w:rPr>
          <w:b/>
          <w:bCs/>
          <w:lang w:val="el" w:eastAsia="el"/>
        </w:rPr>
      </w:pPr>
      <w:r>
        <w:rPr>
          <w:b/>
          <w:bCs/>
          <w:lang w:val="el" w:eastAsia="el"/>
        </w:rPr>
        <w:t>52. Η εισαγωγή αντικειμένων τέχνης, συλλογών ή αρχαιοτήτων (ΔΚ 9701, 9702, 9703, 9704, 9705 και 9706).</w:t>
      </w:r>
      <w:r>
        <w:rPr>
          <w:rStyle w:val="Hyperlink"/>
          <w:b/>
          <w:bCs/>
          <w:color w:val="000000"/>
          <w:sz w:val="20"/>
          <w:szCs w:val="20"/>
          <w:u w:val="none" w:color="0000EE"/>
          <w:vertAlign w:val="superscript"/>
          <w:lang w:val="el" w:eastAsia="el"/>
        </w:rPr>
        <w:footnoteReference w:id="764"/>
      </w:r>
    </w:p>
    <w:p>
      <w:pPr>
        <w:spacing w:before="240" w:after="240"/>
        <w:rPr>
          <w:b/>
          <w:bCs/>
          <w:lang w:val="el" w:eastAsia="el"/>
        </w:rPr>
      </w:pPr>
      <w:r>
        <w:rPr>
          <w:b/>
          <w:bCs/>
          <w:lang w:val="el" w:eastAsia="el"/>
        </w:rPr>
        <w:t>53. Η παράδοση αντικειμένων καλλιτεχνικής αξίας των παρ. 1, 2 και 3 του Κεφαλαίου Α΄ του Παραρτήματος V του παρόντος νόμου, εφόσον πραγματοποιείται από τον ίδιο τον δημιουργό τους ή τους διαδόχους του.</w:t>
      </w:r>
      <w:r>
        <w:rPr>
          <w:rStyle w:val="Hyperlink"/>
          <w:b/>
          <w:bCs/>
          <w:color w:val="000000"/>
          <w:sz w:val="20"/>
          <w:szCs w:val="20"/>
          <w:u w:val="none" w:color="0000EE"/>
          <w:vertAlign w:val="superscript"/>
          <w:lang w:val="el" w:eastAsia="el"/>
        </w:rPr>
        <w:footnoteReference w:id="765"/>
      </w:r>
    </w:p>
    <w:p>
      <w:pPr>
        <w:spacing w:before="240" w:after="240"/>
        <w:rPr>
          <w:b/>
          <w:bCs/>
          <w:lang w:val="el" w:eastAsia="el"/>
        </w:rPr>
      </w:pPr>
      <w:r>
        <w:rPr>
          <w:b/>
          <w:bCs/>
          <w:lang w:val="el" w:eastAsia="el"/>
        </w:rPr>
        <w:t>τους διαδόχους του.</w:t>
      </w:r>
    </w:p>
    <w:p>
      <w:pPr>
        <w:spacing w:before="240" w:after="240"/>
        <w:rPr>
          <w:b/>
          <w:bCs/>
          <w:lang w:val="el" w:eastAsia="el"/>
        </w:rPr>
      </w:pPr>
      <w:r>
        <w:rPr>
          <w:b/>
          <w:bCs/>
          <w:lang w:val="el" w:eastAsia="el"/>
        </w:rPr>
        <w:t>54. Απινιδωτές (Δ.Κ. ΕΧ 9018).</w:t>
      </w:r>
      <w:r>
        <w:rPr>
          <w:rStyle w:val="Hyperlink"/>
          <w:b/>
          <w:bCs/>
          <w:color w:val="000000"/>
          <w:sz w:val="20"/>
          <w:szCs w:val="20"/>
          <w:u w:val="none" w:color="0000EE"/>
          <w:vertAlign w:val="superscript"/>
          <w:lang w:val="el" w:eastAsia="el"/>
        </w:rPr>
        <w:footnoteReference w:id="766"/>
      </w:r>
    </w:p>
    <w:p>
      <w:pPr>
        <w:spacing w:before="240" w:after="240"/>
        <w:rPr>
          <w:b/>
          <w:bCs/>
          <w:lang w:val="el" w:eastAsia="el"/>
        </w:rPr>
      </w:pPr>
      <w:r>
        <w:rPr>
          <w:b/>
          <w:bCs/>
          <w:lang w:val="el" w:eastAsia="el"/>
        </w:rPr>
        <w:t>Ο συντελεστής του φόρου για τα αγαθά της παρούσας περίπτωσης ορίζεται σε έξι τοις εκατό (6%) και ισχύει έως και την 31η.12.2022.</w:t>
      </w:r>
      <w:r>
        <w:rPr>
          <w:rStyle w:val="Hyperlink"/>
          <w:b/>
          <w:bCs/>
          <w:color w:val="000000"/>
          <w:sz w:val="20"/>
          <w:szCs w:val="20"/>
          <w:u w:val="none" w:color="0000EE"/>
          <w:vertAlign w:val="superscript"/>
          <w:lang w:val="el" w:eastAsia="el"/>
        </w:rPr>
        <w:footnoteReference w:id="767"/>
      </w:r>
    </w:p>
    <w:p>
      <w:pPr>
        <w:spacing w:before="240" w:after="240"/>
        <w:rPr>
          <w:b/>
          <w:bCs/>
          <w:lang w:val="el" w:eastAsia="el"/>
        </w:rPr>
      </w:pPr>
      <w:r>
        <w:rPr>
          <w:b/>
          <w:bCs/>
          <w:lang w:val="el" w:eastAsia="el"/>
        </w:rPr>
        <w:t>Β. ΥΠΗΡΕΣΙΕΣ</w:t>
      </w:r>
    </w:p>
    <w:p>
      <w:pPr>
        <w:spacing w:before="240" w:after="240"/>
        <w:rPr>
          <w:b/>
          <w:bCs/>
          <w:lang w:val="el" w:eastAsia="el"/>
        </w:rPr>
      </w:pPr>
      <w:r>
        <w:rPr>
          <w:b/>
          <w:bCs/>
          <w:lang w:val="el" w:eastAsia="el"/>
        </w:rPr>
        <w:t>1. Εισιτήρια κινηματογράφων. Εισιτήρια θεατρικών παραστάσεων και συναυλιών για τα οποία ο συντελεστής του φόρου ορίζεται σε έξι τοις εκατό (6%).</w:t>
      </w:r>
      <w:r>
        <w:rPr>
          <w:rStyle w:val="Hyperlink"/>
          <w:b/>
          <w:bCs/>
          <w:color w:val="000000"/>
          <w:sz w:val="20"/>
          <w:szCs w:val="20"/>
          <w:u w:val="none" w:color="0000EE"/>
          <w:vertAlign w:val="superscript"/>
          <w:lang w:val="el" w:eastAsia="el"/>
        </w:rPr>
        <w:footnoteReference w:id="768"/>
      </w:r>
    </w:p>
    <w:p>
      <w:pPr>
        <w:spacing w:before="240" w:after="240"/>
        <w:rPr>
          <w:b/>
          <w:bCs/>
          <w:lang w:val="el" w:eastAsia="el"/>
        </w:rPr>
      </w:pPr>
      <w:r>
        <w:rPr>
          <w:b/>
          <w:bCs/>
          <w:lang w:val="el" w:eastAsia="el"/>
        </w:rPr>
        <w:t>1α. Η μεταφορά προσώπων και των αποσκευών τους.</w:t>
      </w:r>
      <w:r>
        <w:rPr>
          <w:rStyle w:val="Hyperlink"/>
          <w:b/>
          <w:bCs/>
          <w:color w:val="000000"/>
          <w:sz w:val="20"/>
          <w:szCs w:val="20"/>
          <w:u w:val="none" w:color="0000EE"/>
          <w:vertAlign w:val="superscript"/>
          <w:lang w:val="el" w:eastAsia="el"/>
        </w:rPr>
        <w:footnoteReference w:id="769"/>
      </w:r>
    </w:p>
    <w:p>
      <w:pPr>
        <w:spacing w:before="240" w:after="240"/>
        <w:rPr>
          <w:b/>
          <w:bCs/>
          <w:lang w:val="el" w:eastAsia="el"/>
        </w:rPr>
      </w:pPr>
      <w:r>
        <w:rPr>
          <w:b/>
          <w:bCs/>
          <w:lang w:val="el" w:eastAsia="el"/>
        </w:rPr>
        <w:t>1β. Εισιτήρια αθλητικών αγώνων από 1η.9.2020 έως και 30η.6.2022.</w:t>
      </w:r>
      <w:r>
        <w:rPr>
          <w:rStyle w:val="Hyperlink"/>
          <w:b/>
          <w:bCs/>
          <w:color w:val="000000"/>
          <w:sz w:val="20"/>
          <w:szCs w:val="20"/>
          <w:u w:val="none" w:color="0000EE"/>
          <w:vertAlign w:val="superscript"/>
          <w:lang w:val="el" w:eastAsia="el"/>
        </w:rPr>
        <w:footnoteReference w:id="770"/>
      </w:r>
    </w:p>
    <w:p>
      <w:pPr>
        <w:spacing w:before="240" w:after="240"/>
        <w:rPr>
          <w:b/>
          <w:bCs/>
          <w:lang w:val="el" w:eastAsia="el"/>
        </w:rPr>
      </w:pPr>
      <w:r>
        <w:rPr>
          <w:b/>
          <w:bCs/>
          <w:lang w:val="el" w:eastAsia="el"/>
        </w:rPr>
        <w:t>1γ. Εισιτήρια (δικαίωμα εισόδου) για ζωολογικούς κήπους.</w:t>
      </w:r>
      <w:r>
        <w:rPr>
          <w:rStyle w:val="Hyperlink"/>
          <w:b/>
          <w:bCs/>
          <w:color w:val="000000"/>
          <w:sz w:val="20"/>
          <w:szCs w:val="20"/>
          <w:u w:val="none" w:color="0000EE"/>
          <w:vertAlign w:val="superscript"/>
          <w:lang w:val="el" w:eastAsia="el"/>
        </w:rPr>
        <w:footnoteReference w:id="771"/>
      </w:r>
    </w:p>
    <w:p>
      <w:pPr>
        <w:spacing w:before="240" w:after="240"/>
        <w:rPr>
          <w:b/>
          <w:bCs/>
          <w:lang w:val="el" w:eastAsia="el"/>
        </w:rPr>
      </w:pPr>
      <w:r>
        <w:rPr>
          <w:b/>
          <w:bCs/>
          <w:lang w:val="el" w:eastAsia="el"/>
        </w:rPr>
        <w:t>2. Η διαμονή σε ξενοδοχεία και παρόμοιους χώρους, συμπεριλαμβανομένης και της παροχής καταλύματος διακοπών και της μίσθωσης χώρου σε κατασκήνωση ή κάμπινγκ για τροχόσπιτα.</w:t>
      </w:r>
      <w:r>
        <w:rPr>
          <w:rStyle w:val="Hyperlink"/>
          <w:b/>
          <w:bCs/>
          <w:color w:val="000000"/>
          <w:sz w:val="20"/>
          <w:szCs w:val="20"/>
          <w:u w:val="none" w:color="0000EE"/>
          <w:vertAlign w:val="superscript"/>
          <w:lang w:val="el" w:eastAsia="el"/>
        </w:rPr>
        <w:footnoteReference w:id="772"/>
      </w:r>
    </w:p>
    <w:p>
      <w:pPr>
        <w:spacing w:before="240" w:after="240"/>
        <w:rPr>
          <w:b/>
          <w:bCs/>
          <w:lang w:val="el" w:eastAsia="el"/>
        </w:rPr>
      </w:pPr>
      <w:r>
        <w:rPr>
          <w:b/>
          <w:bCs/>
          <w:lang w:val="el" w:eastAsia="el"/>
        </w:rPr>
        <w:t>3. Η παροχή υπηρεσιών κατ` οίκον φροντίδας, παιδιών, ηλικιωμένων, ασθενών και ατόμων με ειδικές ανάγκες γενικά.</w:t>
      </w:r>
      <w:r>
        <w:rPr>
          <w:rStyle w:val="Hyperlink"/>
          <w:b/>
          <w:bCs/>
          <w:color w:val="000000"/>
          <w:sz w:val="20"/>
          <w:szCs w:val="20"/>
          <w:u w:val="none" w:color="0000EE"/>
          <w:vertAlign w:val="superscript"/>
          <w:lang w:val="el" w:eastAsia="el"/>
        </w:rPr>
        <w:footnoteReference w:id="773"/>
      </w:r>
    </w:p>
    <w:p>
      <w:pPr>
        <w:spacing w:before="240" w:after="240"/>
        <w:rPr>
          <w:b/>
          <w:bCs/>
          <w:lang w:val="el" w:eastAsia="el"/>
        </w:rPr>
      </w:pPr>
      <w:r>
        <w:rPr>
          <w:b/>
          <w:bCs/>
          <w:lang w:val="el" w:eastAsia="el"/>
        </w:rPr>
        <w:t>4. Η παροχή υπηρεσιών για τη γεωργική παραγωγή.</w:t>
      </w:r>
      <w:r>
        <w:rPr>
          <w:rStyle w:val="Hyperlink"/>
          <w:b/>
          <w:bCs/>
          <w:color w:val="000000"/>
          <w:sz w:val="20"/>
          <w:szCs w:val="20"/>
          <w:u w:val="none" w:color="0000EE"/>
          <w:vertAlign w:val="superscript"/>
          <w:lang w:val="el" w:eastAsia="el"/>
        </w:rPr>
        <w:footnoteReference w:id="774"/>
      </w:r>
    </w:p>
    <w:p>
      <w:pPr>
        <w:spacing w:before="240" w:after="240"/>
        <w:rPr>
          <w:b/>
          <w:bCs/>
          <w:lang w:val="el" w:eastAsia="el"/>
        </w:rPr>
      </w:pPr>
      <w:r>
        <w:rPr>
          <w:b/>
          <w:bCs/>
          <w:lang w:val="el" w:eastAsia="el"/>
        </w:rPr>
        <w:t xml:space="preserve">5. Η παροχή υπηρεσιών από οίκους ευγηρίας, οικοτροφεία, δομές για άτομα με ειδικές ανάγκες και δομές που παρέχουν κατάλυμα σε άτομα με νοητική υστέρηση, ψυχικές διαταραχές και χρήση ουσιών, που ενεργείται στο πλαίσιο κοινωνικής πρόνοιας, εφόσον δεν εμπίπτει στο πεδίο εφαρμογής της περίπτωσης θ` της παραγράφου 1 του άρθρου 22. </w:t>
      </w:r>
      <w:r>
        <w:rPr>
          <w:rStyle w:val="Hyperlink"/>
          <w:b/>
          <w:bCs/>
          <w:color w:val="000000"/>
          <w:sz w:val="20"/>
          <w:szCs w:val="20"/>
          <w:u w:val="none" w:color="0000EE"/>
          <w:vertAlign w:val="superscript"/>
          <w:lang w:val="el" w:eastAsia="el"/>
        </w:rPr>
        <w:footnoteReference w:id="775"/>
      </w:r>
    </w:p>
    <w:p>
      <w:pPr>
        <w:spacing w:before="240" w:after="240"/>
        <w:rPr>
          <w:b/>
          <w:bCs/>
          <w:lang w:val="el" w:eastAsia="el"/>
        </w:rPr>
      </w:pPr>
      <w:r>
        <w:rPr>
          <w:b/>
          <w:bCs/>
          <w:lang w:val="el" w:eastAsia="el"/>
        </w:rPr>
        <w:t>6. Η εκμετάλλευση καφενείων, καφετεριών, ζαχαροπλαστείων, εστιατορίων, ψητοπωλείων, οινομαγειρείων και λοιπών συναφών προς αυτές επιχειρήσεων, πλην των κέντρων διασκέδασης, με εξαίρεση τη διάθεση ποτών που περιέχουν οινόπνευμα σε οποιαδήποτε αναλογία.</w:t>
      </w:r>
      <w:r>
        <w:rPr>
          <w:rStyle w:val="Hyperlink"/>
          <w:b/>
          <w:bCs/>
          <w:color w:val="000000"/>
          <w:sz w:val="20"/>
          <w:szCs w:val="20"/>
          <w:u w:val="none" w:color="0000EE"/>
          <w:vertAlign w:val="superscript"/>
          <w:lang w:val="el" w:eastAsia="el"/>
        </w:rPr>
        <w:footnoteReference w:id="776"/>
      </w:r>
    </w:p>
    <w:p>
      <w:pPr>
        <w:spacing w:before="240" w:after="240"/>
        <w:rPr>
          <w:b/>
          <w:bCs/>
          <w:lang w:val="el" w:eastAsia="el"/>
        </w:rPr>
      </w:pPr>
      <w:r>
        <w:rPr>
          <w:b/>
          <w:bCs/>
          <w:lang w:val="el" w:eastAsia="el"/>
        </w:rPr>
        <w:t>7. Η διενέργεια ακτινοθεραπευτικών πράξεων που περιλαμβάνονται στην υπ` αριθμ. Υ4α/48545 (Β` 2408/31.8.2012) κοινή απόφαση των Υπουργών Οικονομικών - Εργασίας, Κοινωνικής Ασφάλισης και Πρόνοιας - Υγείας, όπως ισχύει, εφόσον αυτές δεν απαλλάσσονται με το άρθρο 22, για τις οποίες ο συντελεστής του φόρου ορίζεται σε έξι τοις εκατό (6%).</w:t>
      </w:r>
      <w:r>
        <w:rPr>
          <w:rStyle w:val="Hyperlink"/>
          <w:b/>
          <w:bCs/>
          <w:color w:val="000000"/>
          <w:sz w:val="20"/>
          <w:szCs w:val="20"/>
          <w:u w:val="none" w:color="0000EE"/>
          <w:vertAlign w:val="superscript"/>
          <w:lang w:val="el" w:eastAsia="el"/>
        </w:rPr>
        <w:footnoteReference w:id="777"/>
      </w:r>
    </w:p>
    <w:p>
      <w:pPr>
        <w:spacing w:before="240" w:after="240"/>
        <w:rPr>
          <w:b/>
          <w:bCs/>
          <w:lang w:val="el" w:eastAsia="el"/>
        </w:rPr>
      </w:pPr>
      <w:r>
        <w:rPr>
          <w:b/>
          <w:bCs/>
          <w:lang w:val="el" w:eastAsia="el"/>
        </w:rPr>
        <w:t>8. Οι ηλεκτρονικά παρεχόμενες δημοσιεύσεις οπτικών και ακουστικών βιβλίων, εκτός από τις δημοσιεύσεις που προορίζονται εξ ολοκλήρου ή κατά κύριο λόγο για διαφημιστικούς σκοπούς και τις δημοσιεύσεις που συνίστανται εξ ολοκλήρου ή κατά κύριο λόγο σε περιεχόμενο βίντεο ή ακουστικό μουσικό περιεχόμενο. Ο συντελεστής του φόρου για την παροχή υπηρεσιών της παρούσας ορίζεται σε έξι τοις εκατό (6%).</w:t>
      </w:r>
      <w:r>
        <w:rPr>
          <w:rStyle w:val="Hyperlink"/>
          <w:b/>
          <w:bCs/>
          <w:color w:val="000000"/>
          <w:sz w:val="20"/>
          <w:szCs w:val="20"/>
          <w:u w:val="none" w:color="0000EE"/>
          <w:vertAlign w:val="superscript"/>
          <w:lang w:val="el" w:eastAsia="el"/>
        </w:rPr>
        <w:footnoteReference w:id="778"/>
      </w:r>
    </w:p>
    <w:p>
      <w:pPr>
        <w:spacing w:before="240" w:after="240"/>
        <w:rPr>
          <w:b/>
          <w:bCs/>
          <w:lang w:val="el" w:eastAsia="el"/>
        </w:rPr>
      </w:pPr>
      <w:r>
        <w:rPr>
          <w:b/>
          <w:bCs/>
          <w:lang w:val="el" w:eastAsia="el"/>
        </w:rPr>
        <w:t>9. Η παροχή υπηρεσιών από γυμναστήρια από την 1η.10.2021 έως και την 30ή.6.2022.</w:t>
      </w:r>
      <w:r>
        <w:rPr>
          <w:rStyle w:val="Hyperlink"/>
          <w:b/>
          <w:bCs/>
          <w:color w:val="000000"/>
          <w:sz w:val="20"/>
          <w:szCs w:val="20"/>
          <w:u w:val="none" w:color="0000EE"/>
          <w:vertAlign w:val="superscript"/>
          <w:lang w:val="el" w:eastAsia="el"/>
        </w:rPr>
        <w:footnoteReference w:id="779"/>
      </w:r>
    </w:p>
    <w:p>
      <w:pPr>
        <w:spacing w:before="240" w:after="240"/>
        <w:rPr>
          <w:b/>
          <w:bCs/>
          <w:lang w:val="el" w:eastAsia="el"/>
        </w:rPr>
      </w:pPr>
      <w:r>
        <w:rPr>
          <w:b/>
          <w:bCs/>
          <w:lang w:val="el" w:eastAsia="el"/>
        </w:rPr>
        <w:t>10. Η παροχή υπηρεσιών από σχολές εκμάθησης χορού από την 1η.10.2021 έως και την 30ή.6.2022 και εφόσον δεν απαλλάσσονται με το άρθρο 22.</w:t>
      </w:r>
      <w:r>
        <w:rPr>
          <w:rStyle w:val="Hyperlink"/>
          <w:b/>
          <w:bCs/>
          <w:color w:val="000000"/>
          <w:sz w:val="20"/>
          <w:szCs w:val="20"/>
          <w:u w:val="none" w:color="0000EE"/>
          <w:vertAlign w:val="superscript"/>
          <w:lang w:val="el" w:eastAsia="el"/>
        </w:rPr>
        <w:footnoteReference w:id="780"/>
      </w:r>
    </w:p>
    <w:p>
      <w:pPr>
        <w:spacing w:before="240" w:after="240"/>
        <w:rPr>
          <w:b/>
          <w:bCs/>
          <w:lang w:val="el" w:eastAsia="el"/>
        </w:rPr>
      </w:pPr>
      <w:r>
        <w:rPr>
          <w:b/>
          <w:bCs/>
          <w:lang w:val="el" w:eastAsia="el"/>
        </w:rPr>
        <w:t>Γ. ΕΞΑΙΡΕΣΕΙΣ ΑΠΟ ΤΟ ΠΑΡΑΡΤΗΜΑ</w:t>
      </w:r>
    </w:p>
    <w:p>
      <w:pPr>
        <w:spacing w:before="240" w:after="240"/>
        <w:rPr>
          <w:b/>
          <w:bCs/>
          <w:lang w:val="el" w:eastAsia="el"/>
        </w:rPr>
      </w:pPr>
      <w:r>
        <w:rPr>
          <w:b/>
          <w:bCs/>
          <w:lang w:val="el" w:eastAsia="el"/>
        </w:rPr>
        <w:t>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Φ.Π.Α.</w:t>
      </w:r>
      <w:r>
        <w:rPr>
          <w:rStyle w:val="Hyperlink"/>
          <w:b/>
          <w:bCs/>
          <w:color w:val="000000"/>
          <w:sz w:val="20"/>
          <w:szCs w:val="20"/>
          <w:u w:val="none" w:color="0000EE"/>
          <w:vertAlign w:val="superscript"/>
          <w:lang w:val="el" w:eastAsia="el"/>
        </w:rPr>
        <w:footnoteReference w:id="781"/>
      </w:r>
    </w:p>
    <w:p>
      <w:pPr>
        <w:spacing w:before="240" w:after="240"/>
        <w:rPr>
          <w:b/>
          <w:bCs/>
          <w:lang w:val="el" w:eastAsia="el"/>
        </w:rPr>
      </w:pPr>
      <w:r>
        <w:rPr>
          <w:b/>
          <w:bCs/>
          <w:lang w:val="el" w:eastAsia="el"/>
        </w:rPr>
        <w:t xml:space="preserve">ΠΑΡΑΡΤΗΜΑ IV </w:t>
      </w:r>
    </w:p>
    <w:p>
      <w:pPr>
        <w:spacing w:before="240" w:after="240"/>
        <w:rPr>
          <w:b/>
          <w:bCs/>
          <w:lang w:val="el" w:eastAsia="el"/>
        </w:rPr>
      </w:pPr>
      <w:r>
        <w:rPr>
          <w:b/>
          <w:bCs/>
          <w:lang w:val="el" w:eastAsia="el"/>
        </w:rPr>
        <w:t>Πίνακας αγροτικών προϊόντων και αγροτικών υπηρεσιών για τις οποίες εφαρμόζονται κατ΄ αποκοπή συντελεστές επιστροφής φόρου</w:t>
      </w:r>
    </w:p>
    <w:p>
      <w:pPr>
        <w:pStyle w:val="Heading1"/>
        <w:spacing w:before="240" w:after="240"/>
        <w:rPr>
          <w:b/>
          <w:bCs/>
          <w:lang w:val="el" w:eastAsia="el"/>
        </w:rPr>
      </w:pPr>
      <w:r>
        <w:rPr>
          <w:b/>
          <w:bCs/>
          <w:lang w:val="el" w:eastAsia="el"/>
        </w:rPr>
        <w:t xml:space="preserve">ΚΕΦΑΛΑΙΟ Α΄: </w:t>
      </w:r>
    </w:p>
    <w:p>
      <w:pPr>
        <w:pStyle w:val="Heading1"/>
        <w:spacing w:before="240" w:after="240"/>
        <w:rPr>
          <w:b/>
          <w:bCs/>
          <w:lang w:val="el" w:eastAsia="el"/>
        </w:rPr>
      </w:pPr>
      <w:r>
        <w:rPr>
          <w:b/>
          <w:bCs/>
          <w:lang w:val="el" w:eastAsia="el"/>
        </w:rPr>
        <w:t>ΔΑΣΙΚΑ ΠΡΟΪΟΝΤΑ ΚΑΙ ΑΓΡΟΤΙΚΕΣ ΥΠΗΡΕΣΙΕΣ</w:t>
      </w:r>
      <w:r>
        <w:rPr>
          <w:rStyle w:val="Hyperlink"/>
          <w:b/>
          <w:bCs/>
          <w:color w:val="000000"/>
          <w:sz w:val="20"/>
          <w:szCs w:val="20"/>
          <w:u w:val="none" w:color="0000EE"/>
          <w:vertAlign w:val="superscript"/>
          <w:lang w:val="el" w:eastAsia="el"/>
        </w:rPr>
        <w:footnoteReference w:id="782"/>
      </w:r>
    </w:p>
    <w:p>
      <w:pPr>
        <w:spacing w:before="240" w:after="240"/>
        <w:rPr>
          <w:b/>
          <w:bCs/>
          <w:lang w:val="el" w:eastAsia="el"/>
        </w:rPr>
      </w:pPr>
      <w:r>
        <w:rPr>
          <w:b/>
          <w:bCs/>
          <w:lang w:val="el" w:eastAsia="el"/>
        </w:rPr>
        <w:t>1. Καυσόξυλα σε κυλίνδρους, κούτσουρα, μικρά κλαδιά ή δεμάτια. Απορρίμματα ξύλων, στα οποία περιλαμβάνονται και τα πριονίδια (Δ. Κ. 4401).</w:t>
      </w:r>
    </w:p>
    <w:p>
      <w:pPr>
        <w:spacing w:before="240" w:after="240"/>
        <w:rPr>
          <w:b/>
          <w:bCs/>
          <w:lang w:val="el" w:eastAsia="el"/>
        </w:rPr>
      </w:pPr>
      <w:r>
        <w:rPr>
          <w:b/>
          <w:bCs/>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b/>
          <w:bCs/>
          <w:lang w:val="el" w:eastAsia="el"/>
        </w:rPr>
      </w:pPr>
      <w:r>
        <w:rPr>
          <w:b/>
          <w:bCs/>
          <w:lang w:val="el" w:eastAsia="el"/>
        </w:rPr>
        <w:t>3. Αγροτικές υπηρεσίες, γενικά.</w:t>
      </w:r>
    </w:p>
    <w:p>
      <w:pPr>
        <w:pStyle w:val="Heading1"/>
        <w:spacing w:before="240" w:after="240"/>
        <w:rPr>
          <w:b/>
          <w:bCs/>
          <w:lang w:val="el" w:eastAsia="el"/>
        </w:rPr>
      </w:pPr>
      <w:r>
        <w:rPr>
          <w:b/>
          <w:bCs/>
          <w:lang w:val="el" w:eastAsia="el"/>
        </w:rPr>
        <w:t xml:space="preserve">ΚΕΦΑΛΑΙΟ Β΄: </w:t>
      </w:r>
    </w:p>
    <w:p>
      <w:pPr>
        <w:pStyle w:val="Heading1"/>
        <w:spacing w:before="240" w:after="240"/>
        <w:rPr>
          <w:b/>
          <w:bCs/>
          <w:lang w:val="el" w:eastAsia="el"/>
        </w:rPr>
      </w:pPr>
      <w:r>
        <w:rPr>
          <w:b/>
          <w:bCs/>
          <w:lang w:val="el" w:eastAsia="el"/>
        </w:rPr>
        <w:t>ΠΡΟΪΟΝΤΑ ΑΛΙΕΙΑΣ ΚΑΙ ΠΡΟΪΟΝΤΑ ΦΥΤΙΚΗΣ ΠΑΡΑΓΩΓΗΣ</w:t>
      </w:r>
      <w:r>
        <w:rPr>
          <w:rStyle w:val="Hyperlink"/>
          <w:b/>
          <w:bCs/>
          <w:color w:val="000000"/>
          <w:sz w:val="20"/>
          <w:szCs w:val="20"/>
          <w:u w:val="none" w:color="0000EE"/>
          <w:vertAlign w:val="superscript"/>
          <w:lang w:val="el" w:eastAsia="el"/>
        </w:rPr>
        <w:footnoteReference w:id="783"/>
      </w:r>
    </w:p>
    <w:p>
      <w:pPr>
        <w:spacing w:before="240" w:after="240"/>
        <w:rPr>
          <w:b/>
          <w:bCs/>
          <w:lang w:val="el" w:eastAsia="el"/>
        </w:rPr>
      </w:pPr>
      <w:r>
        <w:rPr>
          <w:b/>
          <w:bCs/>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b/>
          <w:bCs/>
          <w:lang w:val="el" w:eastAsia="el"/>
        </w:rPr>
      </w:pPr>
      <w:r>
        <w:rPr>
          <w:b/>
          <w:bCs/>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όστρακα τους, απλώς βρασμένα σε νερό, εφόσον όλα προέρχονται από αλιεία σε γλυκά νερά και από ιχθυοτροφεία (Δ.Κ. ΕΧ 0303).</w:t>
      </w:r>
    </w:p>
    <w:p>
      <w:pPr>
        <w:spacing w:before="240" w:after="240"/>
        <w:rPr>
          <w:b/>
          <w:bCs/>
          <w:lang w:val="el" w:eastAsia="el"/>
        </w:rPr>
      </w:pPr>
      <w:r>
        <w:rPr>
          <w:b/>
          <w:bCs/>
          <w:lang w:val="el" w:eastAsia="el"/>
        </w:rPr>
        <w:t>3. Κατάλοιπα ψαριών γλυκών νερών (ΔΚ. ΕΧ 0511).</w:t>
      </w:r>
    </w:p>
    <w:p>
      <w:pPr>
        <w:spacing w:before="240" w:after="240"/>
        <w:rPr>
          <w:b/>
          <w:bCs/>
          <w:lang w:val="el" w:eastAsia="el"/>
        </w:rPr>
      </w:pPr>
      <w:r>
        <w:rPr>
          <w:b/>
          <w:bCs/>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b/>
          <w:bCs/>
          <w:lang w:val="el" w:eastAsia="el"/>
        </w:rPr>
      </w:pPr>
      <w:r>
        <w:rPr>
          <w:b/>
          <w:bCs/>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b/>
          <w:bCs/>
          <w:lang w:val="el" w:eastAsia="el"/>
        </w:rPr>
      </w:pPr>
      <w:r>
        <w:rPr>
          <w:b/>
          <w:bCs/>
          <w:lang w:val="el" w:eastAsia="el"/>
        </w:rPr>
        <w:t>6. Λαχανικά και φυτά βρώσιμα, διατηρημένα ή νωπά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0702.0703).</w:t>
      </w:r>
    </w:p>
    <w:p>
      <w:pPr>
        <w:spacing w:before="240" w:after="240"/>
        <w:rPr>
          <w:b/>
          <w:bCs/>
          <w:lang w:val="el" w:eastAsia="el"/>
        </w:rPr>
      </w:pPr>
      <w:r>
        <w:rPr>
          <w:b/>
          <w:bCs/>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b/>
          <w:bCs/>
          <w:lang w:val="el" w:eastAsia="el"/>
        </w:rPr>
      </w:pPr>
      <w:r>
        <w:rPr>
          <w:b/>
          <w:bCs/>
          <w:lang w:val="el" w:eastAsia="el"/>
        </w:rPr>
        <w:t>7α.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και ΕΧ 0604).</w:t>
      </w:r>
      <w:r>
        <w:rPr>
          <w:rStyle w:val="Hyperlink"/>
          <w:b/>
          <w:bCs/>
          <w:color w:val="000000"/>
          <w:sz w:val="20"/>
          <w:szCs w:val="20"/>
          <w:u w:val="none" w:color="0000EE"/>
          <w:vertAlign w:val="superscript"/>
          <w:lang w:val="el" w:eastAsia="el"/>
        </w:rPr>
        <w:footnoteReference w:id="784"/>
      </w:r>
    </w:p>
    <w:p>
      <w:pPr>
        <w:spacing w:before="240" w:after="240"/>
        <w:rPr>
          <w:b/>
          <w:bCs/>
          <w:lang w:val="el" w:eastAsia="el"/>
        </w:rPr>
      </w:pPr>
      <w:r>
        <w:rPr>
          <w:b/>
          <w:bCs/>
          <w:lang w:val="el" w:eastAsia="el"/>
        </w:rPr>
        <w:t>8. Όσπρια ξερά, χωρίς λοβό, έστω και αποφλοιωμένα ή σπασμένα (Δ.Κ. 0705).</w:t>
      </w:r>
    </w:p>
    <w:p>
      <w:pPr>
        <w:spacing w:before="240" w:after="240"/>
        <w:rPr>
          <w:b/>
          <w:bCs/>
          <w:lang w:val="el" w:eastAsia="el"/>
        </w:rPr>
      </w:pPr>
      <w:r>
        <w:rPr>
          <w:b/>
          <w:bCs/>
          <w:lang w:val="el" w:eastAsia="el"/>
        </w:rPr>
        <w:t>9. Καρποί και φρούτα βρώσιμα, ξερά ή νωπά ή προσωρινά διατηρημένα (Δ.Κ. 0801 μέχρι και 0809, 0811, 0812).</w:t>
      </w:r>
    </w:p>
    <w:p>
      <w:pPr>
        <w:spacing w:before="240" w:after="240"/>
        <w:rPr>
          <w:b/>
          <w:bCs/>
          <w:lang w:val="el" w:eastAsia="el"/>
        </w:rPr>
      </w:pPr>
      <w:r>
        <w:rPr>
          <w:b/>
          <w:bCs/>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(Δ.Κ.ΕΧ 0813).</w:t>
      </w:r>
    </w:p>
    <w:p>
      <w:pPr>
        <w:spacing w:before="240" w:after="240"/>
        <w:rPr>
          <w:b/>
          <w:bCs/>
          <w:lang w:val="el" w:eastAsia="el"/>
        </w:rPr>
      </w:pPr>
      <w:r>
        <w:rPr>
          <w:b/>
          <w:bCs/>
          <w:lang w:val="el" w:eastAsia="el"/>
        </w:rPr>
        <w:t>11. Μπαχαρικά (Δ.Κ. 0904 μέχρι και 0910).</w:t>
      </w:r>
    </w:p>
    <w:p>
      <w:pPr>
        <w:spacing w:before="240" w:after="240"/>
        <w:rPr>
          <w:b/>
          <w:bCs/>
          <w:lang w:val="el" w:eastAsia="el"/>
        </w:rPr>
      </w:pPr>
      <w:r>
        <w:rPr>
          <w:b/>
          <w:bCs/>
          <w:lang w:val="el" w:eastAsia="el"/>
        </w:rPr>
        <w:t>12. Σπέρματα και σπόροι που προορίζονται για σπορά (Δ.Κ. ΕΧ 1201, ΕΧ 1202, ΕΧ 1204, ΕΧ 1205, ΕΧ 1206, ΕΧ 1207 και ΕΧ 1209).</w:t>
      </w:r>
      <w:r>
        <w:rPr>
          <w:rStyle w:val="Hyperlink"/>
          <w:b/>
          <w:bCs/>
          <w:color w:val="000000"/>
          <w:sz w:val="20"/>
          <w:szCs w:val="20"/>
          <w:u w:val="none" w:color="0000EE"/>
          <w:vertAlign w:val="superscript"/>
          <w:lang w:val="el" w:eastAsia="el"/>
        </w:rPr>
        <w:footnoteReference w:id="785"/>
      </w:r>
    </w:p>
    <w:p>
      <w:pPr>
        <w:spacing w:before="240" w:after="240"/>
        <w:rPr>
          <w:b/>
          <w:bCs/>
          <w:lang w:val="el" w:eastAsia="el"/>
        </w:rPr>
      </w:pPr>
      <w:r>
        <w:rPr>
          <w:b/>
          <w:bCs/>
          <w:lang w:val="el" w:eastAsia="el"/>
        </w:rPr>
        <w:t>13. Σπέρματα, σπόροι και καρποί ελαιώδεις, εκτός από αυτούς που είναι σπασμένοι (Δ.Κ. ΕΧ 1201, 1203).</w:t>
      </w:r>
    </w:p>
    <w:p>
      <w:pPr>
        <w:spacing w:before="240" w:after="240"/>
        <w:rPr>
          <w:b/>
          <w:bCs/>
          <w:lang w:val="el" w:eastAsia="el"/>
        </w:rPr>
      </w:pPr>
      <w:r>
        <w:rPr>
          <w:b/>
          <w:bCs/>
          <w:lang w:val="el" w:eastAsia="el"/>
        </w:rPr>
        <w:t>14. Ζαχαρότευτλα (έστω και τεμαχισμένα), νωπά ή ξερά (Δ.Κ. ΕΧ 1204).</w:t>
      </w:r>
    </w:p>
    <w:p>
      <w:pPr>
        <w:spacing w:before="240" w:after="240"/>
        <w:rPr>
          <w:b/>
          <w:bCs/>
          <w:lang w:val="el" w:eastAsia="el"/>
        </w:rPr>
      </w:pPr>
      <w:r>
        <w:rPr>
          <w:b/>
          <w:bCs/>
          <w:lang w:val="el" w:eastAsia="el"/>
        </w:rPr>
        <w:t>15. Κώνοι λυκίσκου (Δ.Κ. ΕΧ 1206).</w:t>
      </w:r>
    </w:p>
    <w:p>
      <w:pPr>
        <w:spacing w:before="240" w:after="240"/>
        <w:rPr>
          <w:b/>
          <w:bCs/>
          <w:lang w:val="el" w:eastAsia="el"/>
        </w:rPr>
      </w:pPr>
      <w:r>
        <w:rPr>
          <w:b/>
          <w:bCs/>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b/>
          <w:bCs/>
          <w:lang w:val="el" w:eastAsia="el"/>
        </w:rPr>
      </w:pPr>
      <w:r>
        <w:rPr>
          <w:b/>
          <w:bCs/>
          <w:lang w:val="el" w:eastAsia="el"/>
        </w:rPr>
        <w:t>17. Υπολείμματα και απορρίμματα των βιομηχανιών ειδών διατροφής. Τροφές παρασκευασμένες για ζώα, εξαιρουμένων των προς λιανική πώληση συσκευασμένων τροφών για σκύλους ή γάτες (Δ.Κ. 2301, 2302, 2303, 2304, 2305, 2306, 2307, 2308 και ΕΧ 2309).</w:t>
      </w:r>
      <w:r>
        <w:rPr>
          <w:rStyle w:val="Hyperlink"/>
          <w:b/>
          <w:bCs/>
          <w:color w:val="000000"/>
          <w:sz w:val="20"/>
          <w:szCs w:val="20"/>
          <w:u w:val="none" w:color="0000EE"/>
          <w:vertAlign w:val="superscript"/>
          <w:lang w:val="el" w:eastAsia="el"/>
        </w:rPr>
        <w:footnoteReference w:id="786"/>
      </w:r>
    </w:p>
    <w:p>
      <w:pPr>
        <w:spacing w:before="240" w:after="240"/>
        <w:rPr>
          <w:b/>
          <w:bCs/>
          <w:lang w:val="el" w:eastAsia="el"/>
        </w:rPr>
      </w:pPr>
      <w:r>
        <w:rPr>
          <w:b/>
          <w:bCs/>
          <w:lang w:val="el" w:eastAsia="el"/>
        </w:rPr>
        <w:t>18. Άχυρα και περιβλήματα σπόρων δημητριακών ακατέργαστα, έστω και τεμαχισμένα (Δ.Κ. 1209).</w:t>
      </w:r>
    </w:p>
    <w:p>
      <w:pPr>
        <w:spacing w:before="240" w:after="240"/>
        <w:rPr>
          <w:b/>
          <w:bCs/>
          <w:lang w:val="el" w:eastAsia="el"/>
        </w:rPr>
      </w:pPr>
      <w:r>
        <w:rPr>
          <w:b/>
          <w:bCs/>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b/>
          <w:bCs/>
          <w:lang w:val="el" w:eastAsia="el"/>
        </w:rPr>
      </w:pPr>
      <w:r>
        <w:rPr>
          <w:b/>
          <w:bCs/>
          <w:lang w:val="el" w:eastAsia="el"/>
        </w:rPr>
        <w:t>20. Ρετσίνια κωνοφόρων (Δ.Κ. ΕΧ 1302).</w:t>
      </w:r>
    </w:p>
    <w:p>
      <w:pPr>
        <w:spacing w:before="240" w:after="240"/>
        <w:rPr>
          <w:b/>
          <w:bCs/>
          <w:lang w:val="el" w:eastAsia="el"/>
        </w:rPr>
      </w:pPr>
      <w:r>
        <w:rPr>
          <w:b/>
          <w:bCs/>
          <w:lang w:val="el" w:eastAsia="el"/>
        </w:rPr>
        <w:t>21. Φυτικές ύλες που χρησιμοποιούνται κυρίως στην καλαθοποιΐα ή στην σπαρτοπλεκτική (λυγαριές, καλάμια, μπαμπού, βούρλα ακατέργαστα μη καθαρισμένα ούτε σχισμένα, ούτε κατ΄ άλλο τρόπο επεξεργασμένα, στελέχη δημητριακών και άλλα παρόμοια) (Δ.Κ. ΕΧ 1401, ΕΧ 1403).</w:t>
      </w:r>
    </w:p>
    <w:p>
      <w:pPr>
        <w:spacing w:before="240" w:after="240"/>
        <w:rPr>
          <w:b/>
          <w:bCs/>
          <w:lang w:val="el" w:eastAsia="el"/>
        </w:rPr>
      </w:pPr>
      <w:r>
        <w:rPr>
          <w:b/>
          <w:bCs/>
          <w:lang w:val="el" w:eastAsia="el"/>
        </w:rPr>
        <w:t>22. Βελανίδια (Δ.Κ. ΕΧ 1405).</w:t>
      </w:r>
    </w:p>
    <w:p>
      <w:pPr>
        <w:spacing w:before="240" w:after="240"/>
        <w:rPr>
          <w:b/>
          <w:bCs/>
          <w:lang w:val="el" w:eastAsia="el"/>
        </w:rPr>
      </w:pPr>
      <w:r>
        <w:rPr>
          <w:b/>
          <w:bCs/>
          <w:lang w:val="el" w:eastAsia="el"/>
        </w:rPr>
        <w:t>23. Ελαιόλαδο, μούργες και κατάλοιπα ελαιολάδου (Δ.Κ.ΕΧ 1507, ΕΧ 1517).</w:t>
      </w:r>
    </w:p>
    <w:p>
      <w:pPr>
        <w:spacing w:before="240" w:after="240"/>
        <w:rPr>
          <w:b/>
          <w:bCs/>
          <w:lang w:val="el" w:eastAsia="el"/>
        </w:rPr>
      </w:pPr>
      <w:r>
        <w:rPr>
          <w:b/>
          <w:bCs/>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b/>
          <w:bCs/>
          <w:lang w:val="el" w:eastAsia="el"/>
        </w:rPr>
      </w:pPr>
      <w:r>
        <w:rPr>
          <w:b/>
          <w:bCs/>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b/>
          <w:bCs/>
          <w:lang w:val="el" w:eastAsia="el"/>
        </w:rPr>
      </w:pPr>
      <w:r>
        <w:rPr>
          <w:b/>
          <w:bCs/>
          <w:lang w:val="el" w:eastAsia="el"/>
        </w:rPr>
        <w:t>26. Ξύδι από κρασί (Δ.Κ. ΕΧ 2210).</w:t>
      </w:r>
    </w:p>
    <w:p>
      <w:pPr>
        <w:spacing w:before="240" w:after="240"/>
        <w:rPr>
          <w:b/>
          <w:bCs/>
          <w:lang w:val="el" w:eastAsia="el"/>
        </w:rPr>
      </w:pPr>
      <w:r>
        <w:rPr>
          <w:b/>
          <w:bCs/>
          <w:lang w:val="el" w:eastAsia="el"/>
        </w:rPr>
        <w:t>27. Πίτες, ελαιοπυρήνες και άλλα υπολείμματα της εξαγωγής του ελαιολάδου (Δ.Κ. ΕΧ 2304).</w:t>
      </w:r>
    </w:p>
    <w:p>
      <w:pPr>
        <w:spacing w:before="240" w:after="240"/>
        <w:rPr>
          <w:b/>
          <w:bCs/>
          <w:lang w:val="el" w:eastAsia="el"/>
        </w:rPr>
      </w:pPr>
      <w:r>
        <w:rPr>
          <w:b/>
          <w:bCs/>
          <w:lang w:val="el" w:eastAsia="el"/>
        </w:rPr>
        <w:t>28. Οινολάσπες, τρυγιά ακάθαρτη (Δ.Κ. 2305).</w:t>
      </w:r>
    </w:p>
    <w:p>
      <w:pPr>
        <w:spacing w:before="240" w:after="240"/>
        <w:rPr>
          <w:b/>
          <w:bCs/>
          <w:lang w:val="el" w:eastAsia="el"/>
        </w:rPr>
      </w:pPr>
      <w:r>
        <w:rPr>
          <w:b/>
          <w:bCs/>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b/>
          <w:bCs/>
          <w:lang w:val="el" w:eastAsia="el"/>
        </w:rPr>
      </w:pPr>
      <w:r>
        <w:rPr>
          <w:b/>
          <w:bCs/>
          <w:lang w:val="el" w:eastAsia="el"/>
        </w:rPr>
        <w:t>30. Καπνά ακατέργαστα ή που δεν έχουν βιομηχανοποιηθεί. Απορρίμματα καπνού (Δ.Κ. 2401).</w:t>
      </w:r>
    </w:p>
    <w:p>
      <w:pPr>
        <w:spacing w:before="240" w:after="240"/>
        <w:rPr>
          <w:b/>
          <w:bCs/>
          <w:lang w:val="el" w:eastAsia="el"/>
        </w:rPr>
      </w:pPr>
      <w:r>
        <w:rPr>
          <w:b/>
          <w:bCs/>
          <w:lang w:val="el" w:eastAsia="el"/>
        </w:rPr>
        <w:t>31. Φυσικά λιπάσματα φυτικής και ζωικής προέλευσης, που δεν έχουν επεξεργαστεί χημικά (Δ.Κ. ΕΧ 3101).</w:t>
      </w:r>
    </w:p>
    <w:p>
      <w:pPr>
        <w:spacing w:before="240" w:after="240"/>
        <w:rPr>
          <w:b/>
          <w:bCs/>
          <w:lang w:val="el" w:eastAsia="el"/>
        </w:rPr>
      </w:pPr>
      <w:r>
        <w:rPr>
          <w:b/>
          <w:bCs/>
          <w:lang w:val="el" w:eastAsia="el"/>
        </w:rPr>
        <w:t>32. Λινάρι σπασμένο, ακατέργαστο, μουσκεμένο, ξεφλουδισμένο και απορρίμματα από λινάρι (Δ.Κ. ΕΧ 5401).</w:t>
      </w:r>
    </w:p>
    <w:p>
      <w:pPr>
        <w:spacing w:before="240" w:after="240"/>
        <w:rPr>
          <w:b/>
          <w:bCs/>
          <w:lang w:val="el" w:eastAsia="el"/>
        </w:rPr>
      </w:pPr>
      <w:r>
        <w:rPr>
          <w:b/>
          <w:bCs/>
          <w:lang w:val="el" w:eastAsia="el"/>
        </w:rPr>
        <w:t>33. Ραμί ακατέργαστο (Δ.Κ. ΕΧ5402).</w:t>
      </w:r>
    </w:p>
    <w:p>
      <w:pPr>
        <w:spacing w:before="240" w:after="240"/>
        <w:rPr>
          <w:b/>
          <w:bCs/>
          <w:lang w:val="el" w:eastAsia="el"/>
        </w:rPr>
      </w:pPr>
      <w:r>
        <w:rPr>
          <w:b/>
          <w:bCs/>
          <w:lang w:val="el" w:eastAsia="el"/>
        </w:rPr>
        <w:t>34. Βαμβάκι σε μάζες, απορρίμματα από βαμβάκι, μη χτενισμένα ούτε λαωαρισμένα (Δ.Κ. 5501 μέχρι ΕΧ 5503).</w:t>
      </w:r>
    </w:p>
    <w:p>
      <w:pPr>
        <w:spacing w:before="240" w:after="240"/>
        <w:rPr>
          <w:b/>
          <w:bCs/>
          <w:lang w:val="el" w:eastAsia="el"/>
        </w:rPr>
      </w:pPr>
      <w:r>
        <w:rPr>
          <w:b/>
          <w:bCs/>
          <w:lang w:val="el" w:eastAsia="el"/>
        </w:rPr>
        <w:t>35. Καννάβι ακατέργαστο, μουσκεμένο, ξεφλουδισμένο και απορρίμματα από καννάβι (Δ.Κ. ΕΧ 5701).</w:t>
      </w:r>
    </w:p>
    <w:p>
      <w:pPr>
        <w:spacing w:before="240" w:after="240"/>
        <w:rPr>
          <w:b/>
          <w:bCs/>
          <w:lang w:val="el" w:eastAsia="el"/>
        </w:rPr>
      </w:pPr>
      <w:r>
        <w:rPr>
          <w:b/>
          <w:bCs/>
          <w:lang w:val="el" w:eastAsia="el"/>
        </w:rPr>
        <w:t>36. Φυτικές υφαντικές ίνες ακατέργαστες. Απορρίμματα από αυτές τις ίνες (Δ.Κ. ΕΧ 5704).</w:t>
      </w:r>
    </w:p>
    <w:p>
      <w:pPr>
        <w:spacing w:before="240" w:after="240"/>
        <w:rPr>
          <w:b/>
          <w:bCs/>
          <w:lang w:val="el" w:eastAsia="el"/>
        </w:rPr>
      </w:pPr>
      <w:r>
        <w:rPr>
          <w:b/>
          <w:bCs/>
          <w:lang w:val="el" w:eastAsia="el"/>
        </w:rPr>
        <w:t>37. Λοιπά προϊόντα φυτικής παραγωγής ακατέργαστα, που δεν αναφέρονται στις προηγούμενες παραγράφους.</w:t>
      </w:r>
    </w:p>
    <w:p>
      <w:pPr>
        <w:pStyle w:val="Heading1"/>
        <w:spacing w:before="240" w:after="240"/>
        <w:rPr>
          <w:b/>
          <w:bCs/>
          <w:lang w:val="el" w:eastAsia="el"/>
        </w:rPr>
      </w:pPr>
      <w:r>
        <w:rPr>
          <w:b/>
          <w:bCs/>
          <w:lang w:val="el" w:eastAsia="el"/>
        </w:rPr>
        <w:t xml:space="preserve">ΚΕΦΑΛΑΙΟ Γ΄: </w:t>
      </w:r>
    </w:p>
    <w:p>
      <w:pPr>
        <w:pStyle w:val="Heading1"/>
        <w:spacing w:before="240" w:after="240"/>
        <w:rPr>
          <w:b/>
          <w:bCs/>
          <w:lang w:val="el" w:eastAsia="el"/>
        </w:rPr>
      </w:pPr>
      <w:r>
        <w:rPr>
          <w:b/>
          <w:bCs/>
          <w:lang w:val="el" w:eastAsia="el"/>
        </w:rPr>
        <w:t>ΠΡΟΪΟΝΤΑ ΖΩΪΚΗΣ ΠΑΡΑΓΩΓΗΣ</w:t>
      </w:r>
      <w:r>
        <w:rPr>
          <w:rStyle w:val="Hyperlink"/>
          <w:b/>
          <w:bCs/>
          <w:color w:val="000000"/>
          <w:sz w:val="20"/>
          <w:szCs w:val="20"/>
          <w:u w:val="none" w:color="0000EE"/>
          <w:vertAlign w:val="superscript"/>
          <w:lang w:val="el" w:eastAsia="el"/>
        </w:rPr>
        <w:footnoteReference w:id="787"/>
      </w:r>
    </w:p>
    <w:p>
      <w:pPr>
        <w:spacing w:before="240" w:after="240"/>
        <w:rPr>
          <w:b/>
          <w:bCs/>
          <w:lang w:val="el" w:eastAsia="el"/>
        </w:rPr>
      </w:pPr>
      <w:r>
        <w:rPr>
          <w:b/>
          <w:bCs/>
          <w:lang w:val="el" w:eastAsia="el"/>
        </w:rPr>
        <w:t>1. Άλογα, γαϊδούρια και μουλάρια κάθε είδους, ζωντανά (Δ.Κ. 0101).</w:t>
      </w:r>
    </w:p>
    <w:p>
      <w:pPr>
        <w:spacing w:before="240" w:after="240"/>
        <w:rPr>
          <w:b/>
          <w:bCs/>
          <w:lang w:val="el" w:eastAsia="el"/>
        </w:rPr>
      </w:pPr>
      <w:r>
        <w:rPr>
          <w:b/>
          <w:bCs/>
          <w:lang w:val="el" w:eastAsia="el"/>
        </w:rPr>
        <w:t>2. Βοοειδή ζωντανά, στα οποία περιλαμβάνονται και τα βουβαλοειδή (Δ.Κ. 0102).</w:t>
      </w:r>
    </w:p>
    <w:p>
      <w:pPr>
        <w:spacing w:before="240" w:after="240"/>
        <w:rPr>
          <w:b/>
          <w:bCs/>
          <w:lang w:val="el" w:eastAsia="el"/>
        </w:rPr>
      </w:pPr>
      <w:r>
        <w:rPr>
          <w:b/>
          <w:bCs/>
          <w:lang w:val="el" w:eastAsia="el"/>
        </w:rPr>
        <w:t>3. Χοιροειδή ζωντανά (Δ.Κ. 0103).</w:t>
      </w:r>
    </w:p>
    <w:p>
      <w:pPr>
        <w:spacing w:before="240" w:after="240"/>
        <w:rPr>
          <w:b/>
          <w:bCs/>
          <w:lang w:val="el" w:eastAsia="el"/>
        </w:rPr>
      </w:pPr>
      <w:r>
        <w:rPr>
          <w:b/>
          <w:bCs/>
          <w:lang w:val="el" w:eastAsia="el"/>
        </w:rPr>
        <w:t>4. Προβατοειδή και αιγοειδή, ζωντανά (Δ.Κ. 0104).</w:t>
      </w:r>
    </w:p>
    <w:p>
      <w:pPr>
        <w:spacing w:before="240" w:after="240"/>
        <w:rPr>
          <w:b/>
          <w:bCs/>
          <w:lang w:val="el" w:eastAsia="el"/>
        </w:rPr>
      </w:pPr>
      <w:r>
        <w:rPr>
          <w:b/>
          <w:bCs/>
          <w:lang w:val="el" w:eastAsia="el"/>
        </w:rPr>
        <w:t>5. Πουλερικά ορνιθώνα, ζωντανά (Δ.Κ. 0105).</w:t>
      </w:r>
    </w:p>
    <w:p>
      <w:pPr>
        <w:spacing w:before="240" w:after="240"/>
        <w:rPr>
          <w:b/>
          <w:bCs/>
          <w:lang w:val="el" w:eastAsia="el"/>
        </w:rPr>
      </w:pPr>
      <w:r>
        <w:rPr>
          <w:b/>
          <w:bCs/>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w:t>
      </w:r>
      <w:r>
        <w:rPr>
          <w:b/>
          <w:bCs/>
          <w:lang w:val="el" w:eastAsia="el"/>
        </w:rPr>
        <w:softHyphen/>
        <w:t>σες και μεταξοσκώληκες (Δ.Κ. ΕΧ 0106).</w:t>
      </w:r>
    </w:p>
    <w:p>
      <w:pPr>
        <w:spacing w:before="240" w:after="240"/>
        <w:rPr>
          <w:b/>
          <w:bCs/>
          <w:lang w:val="el" w:eastAsia="el"/>
        </w:rPr>
      </w:pPr>
      <w:r>
        <w:rPr>
          <w:b/>
          <w:bCs/>
          <w:lang w:val="el" w:eastAsia="el"/>
        </w:rPr>
        <w:t>7. Κρέατα και παραπροϊόντα σφαγίων (στα οποία περιλαμβάνονται και τα συκώτια), βρώσιμα, των ζώων που αναφέρονται στις παραγράφους 1 μέχρι και 6 αυτού του παραρτήματος, νωπά, διατηρημένα κατεψυγμένα ή με απλή ψύξη, αλατισμένα ή σε άρμη, αποξεραμένα ή καπνιστά (Δ.Κ. ΕΧ 0201, ΕΧ 0202, ΕΧ 0203, ΕΧ 0204 και ΕΧ 0206).</w:t>
      </w:r>
    </w:p>
    <w:p>
      <w:pPr>
        <w:spacing w:before="240" w:after="240"/>
        <w:rPr>
          <w:b/>
          <w:bCs/>
          <w:lang w:val="el" w:eastAsia="el"/>
        </w:rPr>
      </w:pPr>
      <w:r>
        <w:rPr>
          <w:b/>
          <w:bCs/>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b/>
          <w:bCs/>
          <w:lang w:val="el" w:eastAsia="el"/>
        </w:rPr>
      </w:pPr>
      <w:r>
        <w:rPr>
          <w:b/>
          <w:bCs/>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b/>
          <w:bCs/>
          <w:lang w:val="el" w:eastAsia="el"/>
        </w:rPr>
      </w:pPr>
      <w:r>
        <w:rPr>
          <w:b/>
          <w:bCs/>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b/>
          <w:bCs/>
          <w:lang w:val="el" w:eastAsia="el"/>
        </w:rPr>
      </w:pPr>
      <w:r>
        <w:rPr>
          <w:b/>
          <w:bCs/>
          <w:lang w:val="el" w:eastAsia="el"/>
        </w:rPr>
        <w:t>11. Βούτυρο, τυριά και πηγμένο γάλα για τυρί (Δ.Κ. 0403, 0404).</w:t>
      </w:r>
    </w:p>
    <w:p>
      <w:pPr>
        <w:spacing w:before="240" w:after="240"/>
        <w:rPr>
          <w:b/>
          <w:bCs/>
          <w:lang w:val="el" w:eastAsia="el"/>
        </w:rPr>
      </w:pPr>
      <w:r>
        <w:rPr>
          <w:b/>
          <w:bCs/>
          <w:lang w:val="el" w:eastAsia="el"/>
        </w:rPr>
        <w:t>12. Αυγά πουλερικών ορνιθώνα με το τσόφλι τους, νωπά ή διατηρημένα (Δ. Κ. ΕΧ 0405).</w:t>
      </w:r>
    </w:p>
    <w:p>
      <w:pPr>
        <w:spacing w:before="240" w:after="240"/>
        <w:rPr>
          <w:b/>
          <w:bCs/>
          <w:lang w:val="el" w:eastAsia="el"/>
        </w:rPr>
      </w:pPr>
      <w:r>
        <w:rPr>
          <w:b/>
          <w:bCs/>
          <w:lang w:val="el" w:eastAsia="el"/>
        </w:rPr>
        <w:t>13. Μέλι φυσικό (Δ.Κ. 0406).</w:t>
      </w:r>
    </w:p>
    <w:p>
      <w:pPr>
        <w:spacing w:before="240" w:after="240"/>
        <w:rPr>
          <w:b/>
          <w:bCs/>
          <w:lang w:val="el" w:eastAsia="el"/>
        </w:rPr>
      </w:pPr>
      <w:r>
        <w:rPr>
          <w:b/>
          <w:bCs/>
          <w:lang w:val="el" w:eastAsia="el"/>
        </w:rPr>
        <w:t>14. Τρίχες ζώων έστω και απλώς επεξεργασμένες (Δ. Κ. ΕΧ 0502, ΕΧ 0503).</w:t>
      </w:r>
    </w:p>
    <w:p>
      <w:pPr>
        <w:spacing w:before="240" w:after="240"/>
        <w:rPr>
          <w:b/>
          <w:bCs/>
          <w:lang w:val="el" w:eastAsia="el"/>
        </w:rPr>
      </w:pPr>
      <w:r>
        <w:rPr>
          <w:b/>
          <w:bCs/>
          <w:lang w:val="el" w:eastAsia="el"/>
        </w:rPr>
        <w:t>15. Έντερα, κύστες και στομάχια ζώων, ολόκληρα ή σε τεμάχια (Δ.Κ. ΕΧ 0504).</w:t>
      </w:r>
    </w:p>
    <w:p>
      <w:pPr>
        <w:spacing w:before="240" w:after="240"/>
        <w:rPr>
          <w:b/>
          <w:bCs/>
          <w:lang w:val="el" w:eastAsia="el"/>
        </w:rPr>
      </w:pPr>
      <w:r>
        <w:rPr>
          <w:b/>
          <w:bCs/>
          <w:lang w:val="el" w:eastAsia="el"/>
        </w:rPr>
        <w:t>16. Κερί μελισσών ακατέργαστο (Δ.Κ. ΕΧ 1515).</w:t>
      </w:r>
    </w:p>
    <w:p>
      <w:pPr>
        <w:spacing w:before="240" w:after="240"/>
        <w:rPr>
          <w:b/>
          <w:bCs/>
          <w:lang w:val="el" w:eastAsia="el"/>
        </w:rPr>
      </w:pPr>
      <w:r>
        <w:rPr>
          <w:b/>
          <w:bCs/>
          <w:lang w:val="el" w:eastAsia="el"/>
        </w:rPr>
        <w:t>17. Δέρματα βοοειδών, αιγοειδών, προβατοειδών, χοιροειδών και άλλων μικρών ζώων, ακατέργαστα, αλατισμένα, νωπά, αποξεραμένα, διατηρημένα με ασβέστη ή με άλλα διατηρητικά διαλύματα (Δ.Κ. ΕΧ 4101 και ΕΧ 4301).</w:t>
      </w:r>
    </w:p>
    <w:p>
      <w:pPr>
        <w:spacing w:before="240" w:after="240"/>
        <w:rPr>
          <w:b/>
          <w:bCs/>
          <w:lang w:val="el" w:eastAsia="el"/>
        </w:rPr>
      </w:pPr>
      <w:r>
        <w:rPr>
          <w:b/>
          <w:bCs/>
          <w:lang w:val="el" w:eastAsia="el"/>
        </w:rPr>
        <w:t>18. Κουκούλια από μεταξοσκώληκες κατάλληλα για ξετύλιγμα των ινών τους (Δ.Κ. 5001).</w:t>
      </w:r>
    </w:p>
    <w:p>
      <w:pPr>
        <w:spacing w:before="240" w:after="240"/>
        <w:rPr>
          <w:b/>
          <w:bCs/>
          <w:lang w:val="el" w:eastAsia="el"/>
        </w:rPr>
      </w:pPr>
      <w:r>
        <w:rPr>
          <w:b/>
          <w:bCs/>
          <w:lang w:val="el" w:eastAsia="el"/>
        </w:rPr>
        <w:t>19. Μαλλιά σε μάζες, ακάθαρτα ή απλώς πλυμμένα, απορρίμματα μαλλιών και τριχών (Δ.Κ. ΕΧ 5301, ΕΧ 5303).</w:t>
      </w:r>
    </w:p>
    <w:p>
      <w:pPr>
        <w:spacing w:before="240" w:after="240"/>
        <w:rPr>
          <w:b/>
          <w:bCs/>
          <w:lang w:val="el" w:eastAsia="el"/>
        </w:rPr>
      </w:pPr>
      <w:r>
        <w:rPr>
          <w:b/>
          <w:bCs/>
          <w:lang w:val="el" w:eastAsia="el"/>
        </w:rPr>
        <w:t>20. Τρίχες εκλεκτής ποιότητας ή χονδροειδείς, σε μάζες ακατέργαστες (Δ.Κ. ΕΧ 5302).</w:t>
      </w:r>
    </w:p>
    <w:p>
      <w:pPr>
        <w:spacing w:before="240" w:after="240"/>
        <w:rPr>
          <w:b/>
          <w:bCs/>
          <w:lang w:val="el" w:eastAsia="el"/>
        </w:rPr>
      </w:pPr>
      <w:r>
        <w:rPr>
          <w:b/>
          <w:bCs/>
          <w:lang w:val="el" w:eastAsia="el"/>
        </w:rPr>
        <w:t>21. Λοιπά προϊόντα ζωικής παραγωγής ακατέργαστα, που δεν αναφέρονται στις προηγούμενες παραγράφους.</w:t>
      </w:r>
    </w:p>
    <w:p>
      <w:pPr>
        <w:spacing w:before="240" w:after="240"/>
        <w:rPr>
          <w:b/>
          <w:bCs/>
          <w:lang w:val="el" w:eastAsia="el"/>
        </w:rPr>
      </w:pPr>
      <w:r>
        <w:rPr>
          <w:b/>
          <w:bCs/>
          <w:lang w:val="el" w:eastAsia="el"/>
        </w:rPr>
        <w:t>Με αποφάσεις του Υπ. Οικονομικών ρυθμίζεται κάθε λεπτομέρεια για την εφαρμογή των διατάξεων των παραρτημάτων του παρόντος νόμου.</w:t>
      </w:r>
    </w:p>
    <w:p>
      <w:pPr>
        <w:spacing w:before="240" w:after="240"/>
        <w:rPr>
          <w:b/>
          <w:bCs/>
          <w:lang w:val="el" w:eastAsia="el"/>
        </w:rPr>
      </w:pPr>
      <w:r>
        <w:rPr>
          <w:b/>
          <w:bCs/>
          <w:lang w:val="el" w:eastAsia="el"/>
        </w:rPr>
        <w:t>ΠΑΡΑΡΤΗΜΑ V Αντικείμενα καλλιτεχνικής, συλλεκτικής ή αρχαιολογικής αξίας</w:t>
      </w:r>
    </w:p>
    <w:p>
      <w:pPr>
        <w:spacing w:before="240" w:after="240"/>
        <w:rPr>
          <w:b/>
          <w:bCs/>
          <w:lang w:val="el" w:eastAsia="el"/>
        </w:rPr>
      </w:pPr>
      <w:r>
        <w:rPr>
          <w:b/>
          <w:bCs/>
          <w:lang w:val="el" w:eastAsia="el"/>
        </w:rPr>
        <w:t>Για την εφαρμογή των διατάξεων των άρθρων 45 και 46 θεωρούνται:</w:t>
      </w:r>
    </w:p>
    <w:p>
      <w:pPr>
        <w:spacing w:before="240" w:after="240"/>
        <w:rPr>
          <w:b/>
          <w:bCs/>
          <w:lang w:val="el" w:eastAsia="el"/>
        </w:rPr>
      </w:pPr>
      <w:r>
        <w:rPr>
          <w:b/>
          <w:bCs/>
          <w:lang w:val="el" w:eastAsia="el"/>
        </w:rPr>
        <w:t>Α. ΑΝΤΙΚΕΙΜΕΝΑ ΚΑΛΛΙΤΕΧΝΙΚΗΣ ΑΞΙΑΣ.</w:t>
      </w:r>
    </w:p>
    <w:p>
      <w:pPr>
        <w:spacing w:before="240" w:after="240"/>
        <w:rPr>
          <w:b/>
          <w:bCs/>
          <w:lang w:val="el" w:eastAsia="el"/>
        </w:rPr>
      </w:pPr>
      <w:r>
        <w:rPr>
          <w:b/>
          <w:bCs/>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 Κ. 9701).</w:t>
      </w:r>
    </w:p>
    <w:p>
      <w:pPr>
        <w:spacing w:before="240" w:after="240"/>
        <w:rPr>
          <w:b/>
          <w:bCs/>
          <w:lang w:val="el" w:eastAsia="el"/>
        </w:rPr>
      </w:pPr>
      <w:r>
        <w:rPr>
          <w:b/>
          <w:bCs/>
          <w:lang w:val="el" w:eastAsia="el"/>
        </w:rPr>
        <w:t>2) Εικόνες χαρακτικής, χαλκογραφίας και λιθογραφίας, πρωτότυπες (Δ.Κ. 9702).</w:t>
      </w:r>
    </w:p>
    <w:p>
      <w:pPr>
        <w:spacing w:before="240" w:after="240"/>
        <w:rPr>
          <w:b/>
          <w:bCs/>
          <w:lang w:val="el" w:eastAsia="el"/>
        </w:rPr>
      </w:pPr>
      <w:r>
        <w:rPr>
          <w:b/>
          <w:bCs/>
          <w:lang w:val="el" w:eastAsia="el"/>
        </w:rPr>
        <w:t>3) Έργα αγαλματοποιΐας ή γλυπτικής, πρωτότυπα, από κάθε ύλη. Εκμαγεία γλυπτών, 8 (οκτώ) το πολύ αντιτύπων, τα οποία γίνονται υπό την εποπτεία του ίδιου του καλλιτέχνη ή των διαδόχων του (Δ.Κ. 9703).</w:t>
      </w:r>
    </w:p>
    <w:p>
      <w:pPr>
        <w:spacing w:before="240" w:after="240"/>
        <w:rPr>
          <w:b/>
          <w:bCs/>
          <w:lang w:val="el" w:eastAsia="el"/>
        </w:rPr>
      </w:pPr>
      <w:r>
        <w:rPr>
          <w:b/>
          <w:bCs/>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b/>
          <w:bCs/>
          <w:lang w:val="el" w:eastAsia="el"/>
        </w:rPr>
      </w:pPr>
      <w:r>
        <w:rPr>
          <w:b/>
          <w:bCs/>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b/>
          <w:bCs/>
          <w:lang w:val="el" w:eastAsia="el"/>
        </w:rPr>
      </w:pPr>
      <w:r>
        <w:rPr>
          <w:b/>
          <w:bCs/>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b/>
          <w:bCs/>
          <w:lang w:val="el" w:eastAsia="el"/>
        </w:rPr>
      </w:pPr>
      <w:r>
        <w:rPr>
          <w:b/>
          <w:bCs/>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κοσμηματοποΐας, αργυροχοΐας ή χρυσοχοΐας.</w:t>
      </w:r>
    </w:p>
    <w:p>
      <w:pPr>
        <w:spacing w:before="240" w:after="240"/>
        <w:rPr>
          <w:b/>
          <w:bCs/>
          <w:lang w:val="el" w:eastAsia="el"/>
        </w:rPr>
      </w:pPr>
      <w:r>
        <w:rPr>
          <w:b/>
          <w:bCs/>
          <w:lang w:val="el" w:eastAsia="el"/>
        </w:rPr>
        <w:t>8) Φωτογραφίες που ελήφθησαν από τον καλλιτέχνη, οι οποίες εκτυπώθηκαν από τον ίδιο ή υπό τον έλεγχο του, υπογεγραμμένες και αριθμημένες, μέχρι 30 (τριάντα) το πολύ αντίτυπα, ανεξαρτήτως μεγέθους και υλικού υποστρώματος.</w:t>
      </w:r>
    </w:p>
    <w:p>
      <w:pPr>
        <w:spacing w:before="240" w:after="240"/>
        <w:rPr>
          <w:b/>
          <w:bCs/>
          <w:lang w:val="el" w:eastAsia="el"/>
        </w:rPr>
      </w:pPr>
      <w:r>
        <w:rPr>
          <w:b/>
          <w:bCs/>
          <w:lang w:val="el" w:eastAsia="el"/>
        </w:rPr>
        <w:t>Β. ΑΝΤΙΚΕΙΜΕΝΑ ΣΥΛΛΕΚΤΙΚΗΣ ΑΞΙΑΣ</w:t>
      </w:r>
    </w:p>
    <w:p>
      <w:pPr>
        <w:spacing w:before="240" w:after="240"/>
        <w:rPr>
          <w:b/>
          <w:bCs/>
          <w:lang w:val="el" w:eastAsia="el"/>
        </w:rPr>
      </w:pPr>
      <w:r>
        <w:rPr>
          <w:b/>
          <w:bCs/>
          <w:lang w:val="el" w:eastAsia="el"/>
        </w:rPr>
        <w:t>1) Γραμματόσημα, χαρτόσημα, επιστολές με ταχυδρομικές σφραγίδες αλλά χωρίς γραμματόσημο, φάκελλοι πρώτης ημέρας κυκλοφορίας, διάφορα ταχυδρομικά είδη με έντυπο ταχυδρομικό σήμα και ανάλογα,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b/>
          <w:bCs/>
          <w:lang w:val="el" w:eastAsia="el"/>
        </w:rPr>
      </w:pPr>
      <w:r>
        <w:rPr>
          <w:b/>
          <w:bCs/>
          <w:lang w:val="el" w:eastAsia="el"/>
        </w:rPr>
        <w:t>2) Συλλογές και αντικείμενα συλλογών ζωολογίας, ορυκτολογίας, βοτανικής, ανατομίας ή που παρουσιάζουν ιστορικό, αρχαιολογικό, παλαιοντολογικό, εθνογραφικό ή νομισματικό ενδιαφέρον (Δ.Κ. 9705).</w:t>
      </w:r>
    </w:p>
    <w:p>
      <w:pPr>
        <w:spacing w:before="240" w:after="240"/>
        <w:rPr>
          <w:b/>
          <w:bCs/>
          <w:lang w:val="el" w:eastAsia="el"/>
        </w:rPr>
      </w:pPr>
      <w:r>
        <w:rPr>
          <w:b/>
          <w:bCs/>
          <w:lang w:val="el" w:eastAsia="el"/>
        </w:rPr>
        <w:t>Γ. ΑΝΤΙΚΕΙΜΕΝΑ ΑΡΧΑΙΟΛΟΓΙΚΗΣ ΑΞΙΑΣ</w:t>
      </w:r>
    </w:p>
    <w:p>
      <w:pPr>
        <w:spacing w:before="240" w:after="240"/>
        <w:rPr>
          <w:b/>
          <w:bCs/>
          <w:lang w:val="el" w:eastAsia="el"/>
        </w:rPr>
      </w:pPr>
      <w:r>
        <w:rPr>
          <w:b/>
          <w:bCs/>
          <w:lang w:val="el" w:eastAsia="el"/>
        </w:rPr>
        <w:t>Τα αρχαιολογικά αντικείμενα, με ηλικία ανώτερη των εκατό (100) ετών (Δ.Κ. 9706).</w:t>
      </w:r>
    </w:p>
    <w:p>
      <w:pPr>
        <w:spacing w:before="240" w:after="240"/>
        <w:rPr>
          <w:b/>
          <w:bCs/>
          <w:lang w:val="el" w:eastAsia="el"/>
        </w:rPr>
      </w:pPr>
      <w:r>
        <w:rPr>
          <w:b/>
          <w:bCs/>
          <w:lang w:val="el" w:eastAsia="el"/>
        </w:rPr>
        <w:t xml:space="preserve">ΠΑΡΑΡΤΗΜΑ VI </w:t>
      </w:r>
    </w:p>
    <w:p>
      <w:pPr>
        <w:spacing w:before="240" w:after="240"/>
        <w:rPr>
          <w:b/>
          <w:bCs/>
          <w:lang w:val="el" w:eastAsia="el"/>
        </w:rPr>
      </w:pPr>
      <w:r>
        <w:rPr>
          <w:b/>
          <w:bCs/>
          <w:lang w:val="el" w:eastAsia="el"/>
        </w:rPr>
        <w:t>Αγαθά που υπάγονται στο καθεστώς φορολογικής αποθήκευσης του άρθρου 26</w:t>
      </w:r>
    </w:p>
    <w:p>
      <w:pPr>
        <w:spacing w:before="240" w:after="240"/>
        <w:rPr>
          <w:b/>
          <w:bCs/>
          <w:lang w:val="el" w:eastAsia="el"/>
        </w:rPr>
      </w:pPr>
      <w:r>
        <w:rPr>
          <w:b/>
          <w:bCs/>
          <w:lang w:val="el" w:eastAsia="el"/>
        </w:rPr>
        <w:t>1. Πατάτες νωπές ή διατηρημένες με απλή ψύξη (ΔΚ 0701).</w:t>
      </w:r>
    </w:p>
    <w:p>
      <w:pPr>
        <w:spacing w:before="240" w:after="240"/>
        <w:rPr>
          <w:b/>
          <w:bCs/>
          <w:lang w:val="el" w:eastAsia="el"/>
        </w:rPr>
      </w:pPr>
      <w:r>
        <w:rPr>
          <w:b/>
          <w:bCs/>
          <w:lang w:val="el" w:eastAsia="el"/>
        </w:rPr>
        <w:t>2. Ελιές (ΔΚ ΕΧ 0711).</w:t>
      </w:r>
    </w:p>
    <w:p>
      <w:pPr>
        <w:spacing w:before="240" w:after="240"/>
        <w:rPr>
          <w:b/>
          <w:bCs/>
          <w:lang w:val="el" w:eastAsia="el"/>
        </w:rPr>
      </w:pPr>
      <w:r>
        <w:rPr>
          <w:b/>
          <w:bCs/>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b/>
          <w:bCs/>
          <w:lang w:val="el" w:eastAsia="el"/>
        </w:rPr>
      </w:pPr>
      <w:r>
        <w:rPr>
          <w:b/>
          <w:bCs/>
          <w:lang w:val="el" w:eastAsia="el"/>
        </w:rPr>
        <w:t>4. Καφές μη καβουρντισμένος, με ή χωρίς καφεΐνη (ΔΚ ΕΧ 0901)</w:t>
      </w:r>
    </w:p>
    <w:p>
      <w:pPr>
        <w:spacing w:before="240" w:after="240"/>
        <w:rPr>
          <w:b/>
          <w:bCs/>
          <w:lang w:val="el" w:eastAsia="el"/>
        </w:rPr>
      </w:pPr>
      <w:r>
        <w:rPr>
          <w:b/>
          <w:bCs/>
          <w:lang w:val="el" w:eastAsia="el"/>
        </w:rPr>
        <w:t>5. Τσάι, έστω και αρωματισμένο (ΔΚ 0902).</w:t>
      </w:r>
    </w:p>
    <w:p>
      <w:pPr>
        <w:spacing w:before="240" w:after="240"/>
        <w:rPr>
          <w:b/>
          <w:bCs/>
          <w:lang w:val="el" w:eastAsia="el"/>
        </w:rPr>
      </w:pPr>
      <w:r>
        <w:rPr>
          <w:b/>
          <w:bCs/>
          <w:lang w:val="el" w:eastAsia="el"/>
        </w:rPr>
        <w:t>6. Σιτάρι και σμιγάδι, σίκαλη, βρώμη, κριθάρι, καλαμπόκι. Ρύζι με το φλοιό του (ρύζι paddy). Σόργο σε κόκκους. Φαγόπυρο το εδώδιμο (μαύρο σιτάρι), κεχρί και κεχρί το μακρό και άλλα δημητριακά (ΔΚ 1001, 1002, 1003, 1004, 1005, ΕΧ 1006, 1007 και 1008).</w:t>
      </w:r>
    </w:p>
    <w:p>
      <w:pPr>
        <w:spacing w:before="240" w:after="240"/>
        <w:rPr>
          <w:b/>
          <w:bCs/>
          <w:lang w:val="el" w:eastAsia="el"/>
        </w:rPr>
      </w:pPr>
      <w:r>
        <w:rPr>
          <w:b/>
          <w:bCs/>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b/>
          <w:bCs/>
          <w:lang w:val="el" w:eastAsia="el"/>
        </w:rPr>
      </w:pPr>
      <w:r>
        <w:rPr>
          <w:b/>
          <w:bCs/>
          <w:lang w:val="el" w:eastAsia="el"/>
        </w:rPr>
        <w:t>8. Σογιέλαιο, ελαιόλαδο, φοινικέλαιο, λάδια ηλιοτροπίου, λάδια κνήκου ή βαμβακιού, λαχανοφοίνικα (φοινικοπυρηνέλαιο), λάδια κοκοφοίνικα (λάδι κοπρά) ή babassu, λάδια αγριογογγύλης, αγριοκράμβης ή σιναπιού και τα κλάσματα τους, άλλα λάδια και τα κλάσματα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 1509, 1510, 1511, 1512, 1513, 1514 και 1515).</w:t>
      </w:r>
    </w:p>
    <w:p>
      <w:pPr>
        <w:spacing w:before="240" w:after="240"/>
        <w:rPr>
          <w:b/>
          <w:bCs/>
          <w:lang w:val="el" w:eastAsia="el"/>
        </w:rPr>
      </w:pPr>
      <w:r>
        <w:rPr>
          <w:b/>
          <w:bCs/>
          <w:lang w:val="el" w:eastAsia="el"/>
        </w:rPr>
        <w:t>9. Ζάχαρη από ζαχαροκάλαμο ή από τεύτλα, σε στερεή κατάσταση, ακατέργαστη, χωρίς προσθήκη αρωματικών ή χρωστικών ουσιών (ΔΚ ΕΧ 1701).</w:t>
      </w:r>
    </w:p>
    <w:p>
      <w:pPr>
        <w:spacing w:before="240" w:after="240"/>
        <w:rPr>
          <w:b/>
          <w:bCs/>
          <w:lang w:val="el" w:eastAsia="el"/>
        </w:rPr>
      </w:pPr>
      <w:r>
        <w:rPr>
          <w:b/>
          <w:bCs/>
          <w:lang w:val="el" w:eastAsia="el"/>
        </w:rPr>
        <w:t>10. Κακάο σε σπόρους και θραύσματα σπόρων, ακατέργαστα ή φρυγμένα (ΔΚ 1801).</w:t>
      </w:r>
    </w:p>
    <w:p>
      <w:pPr>
        <w:spacing w:before="240" w:after="240"/>
        <w:rPr>
          <w:b/>
          <w:bCs/>
          <w:lang w:val="el" w:eastAsia="el"/>
        </w:rPr>
      </w:pPr>
      <w:r>
        <w:rPr>
          <w:b/>
          <w:bCs/>
          <w:lang w:val="el" w:eastAsia="el"/>
        </w:rPr>
        <w:t>11. Χυμοί πορτοκαλιού (ΔΚ ΕΧ 2009).</w:t>
      </w:r>
    </w:p>
    <w:p>
      <w:pPr>
        <w:spacing w:before="240" w:after="240"/>
        <w:rPr>
          <w:b/>
          <w:bCs/>
          <w:lang w:val="el" w:eastAsia="el"/>
        </w:rPr>
      </w:pPr>
      <w:r>
        <w:rPr>
          <w:b/>
          <w:bCs/>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b/>
          <w:bCs/>
          <w:lang w:val="el" w:eastAsia="el"/>
        </w:rPr>
      </w:pPr>
      <w:r>
        <w:rPr>
          <w:b/>
          <w:bCs/>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b/>
          <w:bCs/>
          <w:lang w:val="el" w:eastAsia="el"/>
        </w:rPr>
      </w:pPr>
      <w:r>
        <w:rPr>
          <w:b/>
          <w:bCs/>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b/>
          <w:bCs/>
          <w:lang w:val="el" w:eastAsia="el"/>
        </w:rPr>
      </w:pPr>
      <w:r>
        <w:rPr>
          <w:b/>
          <w:bCs/>
          <w:lang w:val="el" w:eastAsia="el"/>
        </w:rPr>
        <w:t>15. Οργανικά χημικά προϊόντα (ΔΚ2901 έως και 2942).</w:t>
      </w:r>
    </w:p>
    <w:p>
      <w:pPr>
        <w:spacing w:before="240" w:after="240"/>
        <w:rPr>
          <w:b/>
          <w:bCs/>
          <w:lang w:val="el" w:eastAsia="el"/>
        </w:rPr>
      </w:pPr>
      <w:r>
        <w:rPr>
          <w:b/>
          <w:bCs/>
          <w:lang w:val="el" w:eastAsia="el"/>
        </w:rPr>
        <w:t>16. Καουτσούκ φυσικό, συνθετικό και τεχνητό που προέρχεται από λάδια, μπαλάτα, guayule, γουταπέρκα,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b/>
          <w:bCs/>
          <w:lang w:val="el" w:eastAsia="el"/>
        </w:rPr>
      </w:pPr>
      <w:r>
        <w:rPr>
          <w:b/>
          <w:bCs/>
          <w:lang w:val="el" w:eastAsia="el"/>
        </w:rPr>
        <w:t>17. Ξυλεία ακατέργαστη έστω και ξεφλουδισμένη, που της έχει αφαιρεθεί ο σομφός ή ορθογωνισμένη (ΔΚ ΕΧ 4403).</w:t>
      </w:r>
    </w:p>
    <w:p>
      <w:pPr>
        <w:spacing w:before="240" w:after="240"/>
        <w:rPr>
          <w:b/>
          <w:bCs/>
          <w:lang w:val="el" w:eastAsia="el"/>
        </w:rPr>
      </w:pPr>
      <w:r>
        <w:rPr>
          <w:b/>
          <w:bCs/>
          <w:lang w:val="el" w:eastAsia="el"/>
        </w:rPr>
        <w:t>18. Μαλλιά μη λαναρισμένα ή χτενισμένα (ΔΚ 5101).</w:t>
      </w:r>
    </w:p>
    <w:p>
      <w:pPr>
        <w:spacing w:before="240" w:after="240"/>
        <w:rPr>
          <w:b/>
          <w:bCs/>
          <w:lang w:val="el" w:eastAsia="el"/>
        </w:rPr>
      </w:pPr>
      <w:r>
        <w:rPr>
          <w:b/>
          <w:bCs/>
          <w:lang w:val="el" w:eastAsia="el"/>
        </w:rPr>
        <w:t>19. Βαμβάκι μη λαναρισμένο ή χτενισμένο (ΔΚ 5201).</w:t>
      </w:r>
    </w:p>
    <w:p>
      <w:pPr>
        <w:spacing w:before="240" w:after="240"/>
        <w:rPr>
          <w:b/>
          <w:bCs/>
          <w:lang w:val="el" w:eastAsia="el"/>
        </w:rPr>
      </w:pPr>
      <w:r>
        <w:rPr>
          <w:b/>
          <w:bCs/>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ρόδιο, σε μορφές ακατέργαστες ή σε σκόνη (ΔΚ 7106 και ΕΧ 7110).</w:t>
      </w:r>
    </w:p>
    <w:p>
      <w:pPr>
        <w:spacing w:before="240" w:after="240"/>
        <w:rPr>
          <w:b/>
          <w:bCs/>
          <w:lang w:val="el" w:eastAsia="el"/>
        </w:rPr>
      </w:pPr>
      <w:r>
        <w:rPr>
          <w:b/>
          <w:bCs/>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b/>
          <w:bCs/>
          <w:lang w:val="el" w:eastAsia="el"/>
        </w:rPr>
      </w:pPr>
      <w:r>
        <w:rPr>
          <w:b/>
          <w:bCs/>
          <w:lang w:val="el" w:eastAsia="el"/>
        </w:rPr>
        <w:t>22. Νικέλιο σε ακατέργαστη μορφή (ΔΚ 7502).</w:t>
      </w:r>
    </w:p>
    <w:p>
      <w:pPr>
        <w:spacing w:before="240" w:after="240"/>
        <w:rPr>
          <w:b/>
          <w:bCs/>
          <w:lang w:val="el" w:eastAsia="el"/>
        </w:rPr>
      </w:pPr>
      <w:r>
        <w:rPr>
          <w:b/>
          <w:bCs/>
          <w:lang w:val="el" w:eastAsia="el"/>
        </w:rPr>
        <w:t>23. Αργίλιο σε ακατέργαστη μορφή (αλουμίνιο) (ΔΚ7601).</w:t>
      </w:r>
    </w:p>
    <w:p>
      <w:pPr>
        <w:spacing w:before="240" w:after="240"/>
        <w:rPr>
          <w:b/>
          <w:bCs/>
          <w:lang w:val="el" w:eastAsia="el"/>
        </w:rPr>
      </w:pPr>
      <w:r>
        <w:rPr>
          <w:b/>
          <w:bCs/>
          <w:lang w:val="el" w:eastAsia="el"/>
        </w:rPr>
        <w:t>24. Μόλυβδος σε ακατέργαστη μορφή (ΔΚ 7801).</w:t>
      </w:r>
    </w:p>
    <w:p>
      <w:pPr>
        <w:spacing w:before="240" w:after="240"/>
        <w:rPr>
          <w:b/>
          <w:bCs/>
          <w:lang w:val="el" w:eastAsia="el"/>
        </w:rPr>
      </w:pPr>
      <w:r>
        <w:rPr>
          <w:b/>
          <w:bCs/>
          <w:lang w:val="el" w:eastAsia="el"/>
        </w:rPr>
        <w:t>25. Ψευδάργυρος σε ακατέργαστη μορφή (ΔΚ 7901).</w:t>
      </w:r>
    </w:p>
    <w:p>
      <w:pPr>
        <w:spacing w:before="240" w:after="240"/>
        <w:rPr>
          <w:b/>
          <w:bCs/>
          <w:lang w:val="el" w:eastAsia="el"/>
        </w:rPr>
      </w:pPr>
      <w:r>
        <w:rPr>
          <w:b/>
          <w:bCs/>
          <w:lang w:val="el" w:eastAsia="el"/>
        </w:rPr>
        <w:t>26. Κασσίτερος σε ακατέργαστη μορφή (ΔΚ 8001).</w:t>
      </w:r>
    </w:p>
    <w:p>
      <w:pPr>
        <w:spacing w:before="240" w:after="240"/>
        <w:rPr>
          <w:b/>
          <w:bCs/>
          <w:lang w:val="el" w:eastAsia="el"/>
        </w:rPr>
      </w:pPr>
      <w:r>
        <w:rPr>
          <w:b/>
          <w:bCs/>
          <w:lang w:val="el" w:eastAsia="el"/>
        </w:rPr>
        <w:t>27. Ίνδιο σε ακατέργαστη μορφή, θραύσματα απορρίμματα,. σκόνες και άλλες μορφές (ΔΚ ΕΧ 8112).</w:t>
      </w:r>
    </w:p>
    <w:p>
      <w:pPr>
        <w:pStyle w:val="Heading6"/>
        <w:spacing w:before="240" w:after="240"/>
        <w:rPr>
          <w:b/>
          <w:bCs/>
          <w:lang w:val="el" w:eastAsia="el"/>
        </w:rPr>
      </w:pPr>
      <w:r>
        <w:rPr>
          <w:b/>
          <w:bCs/>
          <w:lang w:val="el" w:eastAsia="el"/>
        </w:rPr>
        <w:t xml:space="preserve">Άρθρο δεύτερο </w:t>
      </w:r>
    </w:p>
    <w:p>
      <w:pPr>
        <w:pStyle w:val="Heading6"/>
        <w:spacing w:before="240" w:after="240"/>
        <w:rPr>
          <w:b/>
          <w:bCs/>
          <w:lang w:val="el" w:eastAsia="el"/>
        </w:rPr>
      </w:pPr>
      <w:r>
        <w:rPr>
          <w:b/>
          <w:bCs/>
          <w:lang w:val="el" w:eastAsia="el"/>
        </w:rPr>
        <w:t>Έναρξη ισχύος</w:t>
      </w:r>
    </w:p>
    <w:p>
      <w:pPr>
        <w:spacing w:before="240" w:after="240"/>
        <w:rPr>
          <w:b/>
          <w:bCs/>
          <w:lang w:val="el" w:eastAsia="el"/>
        </w:rPr>
      </w:pPr>
      <w:r>
        <w:rPr>
          <w:b/>
          <w:bCs/>
          <w:lang w:val="el" w:eastAsia="el"/>
        </w:rPr>
        <w:t>Η ισχύς των διατάξεων αυτού του νόμου αρχίζει από τότε που άρχισαν να ισχύουν οι κωδικοποιούμενες με τον παρόντα νόμο διατάξεις.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 Νοεμβρίου 2000</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O ΥΠΟΥΡΓΟΣ ΕΘΝΙΚΗΣ ΟΙΚΟΝΟΜΙΑΣ ΚΑΙ ΟΙΚΟΝΟΜΙΚΩΝ</w:t>
      </w:r>
    </w:p>
    <w:p>
      <w:pPr>
        <w:spacing w:before="240" w:after="240"/>
        <w:rPr>
          <w:lang w:val="el" w:eastAsia="el"/>
        </w:rPr>
      </w:pPr>
      <w:r>
        <w:rPr>
          <w:b/>
          <w:bCs/>
          <w:lang w:val="el" w:eastAsia="el"/>
        </w:rPr>
        <w:t>Γ. ΠΑΠΑΝΤΩΝΙΟΥ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6 Νοεμβρίου 2000</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Μ. ΣΤΑΘΟΠΟΥΛΟΣ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8" w:history="1">
        <w:r>
          <w:rPr>
            <w:rStyle w:val="Hyperlink"/>
            <w:color w:val="0000EE"/>
            <w:u w:color="0000EE"/>
            <w:lang w:val="el" w:eastAsia="el"/>
          </w:rPr>
          <w:t>Τροποποίηση 3312/2005, Άρθρο 18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Προσθήκη 3427/2005,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5" w:history="1">
        <w:r>
          <w:rPr>
            <w:rStyle w:val="Hyperlink"/>
            <w:color w:val="0000EE"/>
            <w:u w:color="0000EE"/>
            <w:lang w:val="el" w:eastAsia="el"/>
          </w:rPr>
          <w:t>Προσθήκη 4778/2021, Άρθρο 25</w:t>
        </w:r>
      </w:hyperlink>
      <w:r>
        <w:rPr>
          <w:lang w:val="el" w:eastAsia="el"/>
        </w:rPr>
        <w:t xml:space="preserve">; </w:t>
      </w:r>
      <w:hyperlink r:id="rId4" w:anchor="art_21" w:history="1">
        <w:r>
          <w:rPr>
            <w:rStyle w:val="Hyperlink"/>
            <w:color w:val="0000EE"/>
            <w:u w:color="0000EE"/>
            <w:lang w:val="el" w:eastAsia="el"/>
          </w:rPr>
          <w:t>Προσθήκη 3610/2007,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Τροποποίηση 3697/2008,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 w:history="1">
        <w:r>
          <w:rPr>
            <w:rStyle w:val="Hyperlink"/>
            <w:color w:val="0000EE"/>
            <w:u w:color="0000EE"/>
            <w:lang w:val="el" w:eastAsia="el"/>
          </w:rPr>
          <w:t>Προσθήκη 3697/2008, Άρθρο 22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Προσθήκη 3697/2008,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2" w:history="1">
        <w:r>
          <w:rPr>
            <w:rStyle w:val="Hyperlink"/>
            <w:color w:val="0000EE"/>
            <w:u w:color="0000EE"/>
            <w:lang w:val="el" w:eastAsia="el"/>
          </w:rPr>
          <w:t>Προσθήκη 3697/2008, Άρθρο 22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2" w:history="1">
        <w:r>
          <w:rPr>
            <w:rStyle w:val="Hyperlink"/>
            <w:color w:val="0000EE"/>
            <w:u w:color="0000EE"/>
            <w:lang w:val="el" w:eastAsia="el"/>
          </w:rPr>
          <w:t>Προσθήκη 3697/2008, Άρθρο 22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2" w:history="1">
        <w:r>
          <w:rPr>
            <w:rStyle w:val="Hyperlink"/>
            <w:color w:val="0000EE"/>
            <w:u w:color="0000EE"/>
            <w:lang w:val="el" w:eastAsia="el"/>
          </w:rPr>
          <w:t>Προσθήκη 3697/2008,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39" w:history="1">
        <w:r>
          <w:rPr>
            <w:rStyle w:val="Hyperlink"/>
            <w:color w:val="0000EE"/>
            <w:u w:color="0000EE"/>
            <w:lang w:val="el" w:eastAsia="el"/>
          </w:rPr>
          <w:t>Τροποποίηση 3943/2011,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 w:history="1">
        <w:r>
          <w:rPr>
            <w:rStyle w:val="Hyperlink"/>
            <w:color w:val="0000EE"/>
            <w:u w:color="0000EE"/>
            <w:lang w:val="el" w:eastAsia="el"/>
          </w:rPr>
          <w:t>Προσθήκη 4818/2021, Άρθρο 1</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 w:history="1">
        <w:r>
          <w:rPr>
            <w:rStyle w:val="Hyperlink"/>
            <w:color w:val="0000EE"/>
            <w:u w:color="0000EE"/>
            <w:lang w:val="el" w:eastAsia="el"/>
          </w:rPr>
          <w:t>Προσθήκη 4818/2021, Άρθρο 1</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 w:history="1">
        <w:r>
          <w:rPr>
            <w:rStyle w:val="Hyperlink"/>
            <w:color w:val="0000EE"/>
            <w:u w:color="0000EE"/>
            <w:lang w:val="el" w:eastAsia="el"/>
          </w:rPr>
          <w:t>Προσθήκη 4818/2021, Άρθρο 1</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 w:history="1">
        <w:r>
          <w:rPr>
            <w:rStyle w:val="Hyperlink"/>
            <w:color w:val="0000EE"/>
            <w:u w:color="0000EE"/>
            <w:lang w:val="el" w:eastAsia="el"/>
          </w:rPr>
          <w:t>Προσθήκη 4818/2021, Άρθρο 1</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 w:history="1">
        <w:r>
          <w:rPr>
            <w:rStyle w:val="Hyperlink"/>
            <w:color w:val="0000EE"/>
            <w:u w:color="0000EE"/>
            <w:lang w:val="el" w:eastAsia="el"/>
          </w:rPr>
          <w:t>Προσθήκη 4818/2021, Άρθρο 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 w:history="1">
        <w:r>
          <w:rPr>
            <w:rStyle w:val="Hyperlink"/>
            <w:color w:val="0000EE"/>
            <w:u w:color="0000EE"/>
            <w:lang w:val="el" w:eastAsia="el"/>
          </w:rPr>
          <w:t>Προσθήκη 4818/2021, Άρθρο 1</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 w:history="1">
        <w:r>
          <w:rPr>
            <w:rStyle w:val="Hyperlink"/>
            <w:color w:val="0000EE"/>
            <w:u w:color="0000EE"/>
            <w:lang w:val="el" w:eastAsia="el"/>
          </w:rPr>
          <w:t>Προσθήκη 4818/2021, Άρθρο 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2" w:history="1">
        <w:r>
          <w:rPr>
            <w:rStyle w:val="Hyperlink"/>
            <w:color w:val="0000EE"/>
            <w:u w:color="0000EE"/>
            <w:lang w:val="el" w:eastAsia="el"/>
          </w:rPr>
          <w:t>Προσθήκη 4818/2021, Άρθρο 2</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2" w:history="1">
        <w:r>
          <w:rPr>
            <w:rStyle w:val="Hyperlink"/>
            <w:color w:val="0000EE"/>
            <w:u w:color="0000EE"/>
            <w:lang w:val="el" w:eastAsia="el"/>
          </w:rPr>
          <w:t>Προσθήκη 4818/2021, Άρθρο 2</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2" w:history="1">
        <w:r>
          <w:rPr>
            <w:rStyle w:val="Hyperlink"/>
            <w:color w:val="0000EE"/>
            <w:u w:color="0000EE"/>
            <w:lang w:val="el" w:eastAsia="el"/>
          </w:rPr>
          <w:t>Προσθήκη 4818/2021, Άρθρο 2</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92" w:history="1">
        <w:r>
          <w:rPr>
            <w:rStyle w:val="Hyperlink"/>
            <w:color w:val="0000EE"/>
            <w:u w:color="0000EE"/>
            <w:lang w:val="el" w:eastAsia="el"/>
          </w:rPr>
          <w:t>Τροποποίηση 4316/2014, Άρθρο 92</w:t>
        </w:r>
      </w:hyperlink>
      <w:r>
        <w:rPr>
          <w:lang w:val="el" w:eastAsia="el"/>
        </w:rPr>
        <w:t xml:space="preserve">; </w:t>
      </w:r>
      <w:hyperlink r:id="rId23" w:anchor="art_58" w:history="1">
        <w:r>
          <w:rPr>
            <w:rStyle w:val="Hyperlink"/>
            <w:color w:val="0000EE"/>
            <w:u w:color="0000EE"/>
            <w:lang w:val="el" w:eastAsia="el"/>
          </w:rPr>
          <w:t>Τροποποίηση 4223/2013, Άρθρο 58</w:t>
        </w:r>
      </w:hyperlink>
      <w:r>
        <w:rPr>
          <w:lang w:val="el" w:eastAsia="el"/>
        </w:rPr>
        <w:t xml:space="preserve">; </w:t>
      </w:r>
      <w:hyperlink r:id="rId24" w:anchor="art_27" w:history="1">
        <w:r>
          <w:rPr>
            <w:rStyle w:val="Hyperlink"/>
            <w:color w:val="0000EE"/>
            <w:u w:color="0000EE"/>
            <w:lang w:val="el" w:eastAsia="el"/>
          </w:rPr>
          <w:t>Τροποποίηση 3943/2011, Άρθρο 27</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3" w:history="1">
        <w:r>
          <w:rPr>
            <w:rStyle w:val="Hyperlink"/>
            <w:color w:val="0000EE"/>
            <w:u w:color="0000EE"/>
            <w:lang w:val="el" w:eastAsia="el"/>
          </w:rPr>
          <w:t>Τροποποίηση 4092/2012, Άρθρο 3</w:t>
        </w:r>
      </w:hyperlink>
      <w:r>
        <w:rPr>
          <w:lang w:val="el" w:eastAsia="el"/>
        </w:rPr>
        <w:t xml:space="preserve">; </w:t>
      </w:r>
      <w:hyperlink r:id="rId26" w:anchor="art_20" w:history="1">
        <w:r>
          <w:rPr>
            <w:rStyle w:val="Hyperlink"/>
            <w:color w:val="0000EE"/>
            <w:u w:color="0000EE"/>
            <w:lang w:val="el" w:eastAsia="el"/>
          </w:rPr>
          <w:t>Τροποποίηση 3522/2006, Άρθρο 20</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39" w:history="1">
        <w:r>
          <w:rPr>
            <w:rStyle w:val="Hyperlink"/>
            <w:color w:val="0000EE"/>
            <w:u w:color="0000EE"/>
            <w:lang w:val="el" w:eastAsia="el"/>
          </w:rPr>
          <w:t>Προσθήκη 4646/2019, Άρθρο 39</w:t>
        </w:r>
      </w:hyperlink>
      <w:r>
        <w:rPr>
          <w:lang w:val="el" w:eastAsia="el"/>
        </w:rPr>
        <w:t xml:space="preserve">; </w:t>
      </w:r>
      <w:hyperlink r:id="rId28" w:anchor="art_2" w:history="1">
        <w:r>
          <w:rPr>
            <w:rStyle w:val="Hyperlink"/>
            <w:color w:val="0000EE"/>
            <w:u w:color="0000EE"/>
            <w:lang w:val="el" w:eastAsia="el"/>
          </w:rPr>
          <w:t>Τροποποίηση 3427/2005, Άρθρο 2</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 w:history="1">
        <w:r>
          <w:rPr>
            <w:rStyle w:val="Hyperlink"/>
            <w:color w:val="0000EE"/>
            <w:u w:color="0000EE"/>
            <w:lang w:val="el" w:eastAsia="el"/>
          </w:rPr>
          <w:t>Τροποποίηση 3427/2005, Άρθρο 1</w:t>
        </w:r>
      </w:hyperlink>
      <w:r>
        <w:rPr>
          <w:lang w:val="el" w:eastAsia="el"/>
        </w:rPr>
        <w:t xml:space="preserve">; </w:t>
      </w:r>
      <w:hyperlink r:id="rId30" w:anchor="art_9" w:history="1">
        <w:r>
          <w:rPr>
            <w:rStyle w:val="Hyperlink"/>
            <w:color w:val="0000EE"/>
            <w:u w:color="0000EE"/>
            <w:lang w:val="el" w:eastAsia="el"/>
          </w:rPr>
          <w:t>Τροποποίηση 2954/2001, Άρθρο 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79" w:history="1">
        <w:r>
          <w:rPr>
            <w:rStyle w:val="Hyperlink"/>
            <w:color w:val="0000EE"/>
            <w:u w:color="0000EE"/>
            <w:lang w:val="el" w:eastAsia="el"/>
          </w:rPr>
          <w:t>Τροποποίηση 4821/2021, Άρθρο 79</w:t>
        </w:r>
      </w:hyperlink>
      <w:r>
        <w:rPr>
          <w:lang w:val="el" w:eastAsia="el"/>
        </w:rPr>
        <w:t xml:space="preserve">; </w:t>
      </w:r>
      <w:hyperlink r:id="rId32" w:anchor="art_49" w:history="1">
        <w:r>
          <w:rPr>
            <w:rStyle w:val="Hyperlink"/>
            <w:color w:val="0000EE"/>
            <w:u w:color="0000EE"/>
            <w:lang w:val="el" w:eastAsia="el"/>
          </w:rPr>
          <w:t>Τροποποίηση 4701/2020, Άρθρο 49</w:t>
        </w:r>
      </w:hyperlink>
      <w:r>
        <w:rPr>
          <w:lang w:val="el" w:eastAsia="el"/>
        </w:rPr>
        <w:t xml:space="preserve">; </w:t>
      </w:r>
      <w:hyperlink r:id="rId33" w:anchor="art_39" w:history="1">
        <w:r>
          <w:rPr>
            <w:rStyle w:val="Hyperlink"/>
            <w:color w:val="0000EE"/>
            <w:u w:color="0000EE"/>
            <w:lang w:val="el" w:eastAsia="el"/>
          </w:rPr>
          <w:t>Προσθήκη 4646/2019, Άρθρο 39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39" w:history="1">
        <w:r>
          <w:rPr>
            <w:rStyle w:val="Hyperlink"/>
            <w:color w:val="0000EE"/>
            <w:u w:color="0000EE"/>
            <w:lang w:val="el" w:eastAsia="el"/>
          </w:rPr>
          <w:t>Προσθήκη 4646/2019, Άρθρο 39</w:t>
        </w:r>
      </w:hyperlink>
      <w:r>
        <w:rPr>
          <w:lang w:val="el" w:eastAsia="el"/>
        </w:rPr>
        <w:t xml:space="preserve">; </w:t>
      </w:r>
      <w:hyperlink r:id="rId35" w:anchor="art_1" w:history="1">
        <w:r>
          <w:rPr>
            <w:rStyle w:val="Hyperlink"/>
            <w:color w:val="0000EE"/>
            <w:u w:color="0000EE"/>
            <w:lang w:val="el" w:eastAsia="el"/>
          </w:rPr>
          <w:t>Προσθήκη 3427/2005, Άρθρο 1</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21" w:history="1">
        <w:r>
          <w:rPr>
            <w:rStyle w:val="Hyperlink"/>
            <w:color w:val="0000EE"/>
            <w:u w:color="0000EE"/>
            <w:lang w:val="el" w:eastAsia="el"/>
          </w:rPr>
          <w:t>Τροποποίηση 4819/2021, Άρθρο 21</w:t>
        </w:r>
      </w:hyperlink>
      <w:r>
        <w:rPr>
          <w:lang w:val="el" w:eastAsia="el"/>
        </w:rPr>
        <w:t xml:space="preserve">; </w:t>
      </w:r>
      <w:hyperlink r:id="rId37" w:anchor="art_7" w:history="1">
        <w:r>
          <w:rPr>
            <w:rStyle w:val="Hyperlink"/>
            <w:color w:val="0000EE"/>
            <w:u w:color="0000EE"/>
            <w:lang w:val="el" w:eastAsia="el"/>
          </w:rPr>
          <w:t>Τροποποίηση 4474/2017, Άρθρο 7</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21" w:history="1">
        <w:r>
          <w:rPr>
            <w:rStyle w:val="Hyperlink"/>
            <w:color w:val="0000EE"/>
            <w:u w:color="0000EE"/>
            <w:lang w:val="el" w:eastAsia="el"/>
          </w:rPr>
          <w:t>Τροποποίηση 4819/2021, Άρθρο 21</w:t>
        </w:r>
      </w:hyperlink>
      <w:r>
        <w:rPr>
          <w:lang w:val="el" w:eastAsia="el"/>
        </w:rPr>
        <w:t xml:space="preserve">; Προσθήκη PNP/26.07.2018, Άρθρο 9; </w:t>
      </w:r>
      <w:hyperlink r:id="rId39" w:anchor="art_7" w:history="1">
        <w:r>
          <w:rPr>
            <w:rStyle w:val="Hyperlink"/>
            <w:color w:val="0000EE"/>
            <w:u w:color="0000EE"/>
            <w:lang w:val="el" w:eastAsia="el"/>
          </w:rPr>
          <w:t>Τροποποίηση 4474/2017, Άρθρο 7</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21" w:history="1">
        <w:r>
          <w:rPr>
            <w:rStyle w:val="Hyperlink"/>
            <w:color w:val="0000EE"/>
            <w:u w:color="0000EE"/>
            <w:lang w:val="el" w:eastAsia="el"/>
          </w:rPr>
          <w:t>Τροποποίηση 4819/2021, Άρθρο 21</w:t>
        </w:r>
      </w:hyperlink>
      <w:r>
        <w:rPr>
          <w:lang w:val="el" w:eastAsia="el"/>
        </w:rPr>
        <w:t xml:space="preserve">; </w:t>
      </w:r>
      <w:hyperlink r:id="rId41" w:anchor="art_7" w:history="1">
        <w:r>
          <w:rPr>
            <w:rStyle w:val="Hyperlink"/>
            <w:color w:val="0000EE"/>
            <w:u w:color="0000EE"/>
            <w:lang w:val="el" w:eastAsia="el"/>
          </w:rPr>
          <w:t>Τροποποίηση 4474/2017, Άρθρο 7</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21" w:history="1">
        <w:r>
          <w:rPr>
            <w:rStyle w:val="Hyperlink"/>
            <w:color w:val="0000EE"/>
            <w:u w:color="0000EE"/>
            <w:lang w:val="el" w:eastAsia="el"/>
          </w:rPr>
          <w:t>Τροποποίηση 4819/2021, Άρθρο 21</w:t>
        </w:r>
      </w:hyperlink>
      <w:r>
        <w:rPr>
          <w:lang w:val="el" w:eastAsia="el"/>
        </w:rPr>
        <w:t xml:space="preserve">; </w:t>
      </w:r>
      <w:hyperlink r:id="rId43" w:anchor="art_7" w:history="1">
        <w:r>
          <w:rPr>
            <w:rStyle w:val="Hyperlink"/>
            <w:color w:val="0000EE"/>
            <w:u w:color="0000EE"/>
            <w:lang w:val="el" w:eastAsia="el"/>
          </w:rPr>
          <w:t>Τροποποίηση 4474/2017, Άρθρο 7</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21" w:history="1">
        <w:r>
          <w:rPr>
            <w:rStyle w:val="Hyperlink"/>
            <w:color w:val="0000EE"/>
            <w:u w:color="0000EE"/>
            <w:lang w:val="el" w:eastAsia="el"/>
          </w:rPr>
          <w:t>Τροποποίηση 4819/2021, Άρθρο 21</w:t>
        </w:r>
      </w:hyperlink>
      <w:r>
        <w:rPr>
          <w:lang w:val="el" w:eastAsia="el"/>
        </w:rPr>
        <w:t>; Προσθήκη PNP/26.07.2018, Άρθρο 9</w:t>
      </w:r>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20" w:history="1">
        <w:r>
          <w:rPr>
            <w:rStyle w:val="Hyperlink"/>
            <w:color w:val="0000EE"/>
            <w:u w:color="0000EE"/>
            <w:lang w:val="el" w:eastAsia="el"/>
          </w:rPr>
          <w:t>Τροποποίηση 3522/2006, Άρθρο 20</w:t>
        </w:r>
      </w:hyperlink>
      <w:r>
        <w:rPr>
          <w:lang w:val="el" w:eastAsia="el"/>
        </w:rPr>
        <w:t xml:space="preserve">; </w:t>
      </w:r>
      <w:hyperlink r:id="rId46" w:anchor="art_1" w:history="1">
        <w:r>
          <w:rPr>
            <w:rStyle w:val="Hyperlink"/>
            <w:color w:val="0000EE"/>
            <w:u w:color="0000EE"/>
            <w:lang w:val="el" w:eastAsia="el"/>
          </w:rPr>
          <w:t>Τροποποίηση 3312/2005, Άρθρο 1</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18" w:history="1">
        <w:r>
          <w:rPr>
            <w:rStyle w:val="Hyperlink"/>
            <w:color w:val="0000EE"/>
            <w:u w:color="0000EE"/>
            <w:lang w:val="el" w:eastAsia="el"/>
          </w:rPr>
          <w:t>Τροποποίηση 3312/2005, Άρθρο 18</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21" w:history="1">
        <w:r>
          <w:rPr>
            <w:rStyle w:val="Hyperlink"/>
            <w:color w:val="0000EE"/>
            <w:u w:color="0000EE"/>
            <w:lang w:val="el" w:eastAsia="el"/>
          </w:rPr>
          <w:t>Τροποποίηση 4141/2013, Άρθρο 21</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39" w:history="1">
        <w:r>
          <w:rPr>
            <w:rStyle w:val="Hyperlink"/>
            <w:color w:val="0000EE"/>
            <w:u w:color="0000EE"/>
            <w:lang w:val="el" w:eastAsia="el"/>
          </w:rPr>
          <w:t>Τροποποίηση 3943/2011, Άρθρο 39</w:t>
        </w:r>
      </w:hyperlink>
      <w:r>
        <w:rPr>
          <w:lang w:val="el" w:eastAsia="el"/>
        </w:rPr>
        <w:t xml:space="preserve">; </w:t>
      </w:r>
      <w:hyperlink r:id="rId50" w:anchor="art_18" w:history="1">
        <w:r>
          <w:rPr>
            <w:rStyle w:val="Hyperlink"/>
            <w:color w:val="0000EE"/>
            <w:u w:color="0000EE"/>
            <w:lang w:val="el" w:eastAsia="el"/>
          </w:rPr>
          <w:t>Προσθήκη 3312/2005, Άρθρο 18</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73" w:history="1">
        <w:r>
          <w:rPr>
            <w:rStyle w:val="Hyperlink"/>
            <w:color w:val="0000EE"/>
            <w:u w:color="0000EE"/>
            <w:lang w:val="el" w:eastAsia="el"/>
          </w:rPr>
          <w:t>Τροποποίηση 4375/2016, Άρθρο 73</w:t>
        </w:r>
      </w:hyperlink>
      <w:r>
        <w:rPr>
          <w:lang w:val="el" w:eastAsia="el"/>
        </w:rPr>
        <w:t xml:space="preserve">; </w:t>
      </w:r>
      <w:hyperlink r:id="rId52" w:anchor="art_46" w:history="1">
        <w:r>
          <w:rPr>
            <w:rStyle w:val="Hyperlink"/>
            <w:color w:val="0000EE"/>
            <w:u w:color="0000EE"/>
            <w:lang w:val="el" w:eastAsia="el"/>
          </w:rPr>
          <w:t>Προσθήκη 4238/2014, Άρθρο 46</w:t>
        </w:r>
      </w:hyperlink>
      <w:r>
        <w:rPr>
          <w:lang w:val="el" w:eastAsia="el"/>
        </w:rPr>
        <w:t xml:space="preserve">; </w:t>
      </w:r>
      <w:hyperlink r:id="rId53" w:anchor="art_21" w:history="1">
        <w:r>
          <w:rPr>
            <w:rStyle w:val="Hyperlink"/>
            <w:color w:val="0000EE"/>
            <w:u w:color="0000EE"/>
            <w:lang w:val="el" w:eastAsia="el"/>
          </w:rPr>
          <w:t>Τροποποίηση 3296/2004, Άρθρο 21</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61" w:history="1">
        <w:r>
          <w:rPr>
            <w:rStyle w:val="Hyperlink"/>
            <w:color w:val="0000EE"/>
            <w:u w:color="0000EE"/>
            <w:lang w:val="el" w:eastAsia="el"/>
          </w:rPr>
          <w:t>Προσθήκη 4714/2020, Άρθρο 61</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61" w:history="1">
        <w:r>
          <w:rPr>
            <w:rStyle w:val="Hyperlink"/>
            <w:color w:val="0000EE"/>
            <w:u w:color="0000EE"/>
            <w:lang w:val="el" w:eastAsia="el"/>
          </w:rPr>
          <w:t>Προσθήκη 4714/2020, Άρθρο 61</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61" w:history="1">
        <w:r>
          <w:rPr>
            <w:rStyle w:val="Hyperlink"/>
            <w:color w:val="0000EE"/>
            <w:u w:color="0000EE"/>
            <w:lang w:val="el" w:eastAsia="el"/>
          </w:rPr>
          <w:t>Προσθήκη 4714/2020, Άρθρο 61</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61" w:history="1">
        <w:r>
          <w:rPr>
            <w:rStyle w:val="Hyperlink"/>
            <w:color w:val="0000EE"/>
            <w:u w:color="0000EE"/>
            <w:lang w:val="el" w:eastAsia="el"/>
          </w:rPr>
          <w:t>Προσθήκη 4714/2020, Άρθρο 61</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61" w:history="1">
        <w:r>
          <w:rPr>
            <w:rStyle w:val="Hyperlink"/>
            <w:color w:val="0000EE"/>
            <w:u w:color="0000EE"/>
            <w:lang w:val="el" w:eastAsia="el"/>
          </w:rPr>
          <w:t>Προσθήκη 4714/2020, Άρθρο 61</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61" w:history="1">
        <w:r>
          <w:rPr>
            <w:rStyle w:val="Hyperlink"/>
            <w:color w:val="0000EE"/>
            <w:u w:color="0000EE"/>
            <w:lang w:val="el" w:eastAsia="el"/>
          </w:rPr>
          <w:t>Προσθήκη 4714/2020, Άρθρο 61</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61" w:history="1">
        <w:r>
          <w:rPr>
            <w:rStyle w:val="Hyperlink"/>
            <w:color w:val="0000EE"/>
            <w:u w:color="0000EE"/>
            <w:lang w:val="el" w:eastAsia="el"/>
          </w:rPr>
          <w:t>Προσθήκη 4714/2020, Άρθρο 61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61" w:history="1">
        <w:r>
          <w:rPr>
            <w:rStyle w:val="Hyperlink"/>
            <w:color w:val="0000EE"/>
            <w:u w:color="0000EE"/>
            <w:lang w:val="el" w:eastAsia="el"/>
          </w:rPr>
          <w:t>Προσθήκη 4714/2020, Άρθρο 61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61" w:history="1">
        <w:r>
          <w:rPr>
            <w:rStyle w:val="Hyperlink"/>
            <w:color w:val="0000EE"/>
            <w:u w:color="0000EE"/>
            <w:lang w:val="el" w:eastAsia="el"/>
          </w:rPr>
          <w:t>Προσθήκη 4714/2020, Άρθρο 61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61" w:history="1">
        <w:r>
          <w:rPr>
            <w:rStyle w:val="Hyperlink"/>
            <w:color w:val="0000EE"/>
            <w:u w:color="0000EE"/>
            <w:lang w:val="el" w:eastAsia="el"/>
          </w:rPr>
          <w:t>Προσθήκη 4714/2020, Άρθρο 61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61" w:history="1">
        <w:r>
          <w:rPr>
            <w:rStyle w:val="Hyperlink"/>
            <w:color w:val="0000EE"/>
            <w:u w:color="0000EE"/>
            <w:lang w:val="el" w:eastAsia="el"/>
          </w:rPr>
          <w:t>Προσθήκη 4714/2020, Άρθρο 61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61" w:history="1">
        <w:r>
          <w:rPr>
            <w:rStyle w:val="Hyperlink"/>
            <w:color w:val="0000EE"/>
            <w:u w:color="0000EE"/>
            <w:lang w:val="el" w:eastAsia="el"/>
          </w:rPr>
          <w:t>Προσθήκη 4714/2020, Άρθρο 61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61" w:history="1">
        <w:r>
          <w:rPr>
            <w:rStyle w:val="Hyperlink"/>
            <w:color w:val="0000EE"/>
            <w:u w:color="0000EE"/>
            <w:lang w:val="el" w:eastAsia="el"/>
          </w:rPr>
          <w:t>Προσθήκη 4714/2020, Άρθρο 61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61" w:history="1">
        <w:r>
          <w:rPr>
            <w:rStyle w:val="Hyperlink"/>
            <w:color w:val="0000EE"/>
            <w:u w:color="0000EE"/>
            <w:lang w:val="el" w:eastAsia="el"/>
          </w:rPr>
          <w:t>Προσθήκη 4714/2020, Άρθρο 61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61" w:history="1">
        <w:r>
          <w:rPr>
            <w:rStyle w:val="Hyperlink"/>
            <w:color w:val="0000EE"/>
            <w:u w:color="0000EE"/>
            <w:lang w:val="el" w:eastAsia="el"/>
          </w:rPr>
          <w:t>Προσθήκη 4714/2020, Άρθρο 61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61" w:history="1">
        <w:r>
          <w:rPr>
            <w:rStyle w:val="Hyperlink"/>
            <w:color w:val="0000EE"/>
            <w:u w:color="0000EE"/>
            <w:lang w:val="el" w:eastAsia="el"/>
          </w:rPr>
          <w:t>Προσθήκη 4714/2020, Άρθρο 61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61" w:history="1">
        <w:r>
          <w:rPr>
            <w:rStyle w:val="Hyperlink"/>
            <w:color w:val="0000EE"/>
            <w:u w:color="0000EE"/>
            <w:lang w:val="el" w:eastAsia="el"/>
          </w:rPr>
          <w:t>Προσθήκη 4714/2020, Άρθρο 61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61" w:history="1">
        <w:r>
          <w:rPr>
            <w:rStyle w:val="Hyperlink"/>
            <w:color w:val="0000EE"/>
            <w:u w:color="0000EE"/>
            <w:lang w:val="el" w:eastAsia="el"/>
          </w:rPr>
          <w:t>Προσθήκη 4714/2020, Άρθρο 61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61" w:history="1">
        <w:r>
          <w:rPr>
            <w:rStyle w:val="Hyperlink"/>
            <w:color w:val="0000EE"/>
            <w:u w:color="0000EE"/>
            <w:lang w:val="el" w:eastAsia="el"/>
          </w:rPr>
          <w:t>Προσθήκη 4714/2020, Άρθρο 61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61" w:history="1">
        <w:r>
          <w:rPr>
            <w:rStyle w:val="Hyperlink"/>
            <w:color w:val="0000EE"/>
            <w:u w:color="0000EE"/>
            <w:lang w:val="el" w:eastAsia="el"/>
          </w:rPr>
          <w:t>Προσθήκη 4714/2020, Άρθρο 61</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61" w:history="1">
        <w:r>
          <w:rPr>
            <w:rStyle w:val="Hyperlink"/>
            <w:color w:val="0000EE"/>
            <w:u w:color="0000EE"/>
            <w:lang w:val="el" w:eastAsia="el"/>
          </w:rPr>
          <w:t>Προσθήκη 4714/2020, Άρθρο 61</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61" w:history="1">
        <w:r>
          <w:rPr>
            <w:rStyle w:val="Hyperlink"/>
            <w:color w:val="0000EE"/>
            <w:u w:color="0000EE"/>
            <w:lang w:val="el" w:eastAsia="el"/>
          </w:rPr>
          <w:t>Προσθήκη 4714/2020, Άρθρο 61</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61" w:history="1">
        <w:r>
          <w:rPr>
            <w:rStyle w:val="Hyperlink"/>
            <w:color w:val="0000EE"/>
            <w:u w:color="0000EE"/>
            <w:lang w:val="el" w:eastAsia="el"/>
          </w:rPr>
          <w:t>Προσθήκη 4714/2020, Άρθρο 61</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61" w:history="1">
        <w:r>
          <w:rPr>
            <w:rStyle w:val="Hyperlink"/>
            <w:color w:val="0000EE"/>
            <w:u w:color="0000EE"/>
            <w:lang w:val="el" w:eastAsia="el"/>
          </w:rPr>
          <w:t>Προσθήκη 4714/2020, Άρθρο 61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61" w:history="1">
        <w:r>
          <w:rPr>
            <w:rStyle w:val="Hyperlink"/>
            <w:color w:val="0000EE"/>
            <w:u w:color="0000EE"/>
            <w:lang w:val="el" w:eastAsia="el"/>
          </w:rPr>
          <w:t>Προσθήκη 4714/2020, Άρθρο 61</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61" w:history="1">
        <w:r>
          <w:rPr>
            <w:rStyle w:val="Hyperlink"/>
            <w:color w:val="0000EE"/>
            <w:u w:color="0000EE"/>
            <w:lang w:val="el" w:eastAsia="el"/>
          </w:rPr>
          <w:t>Προσθήκη 4714/2020, Άρθρο 61</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61" w:history="1">
        <w:r>
          <w:rPr>
            <w:rStyle w:val="Hyperlink"/>
            <w:color w:val="0000EE"/>
            <w:u w:color="0000EE"/>
            <w:lang w:val="el" w:eastAsia="el"/>
          </w:rPr>
          <w:t>Προσθήκη 4714/2020, Άρθρο 61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17" w:history="1">
        <w:r>
          <w:rPr>
            <w:rStyle w:val="Hyperlink"/>
            <w:color w:val="0000EE"/>
            <w:u w:color="0000EE"/>
            <w:lang w:val="el" w:eastAsia="el"/>
          </w:rPr>
          <w:t>Τροποποίηση 4110/2013, Άρθρο 17</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11" w:history="1">
        <w:r>
          <w:rPr>
            <w:rStyle w:val="Hyperlink"/>
            <w:color w:val="0000EE"/>
            <w:u w:color="0000EE"/>
            <w:lang w:val="el" w:eastAsia="el"/>
          </w:rPr>
          <w:t>Τροποποίηση 4211/2013, Άρθρο 11</w:t>
        </w:r>
      </w:hyperlink>
      <w:r>
        <w:rPr>
          <w:lang w:val="el" w:eastAsia="el"/>
        </w:rPr>
        <w:t xml:space="preserve">; </w:t>
      </w:r>
      <w:hyperlink r:id="rId83" w:anchor="art_17" w:history="1">
        <w:r>
          <w:rPr>
            <w:rStyle w:val="Hyperlink"/>
            <w:color w:val="0000EE"/>
            <w:u w:color="0000EE"/>
            <w:lang w:val="el" w:eastAsia="el"/>
          </w:rPr>
          <w:t>Τροποποίηση 4110/2013, Άρθρο 17</w:t>
        </w:r>
      </w:hyperlink>
      <w:r>
        <w:rPr>
          <w:lang w:val="el" w:eastAsia="el"/>
        </w:rPr>
        <w:t xml:space="preserve">; </w:t>
      </w:r>
      <w:hyperlink r:id="rId84" w:anchor="art_27" w:history="1">
        <w:r>
          <w:rPr>
            <w:rStyle w:val="Hyperlink"/>
            <w:color w:val="0000EE"/>
            <w:u w:color="0000EE"/>
            <w:lang w:val="el" w:eastAsia="el"/>
          </w:rPr>
          <w:t>Τροποποίηση 3943/2011, Άρθρο 27</w:t>
        </w:r>
      </w:hyperlink>
      <w:r>
        <w:rPr>
          <w:lang w:val="el" w:eastAsia="el"/>
        </w:rPr>
        <w:t xml:space="preserve">; </w:t>
      </w:r>
      <w:hyperlink r:id="rId85" w:anchor="art_24" w:history="1">
        <w:r>
          <w:rPr>
            <w:rStyle w:val="Hyperlink"/>
            <w:color w:val="0000EE"/>
            <w:u w:color="0000EE"/>
            <w:lang w:val="el" w:eastAsia="el"/>
          </w:rPr>
          <w:t>Τροποποίηση 3522/2006, Άρθρο 24</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24" w:history="1">
        <w:r>
          <w:rPr>
            <w:rStyle w:val="Hyperlink"/>
            <w:color w:val="0000EE"/>
            <w:u w:color="0000EE"/>
            <w:lang w:val="el" w:eastAsia="el"/>
          </w:rPr>
          <w:t>Προσθήκη 3522/2006, Άρθρο 24</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17" w:history="1">
        <w:r>
          <w:rPr>
            <w:rStyle w:val="Hyperlink"/>
            <w:color w:val="0000EE"/>
            <w:u w:color="0000EE"/>
            <w:lang w:val="el" w:eastAsia="el"/>
          </w:rPr>
          <w:t>Τροποποίηση 4110/2013, Άρθρο 17</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73" w:history="1">
        <w:r>
          <w:rPr>
            <w:rStyle w:val="Hyperlink"/>
            <w:color w:val="0000EE"/>
            <w:u w:color="0000EE"/>
            <w:lang w:val="el" w:eastAsia="el"/>
          </w:rPr>
          <w:t>Τροποποίηση 4375/2016, Άρθρο 73</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73" w:history="1">
        <w:r>
          <w:rPr>
            <w:rStyle w:val="Hyperlink"/>
            <w:color w:val="0000EE"/>
            <w:u w:color="0000EE"/>
            <w:lang w:val="el" w:eastAsia="el"/>
          </w:rPr>
          <w:t>Τροποποίηση 4375/2016, Άρθρο 73</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73" w:history="1">
        <w:r>
          <w:rPr>
            <w:rStyle w:val="Hyperlink"/>
            <w:color w:val="0000EE"/>
            <w:u w:color="0000EE"/>
            <w:lang w:val="el" w:eastAsia="el"/>
          </w:rPr>
          <w:t>Τροποποίηση 4375/2016, Άρθρο 73</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73" w:history="1">
        <w:r>
          <w:rPr>
            <w:rStyle w:val="Hyperlink"/>
            <w:color w:val="0000EE"/>
            <w:u w:color="0000EE"/>
            <w:lang w:val="el" w:eastAsia="el"/>
          </w:rPr>
          <w:t>Τροποποίηση 4375/2016, Άρθρο 73</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73" w:history="1">
        <w:r>
          <w:rPr>
            <w:rStyle w:val="Hyperlink"/>
            <w:color w:val="0000EE"/>
            <w:u w:color="0000EE"/>
            <w:lang w:val="el" w:eastAsia="el"/>
          </w:rPr>
          <w:t>Τροποποίηση 4375/2016, Άρθρο 73</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73" w:history="1">
        <w:r>
          <w:rPr>
            <w:rStyle w:val="Hyperlink"/>
            <w:color w:val="0000EE"/>
            <w:u w:color="0000EE"/>
            <w:lang w:val="el" w:eastAsia="el"/>
          </w:rPr>
          <w:t>Τροποποίηση 4375/2016, Άρθρο 73</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73" w:history="1">
        <w:r>
          <w:rPr>
            <w:rStyle w:val="Hyperlink"/>
            <w:color w:val="0000EE"/>
            <w:u w:color="0000EE"/>
            <w:lang w:val="el" w:eastAsia="el"/>
          </w:rPr>
          <w:t>Τροποποίηση 4375/2016, Άρθρο 73</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16" w:history="1">
        <w:r>
          <w:rPr>
            <w:rStyle w:val="Hyperlink"/>
            <w:color w:val="0000EE"/>
            <w:u w:color="0000EE"/>
            <w:lang w:val="el" w:eastAsia="el"/>
          </w:rPr>
          <w:t>Τροποποίηση 2948/2001, Άρθρο 16</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15" w:history="1">
        <w:r>
          <w:rPr>
            <w:rStyle w:val="Hyperlink"/>
            <w:color w:val="0000EE"/>
            <w:u w:color="0000EE"/>
            <w:lang w:val="el" w:eastAsia="el"/>
          </w:rPr>
          <w:t>Τροποποίηση 4818/2021, Άρθρο 15</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39" w:history="1">
        <w:r>
          <w:rPr>
            <w:rStyle w:val="Hyperlink"/>
            <w:color w:val="0000EE"/>
            <w:u w:color="0000EE"/>
            <w:lang w:val="el" w:eastAsia="el"/>
          </w:rPr>
          <w:t>Τροποποίηση 3943/2011, Άρθρο 39</w:t>
        </w:r>
      </w:hyperlink>
      <w:r>
        <w:rPr>
          <w:lang w:val="el" w:eastAsia="el"/>
        </w:rPr>
        <w:t xml:space="preserve">; </w:t>
      </w:r>
      <w:hyperlink r:id="rId98" w:anchor="art_21" w:history="1">
        <w:r>
          <w:rPr>
            <w:rStyle w:val="Hyperlink"/>
            <w:color w:val="0000EE"/>
            <w:u w:color="0000EE"/>
            <w:lang w:val="el" w:eastAsia="el"/>
          </w:rPr>
          <w:t>Τροποποίηση 3763/2009, Άρθρο 21</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9" w:history="1">
        <w:r>
          <w:rPr>
            <w:rStyle w:val="Hyperlink"/>
            <w:color w:val="0000EE"/>
            <w:u w:color="0000EE"/>
            <w:lang w:val="el" w:eastAsia="el"/>
          </w:rPr>
          <w:t>Προσθήκη 4607/2019, Άρθρο 9</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9" w:history="1">
        <w:r>
          <w:rPr>
            <w:rStyle w:val="Hyperlink"/>
            <w:color w:val="0000EE"/>
            <w:u w:color="0000EE"/>
            <w:lang w:val="el" w:eastAsia="el"/>
          </w:rPr>
          <w:t>Προσθήκη 4607/2019, Άρθρο 9</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9" w:history="1">
        <w:r>
          <w:rPr>
            <w:rStyle w:val="Hyperlink"/>
            <w:color w:val="0000EE"/>
            <w:u w:color="0000EE"/>
            <w:lang w:val="el" w:eastAsia="el"/>
          </w:rPr>
          <w:t>Προσθήκη 4607/2019, Άρθρο 9</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9" w:history="1">
        <w:r>
          <w:rPr>
            <w:rStyle w:val="Hyperlink"/>
            <w:color w:val="0000EE"/>
            <w:u w:color="0000EE"/>
            <w:lang w:val="el" w:eastAsia="el"/>
          </w:rPr>
          <w:t>Προσθήκη 4607/2019, Άρθρο 9</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9" w:history="1">
        <w:r>
          <w:rPr>
            <w:rStyle w:val="Hyperlink"/>
            <w:color w:val="0000EE"/>
            <w:u w:color="0000EE"/>
            <w:lang w:val="el" w:eastAsia="el"/>
          </w:rPr>
          <w:t>Προσθήκη 4607/2019, Άρθρο 9</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9" w:history="1">
        <w:r>
          <w:rPr>
            <w:rStyle w:val="Hyperlink"/>
            <w:color w:val="0000EE"/>
            <w:u w:color="0000EE"/>
            <w:lang w:val="el" w:eastAsia="el"/>
          </w:rPr>
          <w:t>Προσθήκη 4607/2019, Άρθρο 9</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9" w:history="1">
        <w:r>
          <w:rPr>
            <w:rStyle w:val="Hyperlink"/>
            <w:color w:val="0000EE"/>
            <w:u w:color="0000EE"/>
            <w:lang w:val="el" w:eastAsia="el"/>
          </w:rPr>
          <w:t>Προσθήκη 4607/2019, Άρθρο 9</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9" w:history="1">
        <w:r>
          <w:rPr>
            <w:rStyle w:val="Hyperlink"/>
            <w:color w:val="0000EE"/>
            <w:u w:color="0000EE"/>
            <w:lang w:val="el" w:eastAsia="el"/>
          </w:rPr>
          <w:t>Προσθήκη 4607/2019, Άρθρο 9</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39" w:history="1">
        <w:r>
          <w:rPr>
            <w:rStyle w:val="Hyperlink"/>
            <w:color w:val="0000EE"/>
            <w:u w:color="0000EE"/>
            <w:lang w:val="el" w:eastAsia="el"/>
          </w:rPr>
          <w:t>Τροποποίηση 3943/2011, Άρθρο 39</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39" w:history="1">
        <w:r>
          <w:rPr>
            <w:rStyle w:val="Hyperlink"/>
            <w:color w:val="0000EE"/>
            <w:u w:color="0000EE"/>
            <w:lang w:val="el" w:eastAsia="el"/>
          </w:rPr>
          <w:t>Τροποποίηση 3943/2011, Άρθρο 39</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18" w:history="1">
        <w:r>
          <w:rPr>
            <w:rStyle w:val="Hyperlink"/>
            <w:color w:val="0000EE"/>
            <w:u w:color="0000EE"/>
            <w:lang w:val="el" w:eastAsia="el"/>
          </w:rPr>
          <w:t>Προσθήκη 3312/2005, Άρθρο 18</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20" w:history="1">
        <w:r>
          <w:rPr>
            <w:rStyle w:val="Hyperlink"/>
            <w:color w:val="0000EE"/>
            <w:u w:color="0000EE"/>
            <w:lang w:val="el" w:eastAsia="el"/>
          </w:rPr>
          <w:t>Αφαίρεση 4141/2013, Άρθρο 20</w:t>
        </w:r>
      </w:hyperlink>
      <w:r>
        <w:rPr>
          <w:lang w:val="el" w:eastAsia="el"/>
        </w:rPr>
        <w:t xml:space="preserve">; </w:t>
      </w:r>
      <w:hyperlink r:id="rId111" w:anchor="art_18" w:history="1">
        <w:r>
          <w:rPr>
            <w:rStyle w:val="Hyperlink"/>
            <w:color w:val="0000EE"/>
            <w:u w:color="0000EE"/>
            <w:lang w:val="el" w:eastAsia="el"/>
          </w:rPr>
          <w:t>Τροποποίηση 3312/2005, Άρθρο 18</w:t>
        </w:r>
      </w:hyperlink>
      <w:r>
        <w:rPr>
          <w:lang w:val="el" w:eastAsia="el"/>
        </w:rPr>
        <w:t xml:space="preserve">; </w:t>
      </w:r>
      <w:hyperlink r:id="rId112" w:anchor="art_16" w:history="1">
        <w:r>
          <w:rPr>
            <w:rStyle w:val="Hyperlink"/>
            <w:color w:val="0000EE"/>
            <w:u w:color="0000EE"/>
            <w:lang w:val="el" w:eastAsia="el"/>
          </w:rPr>
          <w:t>Τροποποίηση 2948/2001, Άρθρο 16</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3" w:history="1">
        <w:r>
          <w:rPr>
            <w:rStyle w:val="Hyperlink"/>
            <w:color w:val="0000EE"/>
            <w:u w:color="0000EE"/>
            <w:lang w:val="el" w:eastAsia="el"/>
          </w:rPr>
          <w:t>Τροποποίηση 4818/2021, Άρθρο 3</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3" w:history="1">
        <w:r>
          <w:rPr>
            <w:rStyle w:val="Hyperlink"/>
            <w:color w:val="0000EE"/>
            <w:u w:color="0000EE"/>
            <w:lang w:val="el" w:eastAsia="el"/>
          </w:rPr>
          <w:t>Τροποποίηση 4818/2021, Άρθρο 3</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3" w:history="1">
        <w:r>
          <w:rPr>
            <w:rStyle w:val="Hyperlink"/>
            <w:color w:val="0000EE"/>
            <w:u w:color="0000EE"/>
            <w:lang w:val="el" w:eastAsia="el"/>
          </w:rPr>
          <w:t>Τροποποίηση 4818/2021, Άρθρο 3</w:t>
        </w:r>
      </w:hyperlink>
      <w:r>
        <w:rPr>
          <w:lang w:val="el" w:eastAsia="el"/>
        </w:rPr>
        <w:t xml:space="preserve">; </w:t>
      </w:r>
      <w:hyperlink r:id="rId116" w:anchor="art_18" w:history="1">
        <w:r>
          <w:rPr>
            <w:rStyle w:val="Hyperlink"/>
            <w:color w:val="0000EE"/>
            <w:u w:color="0000EE"/>
            <w:lang w:val="el" w:eastAsia="el"/>
          </w:rPr>
          <w:t>Τροποποίηση 3312/2005, Άρθρο 18</w:t>
        </w:r>
      </w:hyperlink>
      <w:r>
        <w:rPr>
          <w:lang w:val="el" w:eastAsia="el"/>
        </w:rPr>
        <w:t xml:space="preserve">; </w:t>
      </w:r>
      <w:hyperlink r:id="rId117" w:anchor="art_16" w:history="1">
        <w:r>
          <w:rPr>
            <w:rStyle w:val="Hyperlink"/>
            <w:color w:val="0000EE"/>
            <w:u w:color="0000EE"/>
            <w:lang w:val="el" w:eastAsia="el"/>
          </w:rPr>
          <w:t>Τροποποίηση 2948/2001, Άρθρο 16</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3" w:history="1">
        <w:r>
          <w:rPr>
            <w:rStyle w:val="Hyperlink"/>
            <w:color w:val="0000EE"/>
            <w:u w:color="0000EE"/>
            <w:lang w:val="el" w:eastAsia="el"/>
          </w:rPr>
          <w:t>Τροποποίηση 4818/2021, Άρθρο 3</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3" w:history="1">
        <w:r>
          <w:rPr>
            <w:rStyle w:val="Hyperlink"/>
            <w:color w:val="0000EE"/>
            <w:u w:color="0000EE"/>
            <w:lang w:val="el" w:eastAsia="el"/>
          </w:rPr>
          <w:t>Τροποποίηση 4818/2021, Άρθρο 3</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3" w:history="1">
        <w:r>
          <w:rPr>
            <w:rStyle w:val="Hyperlink"/>
            <w:color w:val="0000EE"/>
            <w:u w:color="0000EE"/>
            <w:lang w:val="el" w:eastAsia="el"/>
          </w:rPr>
          <w:t>Τροποποίηση 4818/2021, Άρθρο 3</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3" w:history="1">
        <w:r>
          <w:rPr>
            <w:rStyle w:val="Hyperlink"/>
            <w:color w:val="0000EE"/>
            <w:u w:color="0000EE"/>
            <w:lang w:val="el" w:eastAsia="el"/>
          </w:rPr>
          <w:t>Τροποποίηση 4818/2021, Άρθρο 3</w:t>
        </w:r>
      </w:hyperlink>
      <w:r>
        <w:rPr>
          <w:lang w:val="el" w:eastAsia="el"/>
        </w:rPr>
        <w:t xml:space="preserve">; </w:t>
      </w:r>
      <w:hyperlink r:id="rId122" w:anchor="art_18" w:history="1">
        <w:r>
          <w:rPr>
            <w:rStyle w:val="Hyperlink"/>
            <w:color w:val="0000EE"/>
            <w:u w:color="0000EE"/>
            <w:lang w:val="el" w:eastAsia="el"/>
          </w:rPr>
          <w:t>Τροποποίηση 3312/2005, Άρθρο 18</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3" w:history="1">
        <w:r>
          <w:rPr>
            <w:rStyle w:val="Hyperlink"/>
            <w:color w:val="0000EE"/>
            <w:u w:color="0000EE"/>
            <w:lang w:val="el" w:eastAsia="el"/>
          </w:rPr>
          <w:t>Προσθήκη 4818/2021, Άρθρο 3</w:t>
        </w:r>
      </w:hyperlink>
      <w:r>
        <w:rPr>
          <w:lang w:val="el" w:eastAsia="el"/>
        </w:rPr>
        <w:t xml:space="preserve">; </w:t>
      </w:r>
      <w:hyperlink r:id="rId124" w:anchor="art_61" w:history="1">
        <w:r>
          <w:rPr>
            <w:rStyle w:val="Hyperlink"/>
            <w:color w:val="0000EE"/>
            <w:u w:color="0000EE"/>
            <w:lang w:val="el" w:eastAsia="el"/>
          </w:rPr>
          <w:t>Προσθήκη 4714/2020, Άρθρο 61</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3" w:history="1">
        <w:r>
          <w:rPr>
            <w:rStyle w:val="Hyperlink"/>
            <w:color w:val="0000EE"/>
            <w:u w:color="0000EE"/>
            <w:lang w:val="el" w:eastAsia="el"/>
          </w:rPr>
          <w:t>Προσθήκη 4818/2021, Άρθρο 3</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18" w:history="1">
        <w:r>
          <w:rPr>
            <w:rStyle w:val="Hyperlink"/>
            <w:color w:val="0000EE"/>
            <w:u w:color="0000EE"/>
            <w:lang w:val="el" w:eastAsia="el"/>
          </w:rPr>
          <w:t>Τροποποίηση 3312/2005, Άρθρο 18</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18" w:history="1">
        <w:r>
          <w:rPr>
            <w:rStyle w:val="Hyperlink"/>
            <w:color w:val="0000EE"/>
            <w:u w:color="0000EE"/>
            <w:lang w:val="el" w:eastAsia="el"/>
          </w:rPr>
          <w:t>Τροποποίηση 3312/2005, Άρθρο 18</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39" w:history="1">
        <w:r>
          <w:rPr>
            <w:rStyle w:val="Hyperlink"/>
            <w:color w:val="0000EE"/>
            <w:u w:color="0000EE"/>
            <w:lang w:val="el" w:eastAsia="el"/>
          </w:rPr>
          <w:t>Τροποποίηση 3943/2011, Άρθρο 39</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3" w:history="1">
        <w:r>
          <w:rPr>
            <w:rStyle w:val="Hyperlink"/>
            <w:color w:val="0000EE"/>
            <w:u w:color="0000EE"/>
            <w:lang w:val="el" w:eastAsia="el"/>
          </w:rPr>
          <w:t>Προσθήκη 3193/2003, Άρθρο 3</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3" w:history="1">
        <w:r>
          <w:rPr>
            <w:rStyle w:val="Hyperlink"/>
            <w:color w:val="0000EE"/>
            <w:u w:color="0000EE"/>
            <w:lang w:val="el" w:eastAsia="el"/>
          </w:rPr>
          <w:t>Προσθήκη 3193/2003, Άρθρο 3</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18" w:history="1">
        <w:r>
          <w:rPr>
            <w:rStyle w:val="Hyperlink"/>
            <w:color w:val="0000EE"/>
            <w:u w:color="0000EE"/>
            <w:lang w:val="el" w:eastAsia="el"/>
          </w:rPr>
          <w:t>Προσθήκη 3312/2005, Άρθρο 18</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39" w:history="1">
        <w:r>
          <w:rPr>
            <w:rStyle w:val="Hyperlink"/>
            <w:color w:val="0000EE"/>
            <w:u w:color="0000EE"/>
            <w:lang w:val="el" w:eastAsia="el"/>
          </w:rPr>
          <w:t>Προσθήκη 3220/2004, Άρθρο 39</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18" w:history="1">
        <w:r>
          <w:rPr>
            <w:rStyle w:val="Hyperlink"/>
            <w:color w:val="0000EE"/>
            <w:u w:color="0000EE"/>
            <w:lang w:val="el" w:eastAsia="el"/>
          </w:rPr>
          <w:t>Τροποποίηση 3312/2005, Άρθρο 18</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39" w:history="1">
        <w:r>
          <w:rPr>
            <w:rStyle w:val="Hyperlink"/>
            <w:color w:val="0000EE"/>
            <w:u w:color="0000EE"/>
            <w:lang w:val="el" w:eastAsia="el"/>
          </w:rPr>
          <w:t>Προσθήκη 3220/2004, Άρθρο 39</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59" w:history="1">
        <w:r>
          <w:rPr>
            <w:rStyle w:val="Hyperlink"/>
            <w:color w:val="0000EE"/>
            <w:u w:color="0000EE"/>
            <w:lang w:val="el" w:eastAsia="el"/>
          </w:rPr>
          <w:t>Προσθήκη 3842/2010, Άρθρο 59</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59" w:history="1">
        <w:r>
          <w:rPr>
            <w:rStyle w:val="Hyperlink"/>
            <w:color w:val="0000EE"/>
            <w:u w:color="0000EE"/>
            <w:lang w:val="el" w:eastAsia="el"/>
          </w:rPr>
          <w:t>Προσθήκη 3842/2010, Άρθρο 59</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59" w:history="1">
        <w:r>
          <w:rPr>
            <w:rStyle w:val="Hyperlink"/>
            <w:color w:val="0000EE"/>
            <w:u w:color="0000EE"/>
            <w:lang w:val="el" w:eastAsia="el"/>
          </w:rPr>
          <w:t>Προσθήκη 3842/2010, Άρθρο 59</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59" w:history="1">
        <w:r>
          <w:rPr>
            <w:rStyle w:val="Hyperlink"/>
            <w:color w:val="0000EE"/>
            <w:u w:color="0000EE"/>
            <w:lang w:val="el" w:eastAsia="el"/>
          </w:rPr>
          <w:t>Προσθήκη 3842/2010, Άρθρο 59</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59" w:history="1">
        <w:r>
          <w:rPr>
            <w:rStyle w:val="Hyperlink"/>
            <w:color w:val="0000EE"/>
            <w:u w:color="0000EE"/>
            <w:lang w:val="el" w:eastAsia="el"/>
          </w:rPr>
          <w:t>Προσθήκη 3842/2010, Άρθρο 59</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59" w:history="1">
        <w:r>
          <w:rPr>
            <w:rStyle w:val="Hyperlink"/>
            <w:color w:val="0000EE"/>
            <w:u w:color="0000EE"/>
            <w:lang w:val="el" w:eastAsia="el"/>
          </w:rPr>
          <w:t>Προσθήκη 3842/2010, Άρθρο 59</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59" w:history="1">
        <w:r>
          <w:rPr>
            <w:rStyle w:val="Hyperlink"/>
            <w:color w:val="0000EE"/>
            <w:u w:color="0000EE"/>
            <w:lang w:val="el" w:eastAsia="el"/>
          </w:rPr>
          <w:t>Προσθήκη 3842/2010, Άρθρο 59</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59" w:history="1">
        <w:r>
          <w:rPr>
            <w:rStyle w:val="Hyperlink"/>
            <w:color w:val="0000EE"/>
            <w:u w:color="0000EE"/>
            <w:lang w:val="el" w:eastAsia="el"/>
          </w:rPr>
          <w:t>Προσθήκη 3842/2010, Άρθρο 59</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59" w:history="1">
        <w:r>
          <w:rPr>
            <w:rStyle w:val="Hyperlink"/>
            <w:color w:val="0000EE"/>
            <w:u w:color="0000EE"/>
            <w:lang w:val="el" w:eastAsia="el"/>
          </w:rPr>
          <w:t>Προσθήκη 3842/2010, Άρθρο 59</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59" w:history="1">
        <w:r>
          <w:rPr>
            <w:rStyle w:val="Hyperlink"/>
            <w:color w:val="0000EE"/>
            <w:u w:color="0000EE"/>
            <w:lang w:val="el" w:eastAsia="el"/>
          </w:rPr>
          <w:t>Προσθήκη 3842/2010, Άρθρο 59</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59" w:history="1">
        <w:r>
          <w:rPr>
            <w:rStyle w:val="Hyperlink"/>
            <w:color w:val="0000EE"/>
            <w:u w:color="0000EE"/>
            <w:lang w:val="el" w:eastAsia="el"/>
          </w:rPr>
          <w:t>Προσθήκη 3842/2010, Άρθρο 59</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60" w:history="1">
        <w:r>
          <w:rPr>
            <w:rStyle w:val="Hyperlink"/>
            <w:color w:val="0000EE"/>
            <w:u w:color="0000EE"/>
            <w:lang w:val="el" w:eastAsia="el"/>
          </w:rPr>
          <w:t>Τροποποίηση 3842/2010, Άρθρο 60</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60" w:history="1">
        <w:r>
          <w:rPr>
            <w:rStyle w:val="Hyperlink"/>
            <w:color w:val="0000EE"/>
            <w:u w:color="0000EE"/>
            <w:lang w:val="el" w:eastAsia="el"/>
          </w:rPr>
          <w:t>Τροποποίηση 3842/2010, Άρθρο 60</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60" w:history="1">
        <w:r>
          <w:rPr>
            <w:rStyle w:val="Hyperlink"/>
            <w:color w:val="0000EE"/>
            <w:u w:color="0000EE"/>
            <w:lang w:val="el" w:eastAsia="el"/>
          </w:rPr>
          <w:t>Τροποποίηση 3842/2010, Άρθρο 60</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59" w:history="1">
        <w:r>
          <w:rPr>
            <w:rStyle w:val="Hyperlink"/>
            <w:color w:val="0000EE"/>
            <w:u w:color="0000EE"/>
            <w:lang w:val="el" w:eastAsia="el"/>
          </w:rPr>
          <w:t>Προσθήκη 3842/2010, Άρθρο 59</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59" w:history="1">
        <w:r>
          <w:rPr>
            <w:rStyle w:val="Hyperlink"/>
            <w:color w:val="0000EE"/>
            <w:u w:color="0000EE"/>
            <w:lang w:val="el" w:eastAsia="el"/>
          </w:rPr>
          <w:t>Προσθήκη 3842/2010, Άρθρο 59</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59" w:history="1">
        <w:r>
          <w:rPr>
            <w:rStyle w:val="Hyperlink"/>
            <w:color w:val="0000EE"/>
            <w:u w:color="0000EE"/>
            <w:lang w:val="el" w:eastAsia="el"/>
          </w:rPr>
          <w:t>Προσθήκη 3842/2010, Άρθρο 59</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20" w:history="1">
        <w:r>
          <w:rPr>
            <w:rStyle w:val="Hyperlink"/>
            <w:color w:val="0000EE"/>
            <w:u w:color="0000EE"/>
            <w:lang w:val="el" w:eastAsia="el"/>
          </w:rPr>
          <w:t>Τροποποίηση 4141/2013, Άρθρο 20</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20" w:history="1">
        <w:r>
          <w:rPr>
            <w:rStyle w:val="Hyperlink"/>
            <w:color w:val="0000EE"/>
            <w:u w:color="0000EE"/>
            <w:lang w:val="el" w:eastAsia="el"/>
          </w:rPr>
          <w:t>Τροποποίηση 4141/2013, Άρθρο 20</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20" w:history="1">
        <w:r>
          <w:rPr>
            <w:rStyle w:val="Hyperlink"/>
            <w:color w:val="0000EE"/>
            <w:u w:color="0000EE"/>
            <w:lang w:val="el" w:eastAsia="el"/>
          </w:rPr>
          <w:t>Τροποποίηση 4141/2013, Άρθρο 20</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20" w:history="1">
        <w:r>
          <w:rPr>
            <w:rStyle w:val="Hyperlink"/>
            <w:color w:val="0000EE"/>
            <w:u w:color="0000EE"/>
            <w:lang w:val="el" w:eastAsia="el"/>
          </w:rPr>
          <w:t>Τροποποίηση 4141/2013, Άρθρο 20</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20" w:history="1">
        <w:r>
          <w:rPr>
            <w:rStyle w:val="Hyperlink"/>
            <w:color w:val="0000EE"/>
            <w:u w:color="0000EE"/>
            <w:lang w:val="el" w:eastAsia="el"/>
          </w:rPr>
          <w:t>Τροποποίηση 4141/2013, Άρθρο 20</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20" w:history="1">
        <w:r>
          <w:rPr>
            <w:rStyle w:val="Hyperlink"/>
            <w:color w:val="0000EE"/>
            <w:u w:color="0000EE"/>
            <w:lang w:val="el" w:eastAsia="el"/>
          </w:rPr>
          <w:t>Τροποποίηση 4141/2013, Άρθρο 20</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20" w:history="1">
        <w:r>
          <w:rPr>
            <w:rStyle w:val="Hyperlink"/>
            <w:color w:val="0000EE"/>
            <w:u w:color="0000EE"/>
            <w:lang w:val="el" w:eastAsia="el"/>
          </w:rPr>
          <w:t>Τροποποίηση 4141/2013, Άρθρο 20</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20" w:history="1">
        <w:r>
          <w:rPr>
            <w:rStyle w:val="Hyperlink"/>
            <w:color w:val="0000EE"/>
            <w:u w:color="0000EE"/>
            <w:lang w:val="el" w:eastAsia="el"/>
          </w:rPr>
          <w:t>Τροποποίηση 4141/2013, Άρθρο 20</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15" w:history="1">
        <w:r>
          <w:rPr>
            <w:rStyle w:val="Hyperlink"/>
            <w:color w:val="0000EE"/>
            <w:u w:color="0000EE"/>
            <w:lang w:val="el" w:eastAsia="el"/>
          </w:rPr>
          <w:t>Τροποποίηση 4591/2019, Άρθρο 15</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15" w:history="1">
        <w:r>
          <w:rPr>
            <w:rStyle w:val="Hyperlink"/>
            <w:color w:val="0000EE"/>
            <w:u w:color="0000EE"/>
            <w:lang w:val="el" w:eastAsia="el"/>
          </w:rPr>
          <w:t>Τροποποίηση 4591/2019, Άρθρο 15</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15" w:history="1">
        <w:r>
          <w:rPr>
            <w:rStyle w:val="Hyperlink"/>
            <w:color w:val="0000EE"/>
            <w:u w:color="0000EE"/>
            <w:lang w:val="el" w:eastAsia="el"/>
          </w:rPr>
          <w:t>Τροποποίηση 4591/2019, Άρθρο 15</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15" w:history="1">
        <w:r>
          <w:rPr>
            <w:rStyle w:val="Hyperlink"/>
            <w:color w:val="0000EE"/>
            <w:u w:color="0000EE"/>
            <w:lang w:val="el" w:eastAsia="el"/>
          </w:rPr>
          <w:t>Τροποποίηση 4591/2019, Άρθρο 15</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15" w:history="1">
        <w:r>
          <w:rPr>
            <w:rStyle w:val="Hyperlink"/>
            <w:color w:val="0000EE"/>
            <w:u w:color="0000EE"/>
            <w:lang w:val="el" w:eastAsia="el"/>
          </w:rPr>
          <w:t>Τροποποίηση 4591/2019, Άρθρο 15</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15" w:history="1">
        <w:r>
          <w:rPr>
            <w:rStyle w:val="Hyperlink"/>
            <w:color w:val="0000EE"/>
            <w:u w:color="0000EE"/>
            <w:lang w:val="el" w:eastAsia="el"/>
          </w:rPr>
          <w:t>Τροποποίηση 4591/2019, Άρθρο 15</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15" w:history="1">
        <w:r>
          <w:rPr>
            <w:rStyle w:val="Hyperlink"/>
            <w:color w:val="0000EE"/>
            <w:u w:color="0000EE"/>
            <w:lang w:val="el" w:eastAsia="el"/>
          </w:rPr>
          <w:t>Τροποποίηση 4591/2019, Άρθρο 15</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15" w:history="1">
        <w:r>
          <w:rPr>
            <w:rStyle w:val="Hyperlink"/>
            <w:color w:val="0000EE"/>
            <w:u w:color="0000EE"/>
            <w:lang w:val="el" w:eastAsia="el"/>
          </w:rPr>
          <w:t>Τροποποίηση 4591/2019, Άρθρο 15</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15" w:history="1">
        <w:r>
          <w:rPr>
            <w:rStyle w:val="Hyperlink"/>
            <w:color w:val="0000EE"/>
            <w:u w:color="0000EE"/>
            <w:lang w:val="el" w:eastAsia="el"/>
          </w:rPr>
          <w:t>Τροποποίηση 4591/2019, Άρθρο 15</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15" w:history="1">
        <w:r>
          <w:rPr>
            <w:rStyle w:val="Hyperlink"/>
            <w:color w:val="0000EE"/>
            <w:u w:color="0000EE"/>
            <w:lang w:val="el" w:eastAsia="el"/>
          </w:rPr>
          <w:t>Τροποποίηση 4591/2019, Άρθρο 15</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15" w:history="1">
        <w:r>
          <w:rPr>
            <w:rStyle w:val="Hyperlink"/>
            <w:color w:val="0000EE"/>
            <w:u w:color="0000EE"/>
            <w:lang w:val="el" w:eastAsia="el"/>
          </w:rPr>
          <w:t>Τροποποίηση 4591/2019, Άρθρο 15</w:t>
        </w:r>
      </w:hyperlink>
      <w:r>
        <w:rPr>
          <w:lang w:val="el" w:eastAsia="el"/>
        </w:rPr>
        <w:t xml:space="preserve">; </w:t>
      </w:r>
      <w:hyperlink r:id="rId171" w:anchor="art_104" w:history="1">
        <w:r>
          <w:rPr>
            <w:rStyle w:val="Hyperlink"/>
            <w:color w:val="0000EE"/>
            <w:u w:color="0000EE"/>
            <w:lang w:val="el" w:eastAsia="el"/>
          </w:rPr>
          <w:t>Τροποποίηση 4316/2014, Άρθρο 104</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4" w:history="1">
        <w:r>
          <w:rPr>
            <w:rStyle w:val="Hyperlink"/>
            <w:color w:val="0000EE"/>
            <w:u w:color="0000EE"/>
            <w:lang w:val="el" w:eastAsia="el"/>
          </w:rPr>
          <w:t>Αφαίρεση 4818/2021, Άρθρο 4</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4" w:history="1">
        <w:r>
          <w:rPr>
            <w:rStyle w:val="Hyperlink"/>
            <w:color w:val="0000EE"/>
            <w:u w:color="0000EE"/>
            <w:lang w:val="el" w:eastAsia="el"/>
          </w:rPr>
          <w:t>Αφαίρεση 4818/2021, Άρθρο 4</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4" w:history="1">
        <w:r>
          <w:rPr>
            <w:rStyle w:val="Hyperlink"/>
            <w:color w:val="0000EE"/>
            <w:u w:color="0000EE"/>
            <w:lang w:val="el" w:eastAsia="el"/>
          </w:rPr>
          <w:t>Αφαίρεση 4818/2021, Άρθρο 4</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104" w:history="1">
        <w:r>
          <w:rPr>
            <w:rStyle w:val="Hyperlink"/>
            <w:color w:val="0000EE"/>
            <w:u w:color="0000EE"/>
            <w:lang w:val="el" w:eastAsia="el"/>
          </w:rPr>
          <w:t>Αφαίρεση 4316/2014, Άρθρο 104</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104" w:history="1">
        <w:r>
          <w:rPr>
            <w:rStyle w:val="Hyperlink"/>
            <w:color w:val="0000EE"/>
            <w:u w:color="0000EE"/>
            <w:lang w:val="el" w:eastAsia="el"/>
          </w:rPr>
          <w:t>Αφαίρεση 4316/2014, Άρθρο 104</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104" w:history="1">
        <w:r>
          <w:rPr>
            <w:rStyle w:val="Hyperlink"/>
            <w:color w:val="0000EE"/>
            <w:u w:color="0000EE"/>
            <w:lang w:val="el" w:eastAsia="el"/>
          </w:rPr>
          <w:t>Τροποποίηση 4316/2014, Άρθρο 104</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104" w:history="1">
        <w:r>
          <w:rPr>
            <w:rStyle w:val="Hyperlink"/>
            <w:color w:val="0000EE"/>
            <w:u w:color="0000EE"/>
            <w:lang w:val="el" w:eastAsia="el"/>
          </w:rPr>
          <w:t>Τροποποίηση 4316/2014, Άρθρο 104</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49" w:history="1">
        <w:r>
          <w:rPr>
            <w:rStyle w:val="Hyperlink"/>
            <w:color w:val="0000EE"/>
            <w:u w:color="0000EE"/>
            <w:lang w:val="el" w:eastAsia="el"/>
          </w:rPr>
          <w:t>Τροποποίηση 4607/2019, Άρθρο 49</w:t>
        </w:r>
      </w:hyperlink>
      <w:r>
        <w:rPr>
          <w:lang w:val="el" w:eastAsia="el"/>
        </w:rPr>
        <w:t xml:space="preserve">; </w:t>
      </w:r>
      <w:hyperlink r:id="rId180" w:anchor="art_104" w:history="1">
        <w:r>
          <w:rPr>
            <w:rStyle w:val="Hyperlink"/>
            <w:color w:val="0000EE"/>
            <w:u w:color="0000EE"/>
            <w:lang w:val="el" w:eastAsia="el"/>
          </w:rPr>
          <w:t>Τροποποίηση 4316/2014, Άρθρο 104</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49" w:history="1">
        <w:r>
          <w:rPr>
            <w:rStyle w:val="Hyperlink"/>
            <w:color w:val="0000EE"/>
            <w:u w:color="0000EE"/>
            <w:lang w:val="el" w:eastAsia="el"/>
          </w:rPr>
          <w:t>Προσθήκη 4607/2019, Άρθρο 49</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49" w:history="1">
        <w:r>
          <w:rPr>
            <w:rStyle w:val="Hyperlink"/>
            <w:color w:val="0000EE"/>
            <w:u w:color="0000EE"/>
            <w:lang w:val="el" w:eastAsia="el"/>
          </w:rPr>
          <w:t>Τροποποίηση 4607/2019, Άρθρο 49</w:t>
        </w:r>
      </w:hyperlink>
      <w:r>
        <w:rPr>
          <w:lang w:val="el" w:eastAsia="el"/>
        </w:rPr>
        <w:t xml:space="preserve">; </w:t>
      </w:r>
      <w:hyperlink r:id="rId183" w:anchor="art_104" w:history="1">
        <w:r>
          <w:rPr>
            <w:rStyle w:val="Hyperlink"/>
            <w:color w:val="0000EE"/>
            <w:u w:color="0000EE"/>
            <w:lang w:val="el" w:eastAsia="el"/>
          </w:rPr>
          <w:t>Τροποποίηση 4316/2014, Άρθρο 104</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4" w:history="1">
        <w:r>
          <w:rPr>
            <w:rStyle w:val="Hyperlink"/>
            <w:color w:val="0000EE"/>
            <w:u w:color="0000EE"/>
            <w:lang w:val="el" w:eastAsia="el"/>
          </w:rPr>
          <w:t>Προσθήκη 4818/2021, Άρθρο 4</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4" w:history="1">
        <w:r>
          <w:rPr>
            <w:rStyle w:val="Hyperlink"/>
            <w:color w:val="0000EE"/>
            <w:u w:color="0000EE"/>
            <w:lang w:val="el" w:eastAsia="el"/>
          </w:rPr>
          <w:t>Προσθήκη 4818/2021, Άρθρο 4</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4" w:history="1">
        <w:r>
          <w:rPr>
            <w:rStyle w:val="Hyperlink"/>
            <w:color w:val="0000EE"/>
            <w:u w:color="0000EE"/>
            <w:lang w:val="el" w:eastAsia="el"/>
          </w:rPr>
          <w:t>Προσθήκη 4818/2021, Άρθρο 4</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4" w:history="1">
        <w:r>
          <w:rPr>
            <w:rStyle w:val="Hyperlink"/>
            <w:color w:val="0000EE"/>
            <w:u w:color="0000EE"/>
            <w:lang w:val="el" w:eastAsia="el"/>
          </w:rPr>
          <w:t>Προσθήκη 4818/2021, Άρθρο 4</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4" w:history="1">
        <w:r>
          <w:rPr>
            <w:rStyle w:val="Hyperlink"/>
            <w:color w:val="0000EE"/>
            <w:u w:color="0000EE"/>
            <w:lang w:val="el" w:eastAsia="el"/>
          </w:rPr>
          <w:t>Προσθήκη 4818/2021, Άρθρο 4</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4" w:history="1">
        <w:r>
          <w:rPr>
            <w:rStyle w:val="Hyperlink"/>
            <w:color w:val="0000EE"/>
            <w:u w:color="0000EE"/>
            <w:lang w:val="el" w:eastAsia="el"/>
          </w:rPr>
          <w:t>Προσθήκη 4818/2021, Άρθρο 4</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4" w:history="1">
        <w:r>
          <w:rPr>
            <w:rStyle w:val="Hyperlink"/>
            <w:color w:val="0000EE"/>
            <w:u w:color="0000EE"/>
            <w:lang w:val="el" w:eastAsia="el"/>
          </w:rPr>
          <w:t>Προσθήκη 4818/2021, Άρθρο 4</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4" w:history="1">
        <w:r>
          <w:rPr>
            <w:rStyle w:val="Hyperlink"/>
            <w:color w:val="0000EE"/>
            <w:u w:color="0000EE"/>
            <w:lang w:val="el" w:eastAsia="el"/>
          </w:rPr>
          <w:t>Προσθήκη 4818/2021, Άρθρο 4</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4" w:history="1">
        <w:r>
          <w:rPr>
            <w:rStyle w:val="Hyperlink"/>
            <w:color w:val="0000EE"/>
            <w:u w:color="0000EE"/>
            <w:lang w:val="el" w:eastAsia="el"/>
          </w:rPr>
          <w:t>Προσθήκη 4818/2021, Άρθρο 4</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62" w:history="1">
        <w:r>
          <w:rPr>
            <w:rStyle w:val="Hyperlink"/>
            <w:color w:val="0000EE"/>
            <w:u w:color="0000EE"/>
            <w:lang w:val="el" w:eastAsia="el"/>
          </w:rPr>
          <w:t>Τροποποίηση 4714/2020, Άρθρο 62</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62" w:history="1">
        <w:r>
          <w:rPr>
            <w:rStyle w:val="Hyperlink"/>
            <w:color w:val="0000EE"/>
            <w:u w:color="0000EE"/>
            <w:lang w:val="el" w:eastAsia="el"/>
          </w:rPr>
          <w:t>Προσθήκη 4714/2020, Άρθρο 62</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62" w:history="1">
        <w:r>
          <w:rPr>
            <w:rStyle w:val="Hyperlink"/>
            <w:color w:val="0000EE"/>
            <w:u w:color="0000EE"/>
            <w:lang w:val="el" w:eastAsia="el"/>
          </w:rPr>
          <w:t>Προσθήκη 4714/2020, Άρθρο 62</w:t>
        </w:r>
      </w:hyperlink>
      <w:r>
        <w:rPr>
          <w:lang w:val="el" w:eastAsia="el"/>
        </w:rPr>
        <w:t xml:space="preserve">; </w:t>
      </w:r>
      <w:hyperlink r:id="rId196" w:anchor="art_19" w:history="1">
        <w:r>
          <w:rPr>
            <w:rStyle w:val="Hyperlink"/>
            <w:color w:val="0000EE"/>
            <w:u w:color="0000EE"/>
            <w:lang w:val="el" w:eastAsia="el"/>
          </w:rPr>
          <w:t>Τροποποίηση 3091/2002, Άρθρο 19</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59" w:history="1">
        <w:r>
          <w:rPr>
            <w:rStyle w:val="Hyperlink"/>
            <w:color w:val="0000EE"/>
            <w:u w:color="0000EE"/>
            <w:lang w:val="el" w:eastAsia="el"/>
          </w:rPr>
          <w:t>Τροποποίηση 3842/2010, Άρθρο 59</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59" w:history="1">
        <w:r>
          <w:rPr>
            <w:rStyle w:val="Hyperlink"/>
            <w:color w:val="0000EE"/>
            <w:u w:color="0000EE"/>
            <w:lang w:val="el" w:eastAsia="el"/>
          </w:rPr>
          <w:t>Τροποποίηση 3842/2010, Άρθρο 59</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59" w:history="1">
        <w:r>
          <w:rPr>
            <w:rStyle w:val="Hyperlink"/>
            <w:color w:val="0000EE"/>
            <w:u w:color="0000EE"/>
            <w:lang w:val="el" w:eastAsia="el"/>
          </w:rPr>
          <w:t>Τροποποίηση 3842/2010, Άρθρο 59</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59" w:history="1">
        <w:r>
          <w:rPr>
            <w:rStyle w:val="Hyperlink"/>
            <w:color w:val="0000EE"/>
            <w:u w:color="0000EE"/>
            <w:lang w:val="el" w:eastAsia="el"/>
          </w:rPr>
          <w:t>Τροποποίηση 3842/2010, Άρθρο 59</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21" w:history="1">
        <w:r>
          <w:rPr>
            <w:rStyle w:val="Hyperlink"/>
            <w:color w:val="0000EE"/>
            <w:u w:color="0000EE"/>
            <w:lang w:val="el" w:eastAsia="el"/>
          </w:rPr>
          <w:t>Τροποποίηση 4141/2013, Άρθρο 21</w:t>
        </w:r>
      </w:hyperlink>
      <w:r>
        <w:rPr>
          <w:lang w:val="el" w:eastAsia="el"/>
        </w:rPr>
        <w:t xml:space="preserve">; </w:t>
      </w:r>
      <w:hyperlink r:id="rId202" w:anchor="art_59" w:history="1">
        <w:r>
          <w:rPr>
            <w:rStyle w:val="Hyperlink"/>
            <w:color w:val="0000EE"/>
            <w:u w:color="0000EE"/>
            <w:lang w:val="el" w:eastAsia="el"/>
          </w:rPr>
          <w:t>Τροποποίηση 3842/2010, Άρθρο 59</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59" w:history="1">
        <w:r>
          <w:rPr>
            <w:rStyle w:val="Hyperlink"/>
            <w:color w:val="0000EE"/>
            <w:u w:color="0000EE"/>
            <w:lang w:val="el" w:eastAsia="el"/>
          </w:rPr>
          <w:t>Τροποποίηση 3842/2010, Άρθρο 59</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59" w:history="1">
        <w:r>
          <w:rPr>
            <w:rStyle w:val="Hyperlink"/>
            <w:color w:val="0000EE"/>
            <w:u w:color="0000EE"/>
            <w:lang w:val="el" w:eastAsia="el"/>
          </w:rPr>
          <w:t>Τροποποίηση 3842/2010, Άρθρο 59</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59" w:history="1">
        <w:r>
          <w:rPr>
            <w:rStyle w:val="Hyperlink"/>
            <w:color w:val="0000EE"/>
            <w:u w:color="0000EE"/>
            <w:lang w:val="el" w:eastAsia="el"/>
          </w:rPr>
          <w:t>Τροποποίηση 3842/2010, Άρθρο 59</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5" w:history="1">
        <w:r>
          <w:rPr>
            <w:rStyle w:val="Hyperlink"/>
            <w:color w:val="0000EE"/>
            <w:u w:color="0000EE"/>
            <w:lang w:val="el" w:eastAsia="el"/>
          </w:rPr>
          <w:t>Προσθήκη 4818/2021, Άρθρο 5</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7" w:history="1">
        <w:r>
          <w:rPr>
            <w:rStyle w:val="Hyperlink"/>
            <w:color w:val="0000EE"/>
            <w:u w:color="0000EE"/>
            <w:lang w:val="el" w:eastAsia="el"/>
          </w:rPr>
          <w:t>Προσθήκη 3427/2005, Άρθρο 7</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20" w:history="1">
        <w:r>
          <w:rPr>
            <w:rStyle w:val="Hyperlink"/>
            <w:color w:val="0000EE"/>
            <w:u w:color="0000EE"/>
            <w:lang w:val="el" w:eastAsia="el"/>
          </w:rPr>
          <w:t>Τροποποίηση 3522/2006, Άρθρο 20</w:t>
        </w:r>
      </w:hyperlink>
      <w:r>
        <w:rPr>
          <w:lang w:val="el" w:eastAsia="el"/>
        </w:rPr>
        <w:t xml:space="preserve">; </w:t>
      </w:r>
      <w:hyperlink r:id="rId209" w:anchor="art_1" w:history="1">
        <w:r>
          <w:rPr>
            <w:rStyle w:val="Hyperlink"/>
            <w:color w:val="0000EE"/>
            <w:u w:color="0000EE"/>
            <w:lang w:val="el" w:eastAsia="el"/>
          </w:rPr>
          <w:t>Τροποποίηση 3427/2005, Άρθρο 1</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1" w:history="1">
        <w:r>
          <w:rPr>
            <w:rStyle w:val="Hyperlink"/>
            <w:color w:val="0000EE"/>
            <w:u w:color="0000EE"/>
            <w:lang w:val="el" w:eastAsia="el"/>
          </w:rPr>
          <w:t>Προσθήκη 3427/2005, Άρθρο 1</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111" w:history="1">
        <w:r>
          <w:rPr>
            <w:rStyle w:val="Hyperlink"/>
            <w:color w:val="0000EE"/>
            <w:u w:color="0000EE"/>
            <w:lang w:val="el" w:eastAsia="el"/>
          </w:rPr>
          <w:t>Τροποποίηση 4549/2018, Άρθρο 111</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111" w:history="1">
        <w:r>
          <w:rPr>
            <w:rStyle w:val="Hyperlink"/>
            <w:color w:val="0000EE"/>
            <w:u w:color="0000EE"/>
            <w:lang w:val="el" w:eastAsia="el"/>
          </w:rPr>
          <w:t>Τροποποίηση 4549/2018, Άρθρο 111</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111" w:history="1">
        <w:r>
          <w:rPr>
            <w:rStyle w:val="Hyperlink"/>
            <w:color w:val="0000EE"/>
            <w:u w:color="0000EE"/>
            <w:lang w:val="el" w:eastAsia="el"/>
          </w:rPr>
          <w:t>Τροποποίηση 4549/2018, Άρθρο 111</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111" w:history="1">
        <w:r>
          <w:rPr>
            <w:rStyle w:val="Hyperlink"/>
            <w:color w:val="0000EE"/>
            <w:u w:color="0000EE"/>
            <w:lang w:val="el" w:eastAsia="el"/>
          </w:rPr>
          <w:t>Τροποποίηση 4549/2018, Άρθρο 111</w:t>
        </w:r>
      </w:hyperlink>
      <w:r>
        <w:rPr>
          <w:lang w:val="el" w:eastAsia="el"/>
        </w:rPr>
        <w:t xml:space="preserve">; </w:t>
      </w:r>
      <w:hyperlink r:id="rId215" w:anchor="art_21" w:history="1">
        <w:r>
          <w:rPr>
            <w:rStyle w:val="Hyperlink"/>
            <w:color w:val="0000EE"/>
            <w:u w:color="0000EE"/>
            <w:lang w:val="el" w:eastAsia="el"/>
          </w:rPr>
          <w:t>Τροποποίηση 3763/2009, Άρθρο 21</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62" w:history="1">
        <w:r>
          <w:rPr>
            <w:rStyle w:val="Hyperlink"/>
            <w:color w:val="0000EE"/>
            <w:u w:color="0000EE"/>
            <w:lang w:val="el" w:eastAsia="el"/>
          </w:rPr>
          <w:t>Τροποποίηση 4714/2020, Άρθρο 62</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62" w:history="1">
        <w:r>
          <w:rPr>
            <w:rStyle w:val="Hyperlink"/>
            <w:color w:val="0000EE"/>
            <w:u w:color="0000EE"/>
            <w:lang w:val="el" w:eastAsia="el"/>
          </w:rPr>
          <w:t>Τροποποίηση 4714/2020, Άρθρο 62</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62" w:history="1">
        <w:r>
          <w:rPr>
            <w:rStyle w:val="Hyperlink"/>
            <w:color w:val="0000EE"/>
            <w:u w:color="0000EE"/>
            <w:lang w:val="el" w:eastAsia="el"/>
          </w:rPr>
          <w:t>Τροποποίηση 4714/2020, Άρθρο 62</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62" w:history="1">
        <w:r>
          <w:rPr>
            <w:rStyle w:val="Hyperlink"/>
            <w:color w:val="0000EE"/>
            <w:u w:color="0000EE"/>
            <w:lang w:val="el" w:eastAsia="el"/>
          </w:rPr>
          <w:t>Τροποποίηση 4714/2020, Άρθρο 62</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62" w:history="1">
        <w:r>
          <w:rPr>
            <w:rStyle w:val="Hyperlink"/>
            <w:color w:val="0000EE"/>
            <w:u w:color="0000EE"/>
            <w:lang w:val="el" w:eastAsia="el"/>
          </w:rPr>
          <w:t>Τροποποίηση 4714/2020, Άρθρο 62</w:t>
        </w:r>
      </w:hyperlink>
      <w:r>
        <w:rPr>
          <w:lang w:val="el" w:eastAsia="el"/>
        </w:rPr>
        <w:t xml:space="preserve">; </w:t>
      </w:r>
      <w:hyperlink r:id="rId221" w:anchor="art_111" w:history="1">
        <w:r>
          <w:rPr>
            <w:rStyle w:val="Hyperlink"/>
            <w:color w:val="0000EE"/>
            <w:u w:color="0000EE"/>
            <w:lang w:val="el" w:eastAsia="el"/>
          </w:rPr>
          <w:t>Τροποποίηση 4549/2018, Άρθρο 111</w:t>
        </w:r>
      </w:hyperlink>
      <w:r>
        <w:rPr>
          <w:lang w:val="el" w:eastAsia="el"/>
        </w:rPr>
        <w:t xml:space="preserve">; </w:t>
      </w:r>
      <w:hyperlink r:id="rId222" w:anchor="art_20" w:history="1">
        <w:r>
          <w:rPr>
            <w:rStyle w:val="Hyperlink"/>
            <w:color w:val="0000EE"/>
            <w:u w:color="0000EE"/>
            <w:lang w:val="el" w:eastAsia="el"/>
          </w:rPr>
          <w:t>Τροποποίηση 3522/2006, Άρθρο 20</w:t>
        </w:r>
      </w:hyperlink>
      <w:r>
        <w:rPr>
          <w:lang w:val="el" w:eastAsia="el"/>
        </w:rPr>
        <w:t xml:space="preserve">; </w:t>
      </w:r>
      <w:hyperlink r:id="rId223" w:anchor="art_1" w:history="1">
        <w:r>
          <w:rPr>
            <w:rStyle w:val="Hyperlink"/>
            <w:color w:val="0000EE"/>
            <w:u w:color="0000EE"/>
            <w:lang w:val="el" w:eastAsia="el"/>
          </w:rPr>
          <w:t>Τροποποίηση 3427/2005, Άρθρο 1</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111" w:history="1">
        <w:r>
          <w:rPr>
            <w:rStyle w:val="Hyperlink"/>
            <w:color w:val="0000EE"/>
            <w:u w:color="0000EE"/>
            <w:lang w:val="el" w:eastAsia="el"/>
          </w:rPr>
          <w:t>Τροποποίηση 4549/2018, Άρθρο 111</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111" w:history="1">
        <w:r>
          <w:rPr>
            <w:rStyle w:val="Hyperlink"/>
            <w:color w:val="0000EE"/>
            <w:u w:color="0000EE"/>
            <w:lang w:val="el" w:eastAsia="el"/>
          </w:rPr>
          <w:t>Τροποποίηση 4549/2018, Άρθρο 111</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16" w:history="1">
        <w:r>
          <w:rPr>
            <w:rStyle w:val="Hyperlink"/>
            <w:color w:val="0000EE"/>
            <w:u w:color="0000EE"/>
            <w:lang w:val="el" w:eastAsia="el"/>
          </w:rPr>
          <w:t>Τροποποίηση 2948/2001, Άρθρο 16</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19" w:history="1">
        <w:r>
          <w:rPr>
            <w:rStyle w:val="Hyperlink"/>
            <w:color w:val="0000EE"/>
            <w:u w:color="0000EE"/>
            <w:lang w:val="el" w:eastAsia="el"/>
          </w:rPr>
          <w:t>Τροποποίηση 3091/2002, Άρθρο 19</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25" w:history="1">
        <w:r>
          <w:rPr>
            <w:rStyle w:val="Hyperlink"/>
            <w:color w:val="0000EE"/>
            <w:u w:color="0000EE"/>
            <w:lang w:val="el" w:eastAsia="el"/>
          </w:rPr>
          <w:t>Τροποποίηση 3522/2006, Άρθρο 25</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60" w:history="1">
        <w:r>
          <w:rPr>
            <w:rStyle w:val="Hyperlink"/>
            <w:color w:val="0000EE"/>
            <w:u w:color="0000EE"/>
            <w:lang w:val="el" w:eastAsia="el"/>
          </w:rPr>
          <w:t>Τροποποίηση 3842/2010, Άρθρο 60</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10" w:history="1">
        <w:r>
          <w:rPr>
            <w:rStyle w:val="Hyperlink"/>
            <w:color w:val="0000EE"/>
            <w:u w:color="0000EE"/>
            <w:lang w:val="el" w:eastAsia="el"/>
          </w:rPr>
          <w:t>Τροποποίηση 4607/2019, Άρθρο 10</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19" w:history="1">
        <w:r>
          <w:rPr>
            <w:rStyle w:val="Hyperlink"/>
            <w:color w:val="0000EE"/>
            <w:u w:color="0000EE"/>
            <w:lang w:val="el" w:eastAsia="el"/>
          </w:rPr>
          <w:t>Τροποποίηση 3091/2002, Άρθρο 19</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16" w:history="1">
        <w:r>
          <w:rPr>
            <w:rStyle w:val="Hyperlink"/>
            <w:color w:val="0000EE"/>
            <w:u w:color="0000EE"/>
            <w:lang w:val="el" w:eastAsia="el"/>
          </w:rPr>
          <w:t>Τροποποίηση 2948/2001, Άρθρο 16</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46" w:history="1">
        <w:r>
          <w:rPr>
            <w:rStyle w:val="Hyperlink"/>
            <w:color w:val="0000EE"/>
            <w:u w:color="0000EE"/>
            <w:lang w:val="el" w:eastAsia="el"/>
          </w:rPr>
          <w:t>Τροποποίηση 4818/2021, Άρθρο 46</w:t>
        </w:r>
      </w:hyperlink>
      <w:r>
        <w:rPr>
          <w:lang w:val="el" w:eastAsia="el"/>
        </w:rPr>
        <w:t xml:space="preserve">; </w:t>
      </w:r>
      <w:hyperlink r:id="rId234" w:anchor="art_52" w:history="1">
        <w:r>
          <w:rPr>
            <w:rStyle w:val="Hyperlink"/>
            <w:color w:val="0000EE"/>
            <w:u w:color="0000EE"/>
            <w:lang w:val="el" w:eastAsia="el"/>
          </w:rPr>
          <w:t>Προσθήκη 4389/2016, Άρθρο 52</w:t>
        </w:r>
      </w:hyperlink>
      <w:r>
        <w:rPr>
          <w:lang w:val="el" w:eastAsia="el"/>
        </w:rPr>
        <w:t xml:space="preserve">; </w:t>
      </w:r>
      <w:hyperlink r:id="rId235" w:anchor="art_1" w:history="1">
        <w:r>
          <w:rPr>
            <w:rStyle w:val="Hyperlink"/>
            <w:color w:val="0000EE"/>
            <w:u w:color="0000EE"/>
            <w:lang w:val="el" w:eastAsia="el"/>
          </w:rPr>
          <w:t>Τροποποίηση 4334/2015, Άρθρο 1</w:t>
        </w:r>
      </w:hyperlink>
      <w:r>
        <w:rPr>
          <w:lang w:val="el" w:eastAsia="el"/>
        </w:rPr>
        <w:t xml:space="preserve">; </w:t>
      </w:r>
      <w:hyperlink r:id="rId236" w:anchor="art_4" w:history="1">
        <w:r>
          <w:rPr>
            <w:rStyle w:val="Hyperlink"/>
            <w:color w:val="0000EE"/>
            <w:u w:color="0000EE"/>
            <w:lang w:val="el" w:eastAsia="el"/>
          </w:rPr>
          <w:t>Τροποποίηση 3899/2010, Άρθρο 4</w:t>
        </w:r>
      </w:hyperlink>
      <w:r>
        <w:rPr>
          <w:lang w:val="el" w:eastAsia="el"/>
        </w:rPr>
        <w:t xml:space="preserve">; </w:t>
      </w:r>
      <w:hyperlink r:id="rId237" w:anchor="art_4" w:history="1">
        <w:r>
          <w:rPr>
            <w:rStyle w:val="Hyperlink"/>
            <w:color w:val="0000EE"/>
            <w:u w:color="0000EE"/>
            <w:lang w:val="el" w:eastAsia="el"/>
          </w:rPr>
          <w:t>Τροποποίηση 3845/2010, Άρθρο 4</w:t>
        </w:r>
      </w:hyperlink>
      <w:r>
        <w:rPr>
          <w:lang w:val="el" w:eastAsia="el"/>
        </w:rPr>
        <w:t xml:space="preserve">; </w:t>
      </w:r>
      <w:hyperlink r:id="rId238" w:anchor="art_12" w:history="1">
        <w:r>
          <w:rPr>
            <w:rStyle w:val="Hyperlink"/>
            <w:color w:val="0000EE"/>
            <w:u w:color="0000EE"/>
            <w:lang w:val="el" w:eastAsia="el"/>
          </w:rPr>
          <w:t>Τροποποίηση 3833/2010, Άρθρο 12</w:t>
        </w:r>
      </w:hyperlink>
      <w:r>
        <w:rPr>
          <w:lang w:val="el" w:eastAsia="el"/>
        </w:rPr>
        <w:t xml:space="preserve">; </w:t>
      </w:r>
      <w:hyperlink r:id="rId239" w:anchor="art_12" w:history="1">
        <w:r>
          <w:rPr>
            <w:rStyle w:val="Hyperlink"/>
            <w:color w:val="0000EE"/>
            <w:u w:color="0000EE"/>
            <w:lang w:val="el" w:eastAsia="el"/>
          </w:rPr>
          <w:t>Τροποποίηση 3336/2005, Άρθρο 12</w:t>
        </w:r>
      </w:hyperlink>
      <w:r>
        <w:rPr>
          <w:lang w:val="el" w:eastAsia="el"/>
        </w:rPr>
        <w:t xml:space="preserve">; </w:t>
      </w:r>
      <w:hyperlink r:id="rId240" w:anchor="art_4" w:history="1">
        <w:r>
          <w:rPr>
            <w:rStyle w:val="Hyperlink"/>
            <w:color w:val="0000EE"/>
            <w:u w:color="0000EE"/>
            <w:lang w:val="el" w:eastAsia="el"/>
          </w:rPr>
          <w:t>Προσθήκη 3193/2003, Άρθρο 4</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73" w:history="1">
        <w:r>
          <w:rPr>
            <w:rStyle w:val="Hyperlink"/>
            <w:color w:val="0000EE"/>
            <w:u w:color="0000EE"/>
            <w:lang w:val="el" w:eastAsia="el"/>
          </w:rPr>
          <w:t>Προσθήκη 4764/2020, Άρθρο 73</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65" w:history="1">
        <w:r>
          <w:rPr>
            <w:rStyle w:val="Hyperlink"/>
            <w:color w:val="0000EE"/>
            <w:u w:color="0000EE"/>
            <w:lang w:val="el" w:eastAsia="el"/>
          </w:rPr>
          <w:t>Τροποποίηση 4811/2021, Άρθρο 65</w:t>
        </w:r>
      </w:hyperlink>
      <w:r>
        <w:rPr>
          <w:lang w:val="el" w:eastAsia="el"/>
        </w:rPr>
        <w:t xml:space="preserve">; Τροποποίηση PNP/31.12.2018, Άρθρο 2; Τροποποίηση PNP/29.06.2018, Άρθρο 1; </w:t>
      </w:r>
      <w:hyperlink r:id="rId243" w:anchor="art_74" w:history="1">
        <w:r>
          <w:rPr>
            <w:rStyle w:val="Hyperlink"/>
            <w:color w:val="0000EE"/>
            <w:u w:color="0000EE"/>
            <w:lang w:val="el" w:eastAsia="el"/>
          </w:rPr>
          <w:t>Τροποποίηση 4509/2017, Άρθρο 74</w:t>
        </w:r>
      </w:hyperlink>
      <w:r>
        <w:rPr>
          <w:lang w:val="el" w:eastAsia="el"/>
        </w:rPr>
        <w:t xml:space="preserve">; </w:t>
      </w:r>
      <w:hyperlink r:id="rId244" w:anchor="art_118" w:history="1">
        <w:r>
          <w:rPr>
            <w:rStyle w:val="Hyperlink"/>
            <w:color w:val="0000EE"/>
            <w:u w:color="0000EE"/>
            <w:lang w:val="el" w:eastAsia="el"/>
          </w:rPr>
          <w:t>Τροποποίηση 4446/2016, Άρθρο 118</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65" w:history="1">
        <w:r>
          <w:rPr>
            <w:rStyle w:val="Hyperlink"/>
            <w:color w:val="0000EE"/>
            <w:u w:color="0000EE"/>
            <w:lang w:val="el" w:eastAsia="el"/>
          </w:rPr>
          <w:t>Τροποποίηση 4811/2021, Άρθρο 65</w:t>
        </w:r>
      </w:hyperlink>
      <w:r>
        <w:rPr>
          <w:lang w:val="el" w:eastAsia="el"/>
        </w:rPr>
        <w:t xml:space="preserve">; Τροποποίηση PNP/31.12.2018, Άρθρο 2; Τροποποίηση PNP/29.06.2018, Άρθρο 1; </w:t>
      </w:r>
      <w:hyperlink r:id="rId247" w:anchor="art_74" w:history="1">
        <w:r>
          <w:rPr>
            <w:rStyle w:val="Hyperlink"/>
            <w:color w:val="0000EE"/>
            <w:u w:color="0000EE"/>
            <w:lang w:val="el" w:eastAsia="el"/>
          </w:rPr>
          <w:t>Τροποποίηση 4509/2017, Άρθρο 74</w:t>
        </w:r>
      </w:hyperlink>
      <w:r>
        <w:rPr>
          <w:lang w:val="el" w:eastAsia="el"/>
        </w:rPr>
        <w:t xml:space="preserve">; </w:t>
      </w:r>
      <w:hyperlink r:id="rId248" w:anchor="art_118" w:history="1">
        <w:r>
          <w:rPr>
            <w:rStyle w:val="Hyperlink"/>
            <w:color w:val="0000EE"/>
            <w:u w:color="0000EE"/>
            <w:lang w:val="el" w:eastAsia="el"/>
          </w:rPr>
          <w:t>Τροποποίηση 4446/2016, Άρθρο 118</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65" w:history="1">
        <w:r>
          <w:rPr>
            <w:rStyle w:val="Hyperlink"/>
            <w:color w:val="0000EE"/>
            <w:u w:color="0000EE"/>
            <w:lang w:val="el" w:eastAsia="el"/>
          </w:rPr>
          <w:t>Τροποποίηση 4811/2021, Άρθρο 65</w:t>
        </w:r>
      </w:hyperlink>
      <w:r>
        <w:rPr>
          <w:lang w:val="el" w:eastAsia="el"/>
        </w:rPr>
        <w:t xml:space="preserve">; Τροποποίηση PNP/31.12.2018, Άρθρο 2; </w:t>
      </w:r>
      <w:hyperlink r:id="rId254" w:anchor="art_74" w:history="1">
        <w:r>
          <w:rPr>
            <w:rStyle w:val="Hyperlink"/>
            <w:color w:val="0000EE"/>
            <w:u w:color="0000EE"/>
            <w:lang w:val="el" w:eastAsia="el"/>
          </w:rPr>
          <w:t>Τροποποίηση 4509/2017, Άρθρο 74</w:t>
        </w:r>
      </w:hyperlink>
      <w:r>
        <w:rPr>
          <w:lang w:val="el" w:eastAsia="el"/>
        </w:rPr>
        <w:t xml:space="preserve">; </w:t>
      </w:r>
      <w:hyperlink r:id="rId255" w:anchor="art_118" w:history="1">
        <w:r>
          <w:rPr>
            <w:rStyle w:val="Hyperlink"/>
            <w:color w:val="0000EE"/>
            <w:u w:color="0000EE"/>
            <w:lang w:val="el" w:eastAsia="el"/>
          </w:rPr>
          <w:t>Τροποποίηση 4446/2016, Άρθρο 118</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PNP/31.12.2018, Άρθρο 2</w:t>
      </w:r>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62" w:history="1">
        <w:r>
          <w:rPr>
            <w:rStyle w:val="Hyperlink"/>
            <w:color w:val="0000EE"/>
            <w:u w:color="0000EE"/>
            <w:lang w:val="el" w:eastAsia="el"/>
          </w:rPr>
          <w:t>Προσθήκη 3842/2010, Άρθρο 62</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52" w:history="1">
        <w:r>
          <w:rPr>
            <w:rStyle w:val="Hyperlink"/>
            <w:color w:val="0000EE"/>
            <w:u w:color="0000EE"/>
            <w:lang w:val="el" w:eastAsia="el"/>
          </w:rPr>
          <w:t>Προσθήκη 4389/2016, Άρθρο 52</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18" w:history="1">
        <w:r>
          <w:rPr>
            <w:rStyle w:val="Hyperlink"/>
            <w:color w:val="0000EE"/>
            <w:u w:color="0000EE"/>
            <w:lang w:val="el" w:eastAsia="el"/>
          </w:rPr>
          <w:t>Τροποποίηση 4002/2011, Άρθρο 18</w:t>
        </w:r>
      </w:hyperlink>
      <w:r>
        <w:rPr>
          <w:lang w:val="el" w:eastAsia="el"/>
        </w:rPr>
        <w:t xml:space="preserve">; </w:t>
      </w:r>
      <w:hyperlink r:id="rId259" w:anchor="art_39" w:history="1">
        <w:r>
          <w:rPr>
            <w:rStyle w:val="Hyperlink"/>
            <w:color w:val="0000EE"/>
            <w:u w:color="0000EE"/>
            <w:lang w:val="el" w:eastAsia="el"/>
          </w:rPr>
          <w:t>Προσθήκη 3220/2004, Άρθρο 39</w:t>
        </w:r>
      </w:hyperlink>
      <w:r>
        <w:rPr>
          <w:lang w:val="el" w:eastAsia="el"/>
        </w:rPr>
        <w:t xml:space="preserve">; </w:t>
      </w:r>
      <w:hyperlink r:id="rId260" w:anchor="art_39" w:history="1">
        <w:r>
          <w:rPr>
            <w:rStyle w:val="Hyperlink"/>
            <w:color w:val="0000EE"/>
            <w:u w:color="0000EE"/>
            <w:lang w:val="el" w:eastAsia="el"/>
          </w:rPr>
          <w:t>Προσθήκη 3220/2004, Άρθρο 39</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62" w:history="1">
        <w:r>
          <w:rPr>
            <w:rStyle w:val="Hyperlink"/>
            <w:color w:val="0000EE"/>
            <w:u w:color="0000EE"/>
            <w:lang w:val="el" w:eastAsia="el"/>
          </w:rPr>
          <w:t>Τροποποίηση 3842/2010, Άρθρο 62</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62" w:history="1">
        <w:r>
          <w:rPr>
            <w:rStyle w:val="Hyperlink"/>
            <w:color w:val="0000EE"/>
            <w:u w:color="0000EE"/>
            <w:lang w:val="el" w:eastAsia="el"/>
          </w:rPr>
          <w:t>Τροποποίηση 3842/2010, Άρθρο 62</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62" w:history="1">
        <w:r>
          <w:rPr>
            <w:rStyle w:val="Hyperlink"/>
            <w:color w:val="0000EE"/>
            <w:u w:color="0000EE"/>
            <w:lang w:val="el" w:eastAsia="el"/>
          </w:rPr>
          <w:t>Τροποποίηση 3842/2010, Άρθρο 62</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62" w:history="1">
        <w:r>
          <w:rPr>
            <w:rStyle w:val="Hyperlink"/>
            <w:color w:val="0000EE"/>
            <w:u w:color="0000EE"/>
            <w:lang w:val="el" w:eastAsia="el"/>
          </w:rPr>
          <w:t>Τροποποίηση 3842/2010, Άρθρο 62</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62" w:history="1">
        <w:r>
          <w:rPr>
            <w:rStyle w:val="Hyperlink"/>
            <w:color w:val="0000EE"/>
            <w:u w:color="0000EE"/>
            <w:lang w:val="el" w:eastAsia="el"/>
          </w:rPr>
          <w:t>Τροποποίηση 3842/2010, Άρθρο 62</w:t>
        </w:r>
      </w:hyperlink>
      <w:r>
        <w:rPr>
          <w:lang w:val="el" w:eastAsia="el"/>
        </w:rPr>
        <w:t xml:space="preserve">; </w:t>
      </w:r>
      <w:hyperlink r:id="rId266" w:anchor="art_24" w:history="1">
        <w:r>
          <w:rPr>
            <w:rStyle w:val="Hyperlink"/>
            <w:color w:val="0000EE"/>
            <w:u w:color="0000EE"/>
            <w:lang w:val="el" w:eastAsia="el"/>
          </w:rPr>
          <w:t>Τροποποίηση 2873/2000, Άρθρο 24</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62" w:history="1">
        <w:r>
          <w:rPr>
            <w:rStyle w:val="Hyperlink"/>
            <w:color w:val="0000EE"/>
            <w:u w:color="0000EE"/>
            <w:lang w:val="el" w:eastAsia="el"/>
          </w:rPr>
          <w:t>Αφαίρεση 3842/2010, Άρθρο 62</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19" w:history="1">
        <w:r>
          <w:rPr>
            <w:rStyle w:val="Hyperlink"/>
            <w:color w:val="0000EE"/>
            <w:u w:color="0000EE"/>
            <w:lang w:val="el" w:eastAsia="el"/>
          </w:rPr>
          <w:t>Τροποποίηση 4346/2015, Άρθρο 19</w:t>
        </w:r>
      </w:hyperlink>
      <w:r>
        <w:rPr>
          <w:lang w:val="el" w:eastAsia="el"/>
        </w:rPr>
        <w:t xml:space="preserve">; </w:t>
      </w:r>
      <w:hyperlink r:id="rId269" w:anchor="art_1" w:history="1">
        <w:r>
          <w:rPr>
            <w:rStyle w:val="Hyperlink"/>
            <w:color w:val="0000EE"/>
            <w:u w:color="0000EE"/>
            <w:lang w:val="el" w:eastAsia="el"/>
          </w:rPr>
          <w:t>Τροποποίηση 4334/2015, Άρθρο 1</w:t>
        </w:r>
      </w:hyperlink>
      <w:r>
        <w:rPr>
          <w:lang w:val="el" w:eastAsia="el"/>
        </w:rPr>
        <w:t xml:space="preserve">; </w:t>
      </w:r>
      <w:hyperlink r:id="rId270" w:anchor="art_9" w:history="1">
        <w:r>
          <w:rPr>
            <w:rStyle w:val="Hyperlink"/>
            <w:color w:val="0000EE"/>
            <w:u w:color="0000EE"/>
            <w:lang w:val="el" w:eastAsia="el"/>
          </w:rPr>
          <w:t>Τροποποίηση 2954/2001, Άρθρο 9</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2" w:history="1">
        <w:r>
          <w:rPr>
            <w:rStyle w:val="Hyperlink"/>
            <w:color w:val="0000EE"/>
            <w:u w:color="0000EE"/>
            <w:lang w:val="el" w:eastAsia="el"/>
          </w:rPr>
          <w:t>Τροποποίηση 4336/2015, Άρθρο 2</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2" w:anchor="art_2" w:history="1">
        <w:r>
          <w:rPr>
            <w:rStyle w:val="Hyperlink"/>
            <w:color w:val="0000EE"/>
            <w:u w:color="0000EE"/>
            <w:lang w:val="el" w:eastAsia="el"/>
          </w:rPr>
          <w:t>Τροποποίηση 4336/2015, Άρθρο 2</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3" w:anchor="art_2" w:history="1">
        <w:r>
          <w:rPr>
            <w:rStyle w:val="Hyperlink"/>
            <w:color w:val="0000EE"/>
            <w:u w:color="0000EE"/>
            <w:lang w:val="el" w:eastAsia="el"/>
          </w:rPr>
          <w:t>Τροποποίηση 4336/2015, Άρθρο 2</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2" w:history="1">
        <w:r>
          <w:rPr>
            <w:rStyle w:val="Hyperlink"/>
            <w:color w:val="0000EE"/>
            <w:u w:color="0000EE"/>
            <w:lang w:val="el" w:eastAsia="el"/>
          </w:rPr>
          <w:t>Τροποποίηση 4336/2015, Άρθρο 2</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2" w:history="1">
        <w:r>
          <w:rPr>
            <w:rStyle w:val="Hyperlink"/>
            <w:color w:val="0000EE"/>
            <w:u w:color="0000EE"/>
            <w:lang w:val="el" w:eastAsia="el"/>
          </w:rPr>
          <w:t>Τροποποίηση 4336/2015, Άρθρο 2</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63" w:history="1">
        <w:r>
          <w:rPr>
            <w:rStyle w:val="Hyperlink"/>
            <w:color w:val="0000EE"/>
            <w:u w:color="0000EE"/>
            <w:lang w:val="el" w:eastAsia="el"/>
          </w:rPr>
          <w:t>Προσθήκη 4342/2015, Άρθρο 63</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27" w:history="1">
        <w:r>
          <w:rPr>
            <w:rStyle w:val="Hyperlink"/>
            <w:color w:val="0000EE"/>
            <w:u w:color="0000EE"/>
            <w:lang w:val="el" w:eastAsia="el"/>
          </w:rPr>
          <w:t>Τροποποίηση 3492/2006, Άρθρο 27</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103" w:history="1">
        <w:r>
          <w:rPr>
            <w:rStyle w:val="Hyperlink"/>
            <w:color w:val="0000EE"/>
            <w:u w:color="0000EE"/>
            <w:lang w:val="el" w:eastAsia="el"/>
          </w:rPr>
          <w:t>Τροποποίηση 4099/2012, Άρθρο 103</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24" w:history="1">
        <w:r>
          <w:rPr>
            <w:rStyle w:val="Hyperlink"/>
            <w:color w:val="0000EE"/>
            <w:u w:color="0000EE"/>
            <w:lang w:val="el" w:eastAsia="el"/>
          </w:rPr>
          <w:t>Τροποποίηση 3522/2006, Άρθρο 24</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19" w:history="1">
        <w:r>
          <w:rPr>
            <w:rStyle w:val="Hyperlink"/>
            <w:color w:val="0000EE"/>
            <w:u w:color="0000EE"/>
            <w:lang w:val="el" w:eastAsia="el"/>
          </w:rPr>
          <w:t>Τροποποίηση 3091/2002, Άρθρο 19</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20" w:history="1">
        <w:r>
          <w:rPr>
            <w:rStyle w:val="Hyperlink"/>
            <w:color w:val="0000EE"/>
            <w:u w:color="0000EE"/>
            <w:lang w:val="el" w:eastAsia="el"/>
          </w:rPr>
          <w:t>Τροποποίηση 3522/2006, Άρθρο 20</w:t>
        </w:r>
      </w:hyperlink>
      <w:r>
        <w:rPr>
          <w:lang w:val="el" w:eastAsia="el"/>
        </w:rPr>
        <w:t xml:space="preserve">; </w:t>
      </w:r>
      <w:hyperlink r:id="rId282" w:anchor="art_1" w:history="1">
        <w:r>
          <w:rPr>
            <w:rStyle w:val="Hyperlink"/>
            <w:color w:val="0000EE"/>
            <w:u w:color="0000EE"/>
            <w:lang w:val="el" w:eastAsia="el"/>
          </w:rPr>
          <w:t>Τροποποίηση 3427/2005, Άρθρο 1</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61" w:history="1">
        <w:r>
          <w:rPr>
            <w:rStyle w:val="Hyperlink"/>
            <w:color w:val="0000EE"/>
            <w:u w:color="0000EE"/>
            <w:lang w:val="el" w:eastAsia="el"/>
          </w:rPr>
          <w:t>Αφαίρεση 3842/2010, Άρθρο 61</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5" w:history="1">
        <w:r>
          <w:rPr>
            <w:rStyle w:val="Hyperlink"/>
            <w:color w:val="0000EE"/>
            <w:u w:color="0000EE"/>
            <w:lang w:val="el" w:eastAsia="el"/>
          </w:rPr>
          <w:t>Προσθήκη 4818/2021, Άρθρο 5</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39" w:history="1">
        <w:r>
          <w:rPr>
            <w:rStyle w:val="Hyperlink"/>
            <w:color w:val="0000EE"/>
            <w:u w:color="0000EE"/>
            <w:lang w:val="el" w:eastAsia="el"/>
          </w:rPr>
          <w:t>Προσθήκη 3943/2011, Άρθρο 39</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39" w:history="1">
        <w:r>
          <w:rPr>
            <w:rStyle w:val="Hyperlink"/>
            <w:color w:val="0000EE"/>
            <w:u w:color="0000EE"/>
            <w:lang w:val="el" w:eastAsia="el"/>
          </w:rPr>
          <w:t>Προσθήκη 3943/2011, Άρθρο 39</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39" w:history="1">
        <w:r>
          <w:rPr>
            <w:rStyle w:val="Hyperlink"/>
            <w:color w:val="0000EE"/>
            <w:u w:color="0000EE"/>
            <w:lang w:val="el" w:eastAsia="el"/>
          </w:rPr>
          <w:t>Προσθήκη 3943/2011, Άρθρο 39</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39" w:history="1">
        <w:r>
          <w:rPr>
            <w:rStyle w:val="Hyperlink"/>
            <w:color w:val="0000EE"/>
            <w:u w:color="0000EE"/>
            <w:lang w:val="el" w:eastAsia="el"/>
          </w:rPr>
          <w:t>Προσθήκη 3943/2011, Άρθρο 39</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39" w:history="1">
        <w:r>
          <w:rPr>
            <w:rStyle w:val="Hyperlink"/>
            <w:color w:val="0000EE"/>
            <w:u w:color="0000EE"/>
            <w:lang w:val="el" w:eastAsia="el"/>
          </w:rPr>
          <w:t>Τροποποίηση 3943/2011, Άρθρο 39</w:t>
        </w:r>
      </w:hyperlink>
      <w:r>
        <w:rPr>
          <w:lang w:val="el" w:eastAsia="el"/>
        </w:rPr>
        <w:t xml:space="preserve">; </w:t>
      </w:r>
      <w:hyperlink r:id="rId290" w:anchor="art_18" w:history="1">
        <w:r>
          <w:rPr>
            <w:rStyle w:val="Hyperlink"/>
            <w:color w:val="0000EE"/>
            <w:u w:color="0000EE"/>
            <w:lang w:val="el" w:eastAsia="el"/>
          </w:rPr>
          <w:t>Προσθήκη 3312/2005, Άρθρο 18</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6" w:history="1">
        <w:r>
          <w:rPr>
            <w:rStyle w:val="Hyperlink"/>
            <w:color w:val="0000EE"/>
            <w:u w:color="0000EE"/>
            <w:lang w:val="el" w:eastAsia="el"/>
          </w:rPr>
          <w:t>Προσθήκη 4818/2021, Άρθρο 6</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16" w:history="1">
        <w:r>
          <w:rPr>
            <w:rStyle w:val="Hyperlink"/>
            <w:color w:val="0000EE"/>
            <w:u w:color="0000EE"/>
            <w:lang w:val="el" w:eastAsia="el"/>
          </w:rPr>
          <w:t>Αφαίρεση 2948/2001, Άρθρο 16</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27" w:history="1">
        <w:r>
          <w:rPr>
            <w:rStyle w:val="Hyperlink"/>
            <w:color w:val="0000EE"/>
            <w:u w:color="0000EE"/>
            <w:lang w:val="el" w:eastAsia="el"/>
          </w:rPr>
          <w:t>Προσθήκη 3943/2011, Άρθρο 27</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39" w:history="1">
        <w:r>
          <w:rPr>
            <w:rStyle w:val="Hyperlink"/>
            <w:color w:val="0000EE"/>
            <w:u w:color="0000EE"/>
            <w:lang w:val="el" w:eastAsia="el"/>
          </w:rPr>
          <w:t>Τροποποίηση 3220/2004, Άρθρο 39</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39" w:history="1">
        <w:r>
          <w:rPr>
            <w:rStyle w:val="Hyperlink"/>
            <w:color w:val="0000EE"/>
            <w:u w:color="0000EE"/>
            <w:lang w:val="el" w:eastAsia="el"/>
          </w:rPr>
          <w:t>Τροποποίηση 3220/2004, Άρθρο 39</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39" w:history="1">
        <w:r>
          <w:rPr>
            <w:rStyle w:val="Hyperlink"/>
            <w:color w:val="0000EE"/>
            <w:u w:color="0000EE"/>
            <w:lang w:val="el" w:eastAsia="el"/>
          </w:rPr>
          <w:t>Τροποποίηση 3220/2004, Άρθρο 39</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7" w:anchor="art_24" w:history="1">
        <w:r>
          <w:rPr>
            <w:rStyle w:val="Hyperlink"/>
            <w:color w:val="0000EE"/>
            <w:u w:color="0000EE"/>
            <w:lang w:val="el" w:eastAsia="el"/>
          </w:rPr>
          <w:t>Τροποποίηση 2873/2000, Άρθρο 24</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8" w:anchor="art_111" w:history="1">
        <w:r>
          <w:rPr>
            <w:rStyle w:val="Hyperlink"/>
            <w:color w:val="0000EE"/>
            <w:u w:color="0000EE"/>
            <w:lang w:val="el" w:eastAsia="el"/>
          </w:rPr>
          <w:t>Τροποποίηση 4514/2018, Άρθρο 111</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9" w:anchor="art_111" w:history="1">
        <w:r>
          <w:rPr>
            <w:rStyle w:val="Hyperlink"/>
            <w:color w:val="0000EE"/>
            <w:u w:color="0000EE"/>
            <w:lang w:val="el" w:eastAsia="el"/>
          </w:rPr>
          <w:t>Τροποποίηση 4514/2018, Άρθρο 111</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0" w:anchor="art_111" w:history="1">
        <w:r>
          <w:rPr>
            <w:rStyle w:val="Hyperlink"/>
            <w:color w:val="0000EE"/>
            <w:u w:color="0000EE"/>
            <w:lang w:val="el" w:eastAsia="el"/>
          </w:rPr>
          <w:t>Τροποποίηση 4514/2018, Άρθρο 111</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1" w:anchor="art_111" w:history="1">
        <w:r>
          <w:rPr>
            <w:rStyle w:val="Hyperlink"/>
            <w:color w:val="0000EE"/>
            <w:u w:color="0000EE"/>
            <w:lang w:val="el" w:eastAsia="el"/>
          </w:rPr>
          <w:t>Τροποποίηση 4514/2018, Άρθρο 111</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2" w:anchor="art_111" w:history="1">
        <w:r>
          <w:rPr>
            <w:rStyle w:val="Hyperlink"/>
            <w:color w:val="0000EE"/>
            <w:u w:color="0000EE"/>
            <w:lang w:val="el" w:eastAsia="el"/>
          </w:rPr>
          <w:t>Τροποποίηση 4514/2018, Άρθρο 111</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3" w:anchor="art_111" w:history="1">
        <w:r>
          <w:rPr>
            <w:rStyle w:val="Hyperlink"/>
            <w:color w:val="0000EE"/>
            <w:u w:color="0000EE"/>
            <w:lang w:val="el" w:eastAsia="el"/>
          </w:rPr>
          <w:t>Τροποποίηση 4514/2018, Άρθρο 111</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4" w:anchor="art_111" w:history="1">
        <w:r>
          <w:rPr>
            <w:rStyle w:val="Hyperlink"/>
            <w:color w:val="0000EE"/>
            <w:u w:color="0000EE"/>
            <w:lang w:val="el" w:eastAsia="el"/>
          </w:rPr>
          <w:t>Τροποποίηση 4514/2018, Άρθρο 111</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111" w:history="1">
        <w:r>
          <w:rPr>
            <w:rStyle w:val="Hyperlink"/>
            <w:color w:val="0000EE"/>
            <w:u w:color="0000EE"/>
            <w:lang w:val="el" w:eastAsia="el"/>
          </w:rPr>
          <w:t>Τροποποίηση 4514/2018, Άρθρο 111</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3" w:history="1">
        <w:r>
          <w:rPr>
            <w:rStyle w:val="Hyperlink"/>
            <w:color w:val="0000EE"/>
            <w:u w:color="0000EE"/>
            <w:lang w:val="el" w:eastAsia="el"/>
          </w:rPr>
          <w:t>Προσθήκη 4254/2014, Άρθρο 3</w:t>
        </w:r>
      </w:hyperlink>
      <w:r>
        <w:rPr>
          <w:lang w:val="el" w:eastAsia="el"/>
        </w:rPr>
        <w:t xml:space="preserve">; </w:t>
      </w:r>
      <w:hyperlink r:id="rId307" w:anchor="art_19" w:history="1">
        <w:r>
          <w:rPr>
            <w:rStyle w:val="Hyperlink"/>
            <w:color w:val="0000EE"/>
            <w:u w:color="0000EE"/>
            <w:lang w:val="el" w:eastAsia="el"/>
          </w:rPr>
          <w:t>Προσθήκη 3091/2002, Άρθρο 19</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8" w:anchor="art_8" w:history="1">
        <w:r>
          <w:rPr>
            <w:rStyle w:val="Hyperlink"/>
            <w:color w:val="0000EE"/>
            <w:u w:color="0000EE"/>
            <w:lang w:val="el" w:eastAsia="el"/>
          </w:rPr>
          <w:t>Τροποποίηση 3763/2009, Άρθρο 8</w:t>
        </w:r>
      </w:hyperlink>
      <w:r>
        <w:rPr>
          <w:lang w:val="el" w:eastAsia="el"/>
        </w:rPr>
        <w:t xml:space="preserve">; </w:t>
      </w:r>
      <w:hyperlink r:id="rId309" w:anchor="art_19" w:history="1">
        <w:r>
          <w:rPr>
            <w:rStyle w:val="Hyperlink"/>
            <w:color w:val="0000EE"/>
            <w:u w:color="0000EE"/>
            <w:lang w:val="el" w:eastAsia="el"/>
          </w:rPr>
          <w:t>Τροποποίηση 3091/2002, Άρθρο 19</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0" w:anchor="art_8" w:history="1">
        <w:r>
          <w:rPr>
            <w:rStyle w:val="Hyperlink"/>
            <w:color w:val="0000EE"/>
            <w:u w:color="0000EE"/>
            <w:lang w:val="el" w:eastAsia="el"/>
          </w:rPr>
          <w:t>Τροποποίηση 3763/2009, Άρθρο 8</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1" w:anchor="art_39" w:history="1">
        <w:r>
          <w:rPr>
            <w:rStyle w:val="Hyperlink"/>
            <w:color w:val="0000EE"/>
            <w:u w:color="0000EE"/>
            <w:lang w:val="el" w:eastAsia="el"/>
          </w:rPr>
          <w:t>Τροποποίηση 3943/2011, Άρθρο 39</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2" w:anchor="art_39" w:history="1">
        <w:r>
          <w:rPr>
            <w:rStyle w:val="Hyperlink"/>
            <w:color w:val="0000EE"/>
            <w:u w:color="0000EE"/>
            <w:lang w:val="el" w:eastAsia="el"/>
          </w:rPr>
          <w:t>Προσθήκη 3943/2011, Άρθρο 39</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3" w:anchor="art_111" w:history="1">
        <w:r>
          <w:rPr>
            <w:rStyle w:val="Hyperlink"/>
            <w:color w:val="0000EE"/>
            <w:u w:color="0000EE"/>
            <w:lang w:val="el" w:eastAsia="el"/>
          </w:rPr>
          <w:t>Αφαίρεση 4514/2018, Άρθρο 111</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73" w:history="1">
        <w:r>
          <w:rPr>
            <w:rStyle w:val="Hyperlink"/>
            <w:color w:val="0000EE"/>
            <w:u w:color="0000EE"/>
            <w:lang w:val="el" w:eastAsia="el"/>
          </w:rPr>
          <w:t>Προσθήκη 4375/2016, Άρθρο 73</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5" w:anchor="art_73" w:history="1">
        <w:r>
          <w:rPr>
            <w:rStyle w:val="Hyperlink"/>
            <w:color w:val="0000EE"/>
            <w:u w:color="0000EE"/>
            <w:lang w:val="el" w:eastAsia="el"/>
          </w:rPr>
          <w:t>Προσθήκη 4375/2016, Άρθρο 73</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6" w:anchor="art_50" w:history="1">
        <w:r>
          <w:rPr>
            <w:rStyle w:val="Hyperlink"/>
            <w:color w:val="0000EE"/>
            <w:u w:color="0000EE"/>
            <w:lang w:val="el" w:eastAsia="el"/>
          </w:rPr>
          <w:t>Προσθήκη 4410/2016, Άρθρο 50</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PNP/26.07.2018, Άρθρο 9</w:t>
      </w:r>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7" w:anchor="art_22" w:history="1">
        <w:r>
          <w:rPr>
            <w:rStyle w:val="Hyperlink"/>
            <w:color w:val="0000EE"/>
            <w:u w:color="0000EE"/>
            <w:lang w:val="el" w:eastAsia="el"/>
          </w:rPr>
          <w:t>Προσθήκη 4664/2020, Άρθρο 22</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4681/2020, Άρθρο 4</w:t>
      </w:r>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4681/2020, Άρθρο 4</w:t>
      </w:r>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8" w:anchor="art_79" w:history="1">
        <w:r>
          <w:rPr>
            <w:rStyle w:val="Hyperlink"/>
            <w:color w:val="0000EE"/>
            <w:u w:color="0000EE"/>
            <w:lang w:val="el" w:eastAsia="el"/>
          </w:rPr>
          <w:t>Προσθήκη 4790/2021, Άρθρο 79</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9" w:anchor="art_22" w:history="1">
        <w:r>
          <w:rPr>
            <w:rStyle w:val="Hyperlink"/>
            <w:color w:val="0000EE"/>
            <w:u w:color="0000EE"/>
            <w:lang w:val="el" w:eastAsia="el"/>
          </w:rPr>
          <w:t>Τροποποίηση 4664/2020, Άρθρο 22</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0" w:anchor="art_61" w:history="1">
        <w:r>
          <w:rPr>
            <w:rStyle w:val="Hyperlink"/>
            <w:color w:val="0000EE"/>
            <w:u w:color="0000EE"/>
            <w:lang w:val="el" w:eastAsia="el"/>
          </w:rPr>
          <w:t>Τροποποίηση 4714/2020, Άρθρο 61</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61" w:history="1">
        <w:r>
          <w:rPr>
            <w:rStyle w:val="Hyperlink"/>
            <w:color w:val="0000EE"/>
            <w:u w:color="0000EE"/>
            <w:lang w:val="el" w:eastAsia="el"/>
          </w:rPr>
          <w:t>Τροποποίηση 4714/2020, Άρθρο 61</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2" w:anchor="art_16" w:history="1">
        <w:r>
          <w:rPr>
            <w:rStyle w:val="Hyperlink"/>
            <w:color w:val="0000EE"/>
            <w:u w:color="0000EE"/>
            <w:lang w:val="el" w:eastAsia="el"/>
          </w:rPr>
          <w:t>Τροποποίηση 2948/2001, Άρθρο 16</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3" w:anchor="art_61" w:history="1">
        <w:r>
          <w:rPr>
            <w:rStyle w:val="Hyperlink"/>
            <w:color w:val="0000EE"/>
            <w:u w:color="0000EE"/>
            <w:lang w:val="el" w:eastAsia="el"/>
          </w:rPr>
          <w:t>Προσθήκη 4714/2020, Άρθρο 61</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4" w:anchor="art_39" w:history="1">
        <w:r>
          <w:rPr>
            <w:rStyle w:val="Hyperlink"/>
            <w:color w:val="0000EE"/>
            <w:u w:color="0000EE"/>
            <w:lang w:val="el" w:eastAsia="el"/>
          </w:rPr>
          <w:t>Προσθήκη 4646/2019, Άρθρο 39</w:t>
        </w:r>
      </w:hyperlink>
      <w:r>
        <w:rPr>
          <w:lang w:val="el" w:eastAsia="el"/>
        </w:rPr>
        <w:t xml:space="preserve">; </w:t>
      </w:r>
      <w:hyperlink r:id="rId325" w:anchor="art_39" w:history="1">
        <w:r>
          <w:rPr>
            <w:rStyle w:val="Hyperlink"/>
            <w:color w:val="0000EE"/>
            <w:u w:color="0000EE"/>
            <w:lang w:val="el" w:eastAsia="el"/>
          </w:rPr>
          <w:t>Τροποποίηση 3943/2011, Άρθρο 39</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6" w:anchor="art_104" w:history="1">
        <w:r>
          <w:rPr>
            <w:rStyle w:val="Hyperlink"/>
            <w:color w:val="0000EE"/>
            <w:u w:color="0000EE"/>
            <w:lang w:val="el" w:eastAsia="el"/>
          </w:rPr>
          <w:t>Προσθήκη 4316/2014, Άρθρο 104</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7" w:anchor="art_6" w:history="1">
        <w:r>
          <w:rPr>
            <w:rStyle w:val="Hyperlink"/>
            <w:color w:val="0000EE"/>
            <w:u w:color="0000EE"/>
            <w:lang w:val="el" w:eastAsia="el"/>
          </w:rPr>
          <w:t>Τροποποίηση 4818/2021, Άρθρο 6</w:t>
        </w:r>
      </w:hyperlink>
      <w:r>
        <w:rPr>
          <w:lang w:val="el" w:eastAsia="el"/>
        </w:rPr>
        <w:t xml:space="preserve">; </w:t>
      </w:r>
      <w:hyperlink r:id="rId328" w:anchor="art_104" w:history="1">
        <w:r>
          <w:rPr>
            <w:rStyle w:val="Hyperlink"/>
            <w:color w:val="0000EE"/>
            <w:u w:color="0000EE"/>
            <w:lang w:val="el" w:eastAsia="el"/>
          </w:rPr>
          <w:t>Προσθήκη 4316/2014, Άρθρο 104</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9" w:anchor="art_6" w:history="1">
        <w:r>
          <w:rPr>
            <w:rStyle w:val="Hyperlink"/>
            <w:color w:val="0000EE"/>
            <w:u w:color="0000EE"/>
            <w:lang w:val="el" w:eastAsia="el"/>
          </w:rPr>
          <w:t>Τροποποίηση 4818/2021, Άρθρο 6</w:t>
        </w:r>
      </w:hyperlink>
      <w:r>
        <w:rPr>
          <w:lang w:val="el" w:eastAsia="el"/>
        </w:rPr>
        <w:t xml:space="preserve">; </w:t>
      </w:r>
      <w:hyperlink r:id="rId330" w:anchor="art_104" w:history="1">
        <w:r>
          <w:rPr>
            <w:rStyle w:val="Hyperlink"/>
            <w:color w:val="0000EE"/>
            <w:u w:color="0000EE"/>
            <w:lang w:val="el" w:eastAsia="el"/>
          </w:rPr>
          <w:t>Προσθήκη 4316/2014, Άρθρο 104</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1" w:anchor="art_6" w:history="1">
        <w:r>
          <w:rPr>
            <w:rStyle w:val="Hyperlink"/>
            <w:color w:val="0000EE"/>
            <w:u w:color="0000EE"/>
            <w:lang w:val="el" w:eastAsia="el"/>
          </w:rPr>
          <w:t>Τροποποίηση 4818/2021, Άρθρο 6</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2" w:anchor="art_6" w:history="1">
        <w:r>
          <w:rPr>
            <w:rStyle w:val="Hyperlink"/>
            <w:color w:val="0000EE"/>
            <w:u w:color="0000EE"/>
            <w:lang w:val="el" w:eastAsia="el"/>
          </w:rPr>
          <w:t>Τροποποίηση 4818/2021, Άρθρο 6</w:t>
        </w:r>
      </w:hyperlink>
      <w:r>
        <w:rPr>
          <w:lang w:val="el" w:eastAsia="el"/>
        </w:rPr>
        <w:t xml:space="preserve">; </w:t>
      </w:r>
      <w:hyperlink r:id="rId333" w:anchor="art_19" w:history="1">
        <w:r>
          <w:rPr>
            <w:rStyle w:val="Hyperlink"/>
            <w:color w:val="0000EE"/>
            <w:u w:color="0000EE"/>
            <w:lang w:val="el" w:eastAsia="el"/>
          </w:rPr>
          <w:t>Τροποποίηση 3091/2002, Άρθρο 19</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4" w:anchor="art_16" w:history="1">
        <w:r>
          <w:rPr>
            <w:rStyle w:val="Hyperlink"/>
            <w:color w:val="0000EE"/>
            <w:u w:color="0000EE"/>
            <w:lang w:val="el" w:eastAsia="el"/>
          </w:rPr>
          <w:t>Τροποποίηση 2948/2001, Άρθρο 16</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5" w:anchor="art_19" w:history="1">
        <w:r>
          <w:rPr>
            <w:rStyle w:val="Hyperlink"/>
            <w:color w:val="0000EE"/>
            <w:u w:color="0000EE"/>
            <w:lang w:val="el" w:eastAsia="el"/>
          </w:rPr>
          <w:t>Προσθήκη 3091/2002, Άρθρο 19</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6" w:anchor="art_25" w:history="1">
        <w:r>
          <w:rPr>
            <w:rStyle w:val="Hyperlink"/>
            <w:color w:val="0000EE"/>
            <w:u w:color="0000EE"/>
            <w:lang w:val="el" w:eastAsia="el"/>
          </w:rPr>
          <w:t>Τροποποίηση 3522/2006, Άρθρο 25</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7" w:anchor="art_25" w:history="1">
        <w:r>
          <w:rPr>
            <w:rStyle w:val="Hyperlink"/>
            <w:color w:val="0000EE"/>
            <w:u w:color="0000EE"/>
            <w:lang w:val="el" w:eastAsia="el"/>
          </w:rPr>
          <w:t>Αφαίρεση 3522/2006, Άρθρο 25</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8" w:anchor="art_9" w:history="1">
        <w:r>
          <w:rPr>
            <w:rStyle w:val="Hyperlink"/>
            <w:color w:val="0000EE"/>
            <w:u w:color="0000EE"/>
            <w:lang w:val="el" w:eastAsia="el"/>
          </w:rPr>
          <w:t>Τροποποίηση 2954/2001, Άρθρο 9</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9" w:anchor="art_9" w:history="1">
        <w:r>
          <w:rPr>
            <w:rStyle w:val="Hyperlink"/>
            <w:color w:val="0000EE"/>
            <w:u w:color="0000EE"/>
            <w:lang w:val="el" w:eastAsia="el"/>
          </w:rPr>
          <w:t>Τροποποίηση 2954/2001, Άρθρο 9</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0" w:anchor="art_1" w:history="1">
        <w:r>
          <w:rPr>
            <w:rStyle w:val="Hyperlink"/>
            <w:color w:val="0000EE"/>
            <w:u w:color="0000EE"/>
            <w:lang w:val="el" w:eastAsia="el"/>
          </w:rPr>
          <w:t>Προσθήκη 3427/2005, Άρθρο 1</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1" w:anchor="art_1" w:history="1">
        <w:r>
          <w:rPr>
            <w:rStyle w:val="Hyperlink"/>
            <w:color w:val="0000EE"/>
            <w:u w:color="0000EE"/>
            <w:lang w:val="el" w:eastAsia="el"/>
          </w:rPr>
          <w:t>Τροποποίηση 3427/2005, Άρθρο 1</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2" w:anchor="art_1" w:history="1">
        <w:r>
          <w:rPr>
            <w:rStyle w:val="Hyperlink"/>
            <w:color w:val="0000EE"/>
            <w:u w:color="0000EE"/>
            <w:lang w:val="el" w:eastAsia="el"/>
          </w:rPr>
          <w:t>Τροποποίηση 3427/2005, Άρθρο 1</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3" w:anchor="art_20" w:history="1">
        <w:r>
          <w:rPr>
            <w:rStyle w:val="Hyperlink"/>
            <w:color w:val="0000EE"/>
            <w:u w:color="0000EE"/>
            <w:lang w:val="el" w:eastAsia="el"/>
          </w:rPr>
          <w:t>Τροποποίηση 3522/2006, Άρθρο 20</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4" w:anchor="art_19" w:history="1">
        <w:r>
          <w:rPr>
            <w:rStyle w:val="Hyperlink"/>
            <w:color w:val="0000EE"/>
            <w:u w:color="0000EE"/>
            <w:lang w:val="el" w:eastAsia="el"/>
          </w:rPr>
          <w:t>Προσθήκη 3091/2002, Άρθρο 19</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5" w:anchor="art_1" w:history="1">
        <w:r>
          <w:rPr>
            <w:rStyle w:val="Hyperlink"/>
            <w:color w:val="0000EE"/>
            <w:u w:color="0000EE"/>
            <w:lang w:val="el" w:eastAsia="el"/>
          </w:rPr>
          <w:t>Τροποποίηση 4281/2014, Άρθρο 1</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6" w:anchor="art_1" w:history="1">
        <w:r>
          <w:rPr>
            <w:rStyle w:val="Hyperlink"/>
            <w:color w:val="0000EE"/>
            <w:u w:color="0000EE"/>
            <w:lang w:val="el" w:eastAsia="el"/>
          </w:rPr>
          <w:t>Τροποποίηση 4281/2014, Άρθρο 1</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7" w:anchor="art_1" w:history="1">
        <w:r>
          <w:rPr>
            <w:rStyle w:val="Hyperlink"/>
            <w:color w:val="0000EE"/>
            <w:u w:color="0000EE"/>
            <w:lang w:val="el" w:eastAsia="el"/>
          </w:rPr>
          <w:t>Τροποποίηση 4281/2014, Άρθρο 1</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8" w:anchor="art_1" w:history="1">
        <w:r>
          <w:rPr>
            <w:rStyle w:val="Hyperlink"/>
            <w:color w:val="0000EE"/>
            <w:u w:color="0000EE"/>
            <w:lang w:val="el" w:eastAsia="el"/>
          </w:rPr>
          <w:t>Τροποποίηση 4281/2014, Άρθρο 1</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9" w:anchor="art_39" w:history="1">
        <w:r>
          <w:rPr>
            <w:rStyle w:val="Hyperlink"/>
            <w:color w:val="0000EE"/>
            <w:u w:color="0000EE"/>
            <w:lang w:val="el" w:eastAsia="el"/>
          </w:rPr>
          <w:t>Προσθήκη 4646/2019, Άρθρο 39</w:t>
        </w:r>
      </w:hyperlink>
      <w:r>
        <w:rPr>
          <w:lang w:val="el" w:eastAsia="el"/>
        </w:rPr>
        <w:t xml:space="preserve">; </w:t>
      </w:r>
      <w:hyperlink r:id="rId350" w:anchor="art_2" w:history="1">
        <w:r>
          <w:rPr>
            <w:rStyle w:val="Hyperlink"/>
            <w:color w:val="0000EE"/>
            <w:u w:color="0000EE"/>
            <w:lang w:val="el" w:eastAsia="el"/>
          </w:rPr>
          <w:t>Τροποποίηση 4336/2015, Άρθρο 2</w:t>
        </w:r>
      </w:hyperlink>
      <w:r>
        <w:rPr>
          <w:lang w:val="el" w:eastAsia="el"/>
        </w:rPr>
        <w:t xml:space="preserve">; </w:t>
      </w:r>
      <w:hyperlink r:id="rId351" w:anchor="art_22" w:history="1">
        <w:r>
          <w:rPr>
            <w:rStyle w:val="Hyperlink"/>
            <w:color w:val="0000EE"/>
            <w:u w:color="0000EE"/>
            <w:lang w:val="el" w:eastAsia="el"/>
          </w:rPr>
          <w:t>Προσθήκη 4321/2015, Άρθρο 22</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2" w:anchor="art_4" w:history="1">
        <w:r>
          <w:rPr>
            <w:rStyle w:val="Hyperlink"/>
            <w:color w:val="0000EE"/>
            <w:u w:color="0000EE"/>
            <w:lang w:val="el" w:eastAsia="el"/>
          </w:rPr>
          <w:t>Αφαίρεση 4281/2014, Άρθρο 4</w:t>
        </w:r>
      </w:hyperlink>
      <w:r>
        <w:rPr>
          <w:lang w:val="el" w:eastAsia="el"/>
        </w:rPr>
        <w:t xml:space="preserve">; </w:t>
      </w:r>
      <w:hyperlink r:id="rId353" w:anchor="art_1" w:history="1">
        <w:r>
          <w:rPr>
            <w:rStyle w:val="Hyperlink"/>
            <w:color w:val="0000EE"/>
            <w:u w:color="0000EE"/>
            <w:lang w:val="el" w:eastAsia="el"/>
          </w:rPr>
          <w:t>Προσθήκη 4281/2014, Άρθρο 1</w:t>
        </w:r>
      </w:hyperlink>
      <w:r>
        <w:rPr>
          <w:lang w:val="el" w:eastAsia="el"/>
        </w:rPr>
        <w:t xml:space="preserve">; </w:t>
      </w:r>
      <w:hyperlink r:id="rId354" w:anchor="art_27" w:history="1">
        <w:r>
          <w:rPr>
            <w:rStyle w:val="Hyperlink"/>
            <w:color w:val="0000EE"/>
            <w:u w:color="0000EE"/>
            <w:lang w:val="el" w:eastAsia="el"/>
          </w:rPr>
          <w:t>Τροποποίηση 3943/2011, Άρθρο 27</w:t>
        </w:r>
      </w:hyperlink>
      <w:r>
        <w:rPr>
          <w:lang w:val="el" w:eastAsia="el"/>
        </w:rPr>
        <w:t xml:space="preserve">; </w:t>
      </w:r>
      <w:hyperlink r:id="rId355" w:anchor="art_24" w:history="1">
        <w:r>
          <w:rPr>
            <w:rStyle w:val="Hyperlink"/>
            <w:color w:val="0000EE"/>
            <w:u w:color="0000EE"/>
            <w:lang w:val="el" w:eastAsia="el"/>
          </w:rPr>
          <w:t>Προσθήκη 3522/2006, Άρθρο 24</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6" w:anchor="art_17" w:history="1">
        <w:r>
          <w:rPr>
            <w:rStyle w:val="Hyperlink"/>
            <w:color w:val="0000EE"/>
            <w:u w:color="0000EE"/>
            <w:lang w:val="el" w:eastAsia="el"/>
          </w:rPr>
          <w:t>Τροποποίηση 4110/2013, Άρθρο 17</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7" w:anchor="art_17" w:history="1">
        <w:r>
          <w:rPr>
            <w:rStyle w:val="Hyperlink"/>
            <w:color w:val="0000EE"/>
            <w:u w:color="0000EE"/>
            <w:lang w:val="el" w:eastAsia="el"/>
          </w:rPr>
          <w:t>Τροποποίηση 4110/2013, Άρθρο 17</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8" w:anchor="art_1" w:history="1">
        <w:r>
          <w:rPr>
            <w:rStyle w:val="Hyperlink"/>
            <w:color w:val="0000EE"/>
            <w:u w:color="0000EE"/>
            <w:lang w:val="el" w:eastAsia="el"/>
          </w:rPr>
          <w:t>Τροποποίηση 4281/2014, Άρθρο 1</w:t>
        </w:r>
      </w:hyperlink>
      <w:r>
        <w:rPr>
          <w:lang w:val="el" w:eastAsia="el"/>
        </w:rPr>
        <w:t xml:space="preserve">; </w:t>
      </w:r>
      <w:hyperlink r:id="rId359" w:anchor="art_17" w:history="1">
        <w:r>
          <w:rPr>
            <w:rStyle w:val="Hyperlink"/>
            <w:color w:val="0000EE"/>
            <w:u w:color="0000EE"/>
            <w:lang w:val="el" w:eastAsia="el"/>
          </w:rPr>
          <w:t>Τροποποίηση 4110/2013, Άρθρο 17</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0" w:anchor="art_17" w:history="1">
        <w:r>
          <w:rPr>
            <w:rStyle w:val="Hyperlink"/>
            <w:color w:val="0000EE"/>
            <w:u w:color="0000EE"/>
            <w:lang w:val="el" w:eastAsia="el"/>
          </w:rPr>
          <w:t>Τροποποίηση 4110/2013, Άρθρο 17</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1" w:anchor="art_17" w:history="1">
        <w:r>
          <w:rPr>
            <w:rStyle w:val="Hyperlink"/>
            <w:color w:val="0000EE"/>
            <w:u w:color="0000EE"/>
            <w:lang w:val="el" w:eastAsia="el"/>
          </w:rPr>
          <w:t>Τροποποίηση 4110/2013, Άρθρο 17</w:t>
        </w:r>
      </w:hyperlink>
      <w:r>
        <w:rPr>
          <w:lang w:val="el" w:eastAsia="el"/>
        </w:rPr>
        <w:t xml:space="preserve">; </w:t>
      </w:r>
      <w:hyperlink r:id="rId362" w:anchor="art_39" w:history="1">
        <w:r>
          <w:rPr>
            <w:rStyle w:val="Hyperlink"/>
            <w:color w:val="0000EE"/>
            <w:u w:color="0000EE"/>
            <w:lang w:val="el" w:eastAsia="el"/>
          </w:rPr>
          <w:t>Προσθήκη 3220/2004, Άρθρο 39</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3" w:anchor="art_12" w:history="1">
        <w:r>
          <w:rPr>
            <w:rStyle w:val="Hyperlink"/>
            <w:color w:val="0000EE"/>
            <w:u w:color="0000EE"/>
            <w:lang w:val="el" w:eastAsia="el"/>
          </w:rPr>
          <w:t>Προσθήκη 3851/2010, Άρθρο 12</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4" w:anchor="art_17" w:history="1">
        <w:r>
          <w:rPr>
            <w:rStyle w:val="Hyperlink"/>
            <w:color w:val="0000EE"/>
            <w:u w:color="0000EE"/>
            <w:lang w:val="el" w:eastAsia="el"/>
          </w:rPr>
          <w:t>Τροποποίηση 4110/2013, Άρθρο 17</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5" w:anchor="art_12" w:history="1">
        <w:r>
          <w:rPr>
            <w:rStyle w:val="Hyperlink"/>
            <w:color w:val="0000EE"/>
            <w:u w:color="0000EE"/>
            <w:lang w:val="el" w:eastAsia="el"/>
          </w:rPr>
          <w:t>Τροποποίηση 3851/2010, Άρθρο 12</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6" w:anchor="art_16" w:history="1">
        <w:r>
          <w:rPr>
            <w:rStyle w:val="Hyperlink"/>
            <w:color w:val="0000EE"/>
            <w:u w:color="0000EE"/>
            <w:lang w:val="el" w:eastAsia="el"/>
          </w:rPr>
          <w:t>Τροποποίηση 2948/2001, Άρθρο 16</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7" w:anchor="art_62" w:history="1">
        <w:r>
          <w:rPr>
            <w:rStyle w:val="Hyperlink"/>
            <w:color w:val="0000EE"/>
            <w:u w:color="0000EE"/>
            <w:lang w:val="el" w:eastAsia="el"/>
          </w:rPr>
          <w:t>Τροποποίηση 3842/2010, Άρθρο 62</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8" w:anchor="art_62" w:history="1">
        <w:r>
          <w:rPr>
            <w:rStyle w:val="Hyperlink"/>
            <w:color w:val="0000EE"/>
            <w:u w:color="0000EE"/>
            <w:lang w:val="el" w:eastAsia="el"/>
          </w:rPr>
          <w:t>Τροποποίηση 3842/2010, Άρθρο 62</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9" w:anchor="art_62" w:history="1">
        <w:r>
          <w:rPr>
            <w:rStyle w:val="Hyperlink"/>
            <w:color w:val="0000EE"/>
            <w:u w:color="0000EE"/>
            <w:lang w:val="el" w:eastAsia="el"/>
          </w:rPr>
          <w:t>Τροποποίηση 3842/2010, Άρθρο 62</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0" w:anchor="art_1" w:history="1">
        <w:r>
          <w:rPr>
            <w:rStyle w:val="Hyperlink"/>
            <w:color w:val="0000EE"/>
            <w:u w:color="0000EE"/>
            <w:lang w:val="el" w:eastAsia="el"/>
          </w:rPr>
          <w:t>Τροποποίηση 4281/2014, Άρθρο 1</w:t>
        </w:r>
      </w:hyperlink>
      <w:r>
        <w:rPr>
          <w:lang w:val="el" w:eastAsia="el"/>
        </w:rPr>
        <w:t xml:space="preserve">; </w:t>
      </w:r>
      <w:hyperlink r:id="rId371" w:anchor="art_62" w:history="1">
        <w:r>
          <w:rPr>
            <w:rStyle w:val="Hyperlink"/>
            <w:color w:val="0000EE"/>
            <w:u w:color="0000EE"/>
            <w:lang w:val="el" w:eastAsia="el"/>
          </w:rPr>
          <w:t>Τροποποίηση 3842/2010, Άρθρο 62</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2" w:anchor="art_62" w:history="1">
        <w:r>
          <w:rPr>
            <w:rStyle w:val="Hyperlink"/>
            <w:color w:val="0000EE"/>
            <w:u w:color="0000EE"/>
            <w:lang w:val="el" w:eastAsia="el"/>
          </w:rPr>
          <w:t>Τροποποίηση 3842/2010, Άρθρο 62</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3" w:anchor="art_62" w:history="1">
        <w:r>
          <w:rPr>
            <w:rStyle w:val="Hyperlink"/>
            <w:color w:val="0000EE"/>
            <w:u w:color="0000EE"/>
            <w:lang w:val="el" w:eastAsia="el"/>
          </w:rPr>
          <w:t>Τροποποίηση 3842/2010, Άρθρο 62</w:t>
        </w:r>
      </w:hyperlink>
      <w:r>
        <w:rPr>
          <w:lang w:val="el" w:eastAsia="el"/>
        </w:rPr>
        <w:t xml:space="preserve">; </w:t>
      </w:r>
      <w:hyperlink r:id="rId374" w:anchor="art_19" w:history="1">
        <w:r>
          <w:rPr>
            <w:rStyle w:val="Hyperlink"/>
            <w:color w:val="0000EE"/>
            <w:u w:color="0000EE"/>
            <w:lang w:val="el" w:eastAsia="el"/>
          </w:rPr>
          <w:t>Τροποποίηση 3091/2002, Άρθρο 19</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5" w:anchor="art_19" w:history="1">
        <w:r>
          <w:rPr>
            <w:rStyle w:val="Hyperlink"/>
            <w:color w:val="0000EE"/>
            <w:u w:color="0000EE"/>
            <w:lang w:val="el" w:eastAsia="el"/>
          </w:rPr>
          <w:t>Τροποποίηση 3091/2002, Άρθρο 19</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6" w:anchor="art_22" w:history="1">
        <w:r>
          <w:rPr>
            <w:rStyle w:val="Hyperlink"/>
            <w:color w:val="0000EE"/>
            <w:u w:color="0000EE"/>
            <w:lang w:val="el" w:eastAsia="el"/>
          </w:rPr>
          <w:t>Προσθήκη 3763/2009, Άρθρο 22</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7" w:anchor="art_22" w:history="1">
        <w:r>
          <w:rPr>
            <w:rStyle w:val="Hyperlink"/>
            <w:color w:val="0000EE"/>
            <w:u w:color="0000EE"/>
            <w:lang w:val="el" w:eastAsia="el"/>
          </w:rPr>
          <w:t>Προσθήκη 3763/2009, Άρθρο 22</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8" w:anchor="art_22" w:history="1">
        <w:r>
          <w:rPr>
            <w:rStyle w:val="Hyperlink"/>
            <w:color w:val="0000EE"/>
            <w:u w:color="0000EE"/>
            <w:lang w:val="el" w:eastAsia="el"/>
          </w:rPr>
          <w:t>Προσθήκη 3763/2009, Άρθρο 22</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9" w:anchor="art_22" w:history="1">
        <w:r>
          <w:rPr>
            <w:rStyle w:val="Hyperlink"/>
            <w:color w:val="0000EE"/>
            <w:u w:color="0000EE"/>
            <w:lang w:val="el" w:eastAsia="el"/>
          </w:rPr>
          <w:t>Προσθήκη 3763/2009, Άρθρο 22</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0" w:anchor="art_22" w:history="1">
        <w:r>
          <w:rPr>
            <w:rStyle w:val="Hyperlink"/>
            <w:color w:val="0000EE"/>
            <w:u w:color="0000EE"/>
            <w:lang w:val="el" w:eastAsia="el"/>
          </w:rPr>
          <w:t>Προσθήκη 3763/2009, Άρθρο 22</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1" w:anchor="art_22" w:history="1">
        <w:r>
          <w:rPr>
            <w:rStyle w:val="Hyperlink"/>
            <w:color w:val="0000EE"/>
            <w:u w:color="0000EE"/>
            <w:lang w:val="el" w:eastAsia="el"/>
          </w:rPr>
          <w:t>Προσθήκη 3763/2009, Άρθρο 22</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2" w:anchor="art_1" w:history="1">
        <w:r>
          <w:rPr>
            <w:rStyle w:val="Hyperlink"/>
            <w:color w:val="0000EE"/>
            <w:u w:color="0000EE"/>
            <w:lang w:val="el" w:eastAsia="el"/>
          </w:rPr>
          <w:t>Αφαίρεση 4281/2014, Άρθρο 1</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3" w:anchor="art_18" w:history="1">
        <w:r>
          <w:rPr>
            <w:rStyle w:val="Hyperlink"/>
            <w:color w:val="0000EE"/>
            <w:u w:color="0000EE"/>
            <w:lang w:val="el" w:eastAsia="el"/>
          </w:rPr>
          <w:t>Τροποποίηση 2992/2002, Άρθρο 18</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4" w:anchor="art_66" w:history="1">
        <w:r>
          <w:rPr>
            <w:rStyle w:val="Hyperlink"/>
            <w:color w:val="0000EE"/>
            <w:u w:color="0000EE"/>
            <w:lang w:val="el" w:eastAsia="el"/>
          </w:rPr>
          <w:t>Τροποποίηση 4484/2017, Άρθρο 66</w:t>
        </w:r>
      </w:hyperlink>
      <w:r>
        <w:rPr>
          <w:lang w:val="el" w:eastAsia="el"/>
        </w:rPr>
        <w:t xml:space="preserve">; </w:t>
      </w:r>
      <w:hyperlink r:id="rId385" w:anchor="art_7" w:history="1">
        <w:r>
          <w:rPr>
            <w:rStyle w:val="Hyperlink"/>
            <w:color w:val="0000EE"/>
            <w:u w:color="0000EE"/>
            <w:lang w:val="el" w:eastAsia="el"/>
          </w:rPr>
          <w:t>Τροποποίηση 4474/2017, Άρθρο 7</w:t>
        </w:r>
      </w:hyperlink>
      <w:r>
        <w:rPr>
          <w:lang w:val="el" w:eastAsia="el"/>
        </w:rPr>
        <w:t xml:space="preserve">; </w:t>
      </w:r>
      <w:hyperlink r:id="rId386" w:anchor="art_3" w:history="1">
        <w:r>
          <w:rPr>
            <w:rStyle w:val="Hyperlink"/>
            <w:color w:val="0000EE"/>
            <w:u w:color="0000EE"/>
            <w:lang w:val="el" w:eastAsia="el"/>
          </w:rPr>
          <w:t>Προσθήκη 4254/2014, Άρθρο 3</w:t>
        </w:r>
      </w:hyperlink>
      <w:r>
        <w:rPr>
          <w:lang w:val="el" w:eastAsia="el"/>
        </w:rPr>
        <w:t xml:space="preserve">; </w:t>
      </w:r>
      <w:hyperlink r:id="rId387" w:anchor="art_18" w:history="1">
        <w:r>
          <w:rPr>
            <w:rStyle w:val="Hyperlink"/>
            <w:color w:val="0000EE"/>
            <w:u w:color="0000EE"/>
            <w:lang w:val="el" w:eastAsia="el"/>
          </w:rPr>
          <w:t>Τροποποίηση 2992/2002, Άρθρο 18</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8" w:anchor="art_18" w:history="1">
        <w:r>
          <w:rPr>
            <w:rStyle w:val="Hyperlink"/>
            <w:color w:val="0000EE"/>
            <w:u w:color="0000EE"/>
            <w:lang w:val="el" w:eastAsia="el"/>
          </w:rPr>
          <w:t>Τροποποίηση 3312/2005, Άρθρο 18</w:t>
        </w:r>
      </w:hyperlink>
      <w:r>
        <w:rPr>
          <w:lang w:val="el" w:eastAsia="el"/>
        </w:rPr>
        <w:t xml:space="preserve">; </w:t>
      </w:r>
      <w:hyperlink r:id="rId389" w:anchor="art_18" w:history="1">
        <w:r>
          <w:rPr>
            <w:rStyle w:val="Hyperlink"/>
            <w:color w:val="0000EE"/>
            <w:u w:color="0000EE"/>
            <w:lang w:val="el" w:eastAsia="el"/>
          </w:rPr>
          <w:t>Τροποποίηση 2992/2002, Άρθρο 18</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0" w:anchor="art_5" w:history="1">
        <w:r>
          <w:rPr>
            <w:rStyle w:val="Hyperlink"/>
            <w:color w:val="0000EE"/>
            <w:u w:color="0000EE"/>
            <w:lang w:val="el" w:eastAsia="el"/>
          </w:rPr>
          <w:t>Τροποποίηση 3453/2006, Άρθρο 5</w:t>
        </w:r>
      </w:hyperlink>
      <w:r>
        <w:rPr>
          <w:lang w:val="el" w:eastAsia="el"/>
        </w:rPr>
        <w:t xml:space="preserve">; </w:t>
      </w:r>
      <w:hyperlink r:id="rId391" w:anchor="art_18" w:history="1">
        <w:r>
          <w:rPr>
            <w:rStyle w:val="Hyperlink"/>
            <w:color w:val="0000EE"/>
            <w:u w:color="0000EE"/>
            <w:lang w:val="el" w:eastAsia="el"/>
          </w:rPr>
          <w:t>Τροποποίηση 3312/2005, Άρθρο 18</w:t>
        </w:r>
      </w:hyperlink>
      <w:r>
        <w:rPr>
          <w:lang w:val="el" w:eastAsia="el"/>
        </w:rPr>
        <w:t xml:space="preserve">; </w:t>
      </w:r>
      <w:hyperlink r:id="rId392" w:anchor="art_18" w:history="1">
        <w:r>
          <w:rPr>
            <w:rStyle w:val="Hyperlink"/>
            <w:color w:val="0000EE"/>
            <w:u w:color="0000EE"/>
            <w:lang w:val="el" w:eastAsia="el"/>
          </w:rPr>
          <w:t>Τροποποίηση 2992/2002, Άρθρο 18</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3" w:anchor="art_18" w:history="1">
        <w:r>
          <w:rPr>
            <w:rStyle w:val="Hyperlink"/>
            <w:color w:val="0000EE"/>
            <w:u w:color="0000EE"/>
            <w:lang w:val="el" w:eastAsia="el"/>
          </w:rPr>
          <w:t>Τροποποίηση 2992/2002, Άρθρο 18</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4" w:anchor="art_18" w:history="1">
        <w:r>
          <w:rPr>
            <w:rStyle w:val="Hyperlink"/>
            <w:color w:val="0000EE"/>
            <w:u w:color="0000EE"/>
            <w:lang w:val="el" w:eastAsia="el"/>
          </w:rPr>
          <w:t>Τροποποίηση 2992/2002, Άρθρο 18</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5" w:anchor="art_18" w:history="1">
        <w:r>
          <w:rPr>
            <w:rStyle w:val="Hyperlink"/>
            <w:color w:val="0000EE"/>
            <w:u w:color="0000EE"/>
            <w:lang w:val="el" w:eastAsia="el"/>
          </w:rPr>
          <w:t>Προσθήκη 3312/2005, Άρθρο 18</w:t>
        </w:r>
      </w:hyperlink>
      <w:r>
        <w:rPr>
          <w:lang w:val="el" w:eastAsia="el"/>
        </w:rPr>
        <w:t xml:space="preserve">; </w:t>
      </w:r>
      <w:hyperlink r:id="rId396" w:anchor="art_18" w:history="1">
        <w:r>
          <w:rPr>
            <w:rStyle w:val="Hyperlink"/>
            <w:color w:val="0000EE"/>
            <w:u w:color="0000EE"/>
            <w:lang w:val="el" w:eastAsia="el"/>
          </w:rPr>
          <w:t>Τροποποίηση 2992/2002, Άρθρο 18</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7" w:anchor="art_18" w:history="1">
        <w:r>
          <w:rPr>
            <w:rStyle w:val="Hyperlink"/>
            <w:color w:val="0000EE"/>
            <w:u w:color="0000EE"/>
            <w:lang w:val="el" w:eastAsia="el"/>
          </w:rPr>
          <w:t>Τροποποίηση 3312/2005, Άρθρο 18</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8" w:anchor="art_18" w:history="1">
        <w:r>
          <w:rPr>
            <w:rStyle w:val="Hyperlink"/>
            <w:color w:val="0000EE"/>
            <w:u w:color="0000EE"/>
            <w:lang w:val="el" w:eastAsia="el"/>
          </w:rPr>
          <w:t>Τροποποίηση 3312/2005, Άρθρο 18</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9" w:anchor="art_21" w:history="1">
        <w:r>
          <w:rPr>
            <w:rStyle w:val="Hyperlink"/>
            <w:color w:val="0000EE"/>
            <w:u w:color="0000EE"/>
            <w:lang w:val="el" w:eastAsia="el"/>
          </w:rPr>
          <w:t>Προσθήκη 3522/2006, Άρθρο 21</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0" w:anchor="art_18" w:history="1">
        <w:r>
          <w:rPr>
            <w:rStyle w:val="Hyperlink"/>
            <w:color w:val="0000EE"/>
            <w:u w:color="0000EE"/>
            <w:lang w:val="el" w:eastAsia="el"/>
          </w:rPr>
          <w:t>Τροποποίηση 2992/2002, Άρθρο 18</w:t>
        </w:r>
      </w:hyperlink>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1" w:anchor="art_18" w:history="1">
        <w:r>
          <w:rPr>
            <w:rStyle w:val="Hyperlink"/>
            <w:color w:val="0000EE"/>
            <w:u w:color="0000EE"/>
            <w:lang w:val="el" w:eastAsia="el"/>
          </w:rPr>
          <w:t>Τροποποίηση 2992/2002, Άρθρο 18</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2" w:anchor="art_18" w:history="1">
        <w:r>
          <w:rPr>
            <w:rStyle w:val="Hyperlink"/>
            <w:color w:val="0000EE"/>
            <w:u w:color="0000EE"/>
            <w:lang w:val="el" w:eastAsia="el"/>
          </w:rPr>
          <w:t>Τροποποίηση 2992/2002, Άρθρο 18</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3" w:anchor="art_11" w:history="1">
        <w:r>
          <w:rPr>
            <w:rStyle w:val="Hyperlink"/>
            <w:color w:val="0000EE"/>
            <w:u w:color="0000EE"/>
            <w:lang w:val="el" w:eastAsia="el"/>
          </w:rPr>
          <w:t>Τροποποίηση 4211/2013, Άρθρο 11</w:t>
        </w:r>
      </w:hyperlink>
      <w:r>
        <w:rPr>
          <w:lang w:val="el" w:eastAsia="el"/>
        </w:rPr>
        <w:t xml:space="preserve">; </w:t>
      </w:r>
      <w:hyperlink r:id="rId404" w:anchor="art_7" w:history="1">
        <w:r>
          <w:rPr>
            <w:rStyle w:val="Hyperlink"/>
            <w:color w:val="0000EE"/>
            <w:u w:color="0000EE"/>
            <w:lang w:val="el" w:eastAsia="el"/>
          </w:rPr>
          <w:t>Προσθήκη 4132/2013, Άρθρο 7</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5" w:anchor="art_22" w:history="1">
        <w:r>
          <w:rPr>
            <w:rStyle w:val="Hyperlink"/>
            <w:color w:val="0000EE"/>
            <w:u w:color="0000EE"/>
            <w:lang w:val="el" w:eastAsia="el"/>
          </w:rPr>
          <w:t>Προσθήκη 3763/2009, Άρθρο 22</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6" w:anchor="art_22" w:history="1">
        <w:r>
          <w:rPr>
            <w:rStyle w:val="Hyperlink"/>
            <w:color w:val="0000EE"/>
            <w:u w:color="0000EE"/>
            <w:lang w:val="el" w:eastAsia="el"/>
          </w:rPr>
          <w:t>Προσθήκη 3763/2009, Άρθρο 22</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7" w:anchor="art_2" w:history="1">
        <w:r>
          <w:rPr>
            <w:rStyle w:val="Hyperlink"/>
            <w:color w:val="0000EE"/>
            <w:u w:color="0000EE"/>
            <w:lang w:val="el" w:eastAsia="el"/>
          </w:rPr>
          <w:t>Προσθήκη 4330/2015, Άρθρο 2</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8" w:anchor="art_14" w:history="1">
        <w:r>
          <w:rPr>
            <w:rStyle w:val="Hyperlink"/>
            <w:color w:val="0000EE"/>
            <w:u w:color="0000EE"/>
            <w:lang w:val="el" w:eastAsia="el"/>
          </w:rPr>
          <w:t>Προσθήκη 4818/2021, Άρθρο 14</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9" w:anchor="art_22" w:history="1">
        <w:r>
          <w:rPr>
            <w:rStyle w:val="Hyperlink"/>
            <w:color w:val="0000EE"/>
            <w:u w:color="0000EE"/>
            <w:lang w:val="el" w:eastAsia="el"/>
          </w:rPr>
          <w:t>Προσθήκη 3763/2009, Άρθρο 22</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0" w:anchor="art_22" w:history="1">
        <w:r>
          <w:rPr>
            <w:rStyle w:val="Hyperlink"/>
            <w:color w:val="0000EE"/>
            <w:u w:color="0000EE"/>
            <w:lang w:val="el" w:eastAsia="el"/>
          </w:rPr>
          <w:t>Προσθήκη 3763/2009, Άρθρο 22</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1" w:anchor="art_22" w:history="1">
        <w:r>
          <w:rPr>
            <w:rStyle w:val="Hyperlink"/>
            <w:color w:val="0000EE"/>
            <w:u w:color="0000EE"/>
            <w:lang w:val="el" w:eastAsia="el"/>
          </w:rPr>
          <w:t>Προσθήκη 3763/2009, Άρθρο 22</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2" w:anchor="art_18" w:history="1">
        <w:r>
          <w:rPr>
            <w:rStyle w:val="Hyperlink"/>
            <w:color w:val="0000EE"/>
            <w:u w:color="0000EE"/>
            <w:lang w:val="el" w:eastAsia="el"/>
          </w:rPr>
          <w:t>Τροποποίηση 2992/2002, Άρθρο 18</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3" w:anchor="art_18" w:history="1">
        <w:r>
          <w:rPr>
            <w:rStyle w:val="Hyperlink"/>
            <w:color w:val="0000EE"/>
            <w:u w:color="0000EE"/>
            <w:lang w:val="el" w:eastAsia="el"/>
          </w:rPr>
          <w:t>Τροποποίηση 2992/2002, Άρθρο 18</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4" w:anchor="art_18" w:history="1">
        <w:r>
          <w:rPr>
            <w:rStyle w:val="Hyperlink"/>
            <w:color w:val="0000EE"/>
            <w:u w:color="0000EE"/>
            <w:lang w:val="el" w:eastAsia="el"/>
          </w:rPr>
          <w:t>Τροποποίηση 2992/2002, Άρθρο 18</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5" w:anchor="art_18" w:history="1">
        <w:r>
          <w:rPr>
            <w:rStyle w:val="Hyperlink"/>
            <w:color w:val="0000EE"/>
            <w:u w:color="0000EE"/>
            <w:lang w:val="el" w:eastAsia="el"/>
          </w:rPr>
          <w:t>Τροποποίηση 2992/2002, Άρθρο 18</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6" w:anchor="art_18" w:history="1">
        <w:r>
          <w:rPr>
            <w:rStyle w:val="Hyperlink"/>
            <w:color w:val="0000EE"/>
            <w:u w:color="0000EE"/>
            <w:lang w:val="el" w:eastAsia="el"/>
          </w:rPr>
          <w:t>Τροποποίηση 2992/2002, Άρθρο 18</w:t>
        </w:r>
      </w:hyperlink>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7" w:anchor="art_18" w:history="1">
        <w:r>
          <w:rPr>
            <w:rStyle w:val="Hyperlink"/>
            <w:color w:val="0000EE"/>
            <w:u w:color="0000EE"/>
            <w:lang w:val="el" w:eastAsia="el"/>
          </w:rPr>
          <w:t>Τροποποίηση 2992/2002, Άρθρο 18</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8" w:anchor="art_18" w:history="1">
        <w:r>
          <w:rPr>
            <w:rStyle w:val="Hyperlink"/>
            <w:color w:val="0000EE"/>
            <w:u w:color="0000EE"/>
            <w:lang w:val="el" w:eastAsia="el"/>
          </w:rPr>
          <w:t>Τροποποίηση 2992/2002, Άρθρο 18</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9" w:anchor="art_104" w:history="1">
        <w:r>
          <w:rPr>
            <w:rStyle w:val="Hyperlink"/>
            <w:color w:val="0000EE"/>
            <w:u w:color="0000EE"/>
            <w:lang w:val="el" w:eastAsia="el"/>
          </w:rPr>
          <w:t>Αφαίρεση 4316/2014, Άρθρο 104</w:t>
        </w:r>
      </w:hyperlink>
      <w:r>
        <w:rPr>
          <w:lang w:val="el" w:eastAsia="el"/>
        </w:rPr>
        <w:t xml:space="preserve">; </w:t>
      </w:r>
      <w:hyperlink r:id="rId420" w:anchor="art_18" w:history="1">
        <w:r>
          <w:rPr>
            <w:rStyle w:val="Hyperlink"/>
            <w:color w:val="0000EE"/>
            <w:u w:color="0000EE"/>
            <w:lang w:val="el" w:eastAsia="el"/>
          </w:rPr>
          <w:t>Τροποποίηση 2992/2002, Άρθρο 18</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1" w:anchor="art_104" w:history="1">
        <w:r>
          <w:rPr>
            <w:rStyle w:val="Hyperlink"/>
            <w:color w:val="0000EE"/>
            <w:u w:color="0000EE"/>
            <w:lang w:val="el" w:eastAsia="el"/>
          </w:rPr>
          <w:t>Αφαίρεση 4316/2014, Άρθρο 104</w:t>
        </w:r>
      </w:hyperlink>
      <w:r>
        <w:rPr>
          <w:lang w:val="el" w:eastAsia="el"/>
        </w:rPr>
        <w:t xml:space="preserve">; </w:t>
      </w:r>
      <w:hyperlink r:id="rId422" w:anchor="art_5" w:history="1">
        <w:r>
          <w:rPr>
            <w:rStyle w:val="Hyperlink"/>
            <w:color w:val="0000EE"/>
            <w:u w:color="0000EE"/>
            <w:lang w:val="el" w:eastAsia="el"/>
          </w:rPr>
          <w:t>Τροποποίηση 3453/2006, Άρθρο 5</w:t>
        </w:r>
      </w:hyperlink>
      <w:r>
        <w:rPr>
          <w:lang w:val="el" w:eastAsia="el"/>
        </w:rPr>
        <w:t xml:space="preserve">; </w:t>
      </w:r>
      <w:hyperlink r:id="rId423" w:anchor="art_18" w:history="1">
        <w:r>
          <w:rPr>
            <w:rStyle w:val="Hyperlink"/>
            <w:color w:val="0000EE"/>
            <w:u w:color="0000EE"/>
            <w:lang w:val="el" w:eastAsia="el"/>
          </w:rPr>
          <w:t>Τροποποίηση 3312/2005, Άρθρο 18</w:t>
        </w:r>
      </w:hyperlink>
      <w:r>
        <w:rPr>
          <w:lang w:val="el" w:eastAsia="el"/>
        </w:rPr>
        <w:t xml:space="preserve">; </w:t>
      </w:r>
      <w:hyperlink r:id="rId424" w:anchor="art_18" w:history="1">
        <w:r>
          <w:rPr>
            <w:rStyle w:val="Hyperlink"/>
            <w:color w:val="0000EE"/>
            <w:u w:color="0000EE"/>
            <w:lang w:val="el" w:eastAsia="el"/>
          </w:rPr>
          <w:t>Τροποποίηση 2992/2002, Άρθρο 18</w:t>
        </w:r>
      </w:hyperlink>
      <w:r>
        <w:rPr>
          <w:lang w:val="el" w:eastAsia="el"/>
        </w:rPr>
        <w:t xml:space="preserve">; </w:t>
      </w:r>
      <w:hyperlink r:id="rId425" w:anchor="art_21" w:history="1">
        <w:r>
          <w:rPr>
            <w:rStyle w:val="Hyperlink"/>
            <w:color w:val="0000EE"/>
            <w:u w:color="0000EE"/>
            <w:lang w:val="el" w:eastAsia="el"/>
          </w:rPr>
          <w:t>Προσθήκη 3522/2006, Άρθρο 21</w:t>
        </w:r>
      </w:hyperlink>
      <w:r>
        <w:rPr>
          <w:lang w:val="el" w:eastAsia="el"/>
        </w:rPr>
        <w:t xml:space="preserve">; </w:t>
      </w:r>
      <w:hyperlink r:id="rId426" w:anchor="art_22" w:history="1">
        <w:r>
          <w:rPr>
            <w:rStyle w:val="Hyperlink"/>
            <w:color w:val="0000EE"/>
            <w:u w:color="0000EE"/>
            <w:lang w:val="el" w:eastAsia="el"/>
          </w:rPr>
          <w:t>Προσθήκη 3763/2009, Άρθρο 22</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7" w:anchor="art_356" w:history="1">
        <w:r>
          <w:rPr>
            <w:rStyle w:val="Hyperlink"/>
            <w:color w:val="0000EE"/>
            <w:u w:color="0000EE"/>
            <w:lang w:val="el" w:eastAsia="el"/>
          </w:rPr>
          <w:t>Τροποποίηση 4512/2018, Άρθρο 356</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8" w:anchor="art_356" w:history="1">
        <w:r>
          <w:rPr>
            <w:rStyle w:val="Hyperlink"/>
            <w:color w:val="0000EE"/>
            <w:u w:color="0000EE"/>
            <w:lang w:val="el" w:eastAsia="el"/>
          </w:rPr>
          <w:t>Αφαίρεση 4512/2018, Άρθρο 356</w:t>
        </w:r>
      </w:hyperlink>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9" w:anchor="art_356" w:history="1">
        <w:r>
          <w:rPr>
            <w:rStyle w:val="Hyperlink"/>
            <w:color w:val="0000EE"/>
            <w:u w:color="0000EE"/>
            <w:lang w:val="el" w:eastAsia="el"/>
          </w:rPr>
          <w:t>Αφαίρεση 4512/2018, Άρθρο 356</w:t>
        </w:r>
      </w:hyperlink>
      <w:r>
        <w:rPr>
          <w:lang w:val="el" w:eastAsia="el"/>
        </w:rPr>
        <w:t xml:space="preserve">; </w:t>
      </w:r>
      <w:hyperlink r:id="rId430" w:anchor="art_11" w:history="1">
        <w:r>
          <w:rPr>
            <w:rStyle w:val="Hyperlink"/>
            <w:color w:val="0000EE"/>
            <w:u w:color="0000EE"/>
            <w:lang w:val="el" w:eastAsia="el"/>
          </w:rPr>
          <w:t>Τροποποίηση 3052/2002, Άρθρο 11</w:t>
        </w:r>
      </w:hyperlink>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1" w:anchor="art_356" w:history="1">
        <w:r>
          <w:rPr>
            <w:rStyle w:val="Hyperlink"/>
            <w:color w:val="0000EE"/>
            <w:u w:color="0000EE"/>
            <w:lang w:val="el" w:eastAsia="el"/>
          </w:rPr>
          <w:t>Αφαίρεση 4512/2018, Άρθρο 356</w:t>
        </w:r>
      </w:hyperlink>
      <w:r>
        <w:rPr>
          <w:lang w:val="el" w:eastAsia="el"/>
        </w:rPr>
        <w:t xml:space="preserve">; </w:t>
      </w:r>
      <w:hyperlink r:id="rId432" w:anchor="art_6" w:history="1">
        <w:r>
          <w:rPr>
            <w:rStyle w:val="Hyperlink"/>
            <w:color w:val="0000EE"/>
            <w:u w:color="0000EE"/>
            <w:lang w:val="el" w:eastAsia="el"/>
          </w:rPr>
          <w:t>Προσθήκη 3193/2003, Άρθρο 6</w:t>
        </w:r>
      </w:hyperlink>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3" w:anchor="art_356" w:history="1">
        <w:r>
          <w:rPr>
            <w:rStyle w:val="Hyperlink"/>
            <w:color w:val="0000EE"/>
            <w:u w:color="0000EE"/>
            <w:lang w:val="el" w:eastAsia="el"/>
          </w:rPr>
          <w:t>Τροποποίηση 4512/2018, Άρθρο 356</w:t>
        </w:r>
      </w:hyperlink>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4" w:anchor="art_356" w:history="1">
        <w:r>
          <w:rPr>
            <w:rStyle w:val="Hyperlink"/>
            <w:color w:val="0000EE"/>
            <w:u w:color="0000EE"/>
            <w:lang w:val="el" w:eastAsia="el"/>
          </w:rPr>
          <w:t>Αφαίρεση 4512/2018, Άρθρο 356</w:t>
        </w:r>
      </w:hyperlink>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5" w:anchor="art_356" w:history="1">
        <w:r>
          <w:rPr>
            <w:rStyle w:val="Hyperlink"/>
            <w:color w:val="0000EE"/>
            <w:u w:color="0000EE"/>
            <w:lang w:val="el" w:eastAsia="el"/>
          </w:rPr>
          <w:t>Αφαίρεση 4512/2018, Άρθρο 356</w:t>
        </w:r>
      </w:hyperlink>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6" w:anchor="art_356" w:history="1">
        <w:r>
          <w:rPr>
            <w:rStyle w:val="Hyperlink"/>
            <w:color w:val="0000EE"/>
            <w:u w:color="0000EE"/>
            <w:lang w:val="el" w:eastAsia="el"/>
          </w:rPr>
          <w:t>Αφαίρεση 4512/2018, Άρθρο 356</w:t>
        </w:r>
      </w:hyperlink>
      <w:r>
        <w:rPr>
          <w:lang w:val="el" w:eastAsia="el"/>
        </w:rPr>
        <w:t xml:space="preserve">; </w:t>
      </w:r>
      <w:hyperlink r:id="rId437" w:anchor="art_5" w:history="1">
        <w:r>
          <w:rPr>
            <w:rStyle w:val="Hyperlink"/>
            <w:color w:val="0000EE"/>
            <w:u w:color="0000EE"/>
            <w:lang w:val="el" w:eastAsia="el"/>
          </w:rPr>
          <w:t>Προσθήκη 3453/2006, Άρθρο 5</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8" w:anchor="art_11" w:history="1">
        <w:r>
          <w:rPr>
            <w:rStyle w:val="Hyperlink"/>
            <w:color w:val="0000EE"/>
            <w:u w:color="0000EE"/>
            <w:lang w:val="el" w:eastAsia="el"/>
          </w:rPr>
          <w:t>Τροποποίηση 3052/2002, Άρθρο 11</w:t>
        </w:r>
      </w:hyperlink>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9" w:anchor="art_356" w:history="1">
        <w:r>
          <w:rPr>
            <w:rStyle w:val="Hyperlink"/>
            <w:color w:val="0000EE"/>
            <w:u w:color="0000EE"/>
            <w:lang w:val="el" w:eastAsia="el"/>
          </w:rPr>
          <w:t>Αφαίρεση 4512/2018, Άρθρο 356</w:t>
        </w:r>
      </w:hyperlink>
      <w:r>
        <w:rPr>
          <w:lang w:val="el" w:eastAsia="el"/>
        </w:rPr>
        <w:t xml:space="preserve">; </w:t>
      </w:r>
      <w:hyperlink r:id="rId440" w:anchor="art_11" w:history="1">
        <w:r>
          <w:rPr>
            <w:rStyle w:val="Hyperlink"/>
            <w:color w:val="0000EE"/>
            <w:u w:color="0000EE"/>
            <w:lang w:val="el" w:eastAsia="el"/>
          </w:rPr>
          <w:t>Τροποποίηση 3052/2002, Άρθρο 11</w:t>
        </w:r>
      </w:hyperlink>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1" w:anchor="art_39" w:history="1">
        <w:r>
          <w:rPr>
            <w:rStyle w:val="Hyperlink"/>
            <w:color w:val="0000EE"/>
            <w:u w:color="0000EE"/>
            <w:lang w:val="el" w:eastAsia="el"/>
          </w:rPr>
          <w:t>Τροποποίηση 4646/2019, Άρθρο 39</w:t>
        </w:r>
      </w:hyperlink>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2" w:anchor="art_39" w:history="1">
        <w:r>
          <w:rPr>
            <w:rStyle w:val="Hyperlink"/>
            <w:color w:val="0000EE"/>
            <w:u w:color="0000EE"/>
            <w:lang w:val="el" w:eastAsia="el"/>
          </w:rPr>
          <w:t>Τροποποίηση 4646/2019, Άρθρο 39</w:t>
        </w:r>
      </w:hyperlink>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3" w:anchor="art_39" w:history="1">
        <w:r>
          <w:rPr>
            <w:rStyle w:val="Hyperlink"/>
            <w:color w:val="0000EE"/>
            <w:u w:color="0000EE"/>
            <w:lang w:val="el" w:eastAsia="el"/>
          </w:rPr>
          <w:t>Τροποποίηση 4646/2019, Άρθρο 39</w:t>
        </w:r>
      </w:hyperlink>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4" w:anchor="art_39" w:history="1">
        <w:r>
          <w:rPr>
            <w:rStyle w:val="Hyperlink"/>
            <w:color w:val="0000EE"/>
            <w:u w:color="0000EE"/>
            <w:lang w:val="el" w:eastAsia="el"/>
          </w:rPr>
          <w:t>Τροποποίηση 4646/2019, Άρθρο 39</w:t>
        </w:r>
      </w:hyperlink>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5" w:anchor="art_20" w:history="1">
        <w:r>
          <w:rPr>
            <w:rStyle w:val="Hyperlink"/>
            <w:color w:val="0000EE"/>
            <w:u w:color="0000EE"/>
            <w:lang w:val="el" w:eastAsia="el"/>
          </w:rPr>
          <w:t>Τροποποίηση 3522/2006, Άρθρο 20</w:t>
        </w:r>
      </w:hyperlink>
    </w:p>
  </w:footnote>
  <w:footnote w:id="3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6" w:anchor="art_20" w:history="1">
        <w:r>
          <w:rPr>
            <w:rStyle w:val="Hyperlink"/>
            <w:color w:val="0000EE"/>
            <w:u w:color="0000EE"/>
            <w:lang w:val="el" w:eastAsia="el"/>
          </w:rPr>
          <w:t>Τροποποίηση 3522/2006, Άρθρο 20</w:t>
        </w:r>
      </w:hyperlink>
    </w:p>
  </w:footnote>
  <w:footnote w:id="3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7" w:anchor="art_20" w:history="1">
        <w:r>
          <w:rPr>
            <w:rStyle w:val="Hyperlink"/>
            <w:color w:val="0000EE"/>
            <w:u w:color="0000EE"/>
            <w:lang w:val="el" w:eastAsia="el"/>
          </w:rPr>
          <w:t>Προσθήκη 3522/2006, Άρθρο 20</w:t>
        </w:r>
      </w:hyperlink>
    </w:p>
  </w:footnote>
  <w:footnote w:id="3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8" w:anchor="art_8" w:history="1">
        <w:r>
          <w:rPr>
            <w:rStyle w:val="Hyperlink"/>
            <w:color w:val="0000EE"/>
            <w:u w:color="0000EE"/>
            <w:lang w:val="el" w:eastAsia="el"/>
          </w:rPr>
          <w:t>Προσθήκη 3763/2009, Άρθρο 8</w:t>
        </w:r>
      </w:hyperlink>
    </w:p>
  </w:footnote>
  <w:footnote w:id="3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9" w:anchor="art_1" w:history="1">
        <w:r>
          <w:rPr>
            <w:rStyle w:val="Hyperlink"/>
            <w:color w:val="0000EE"/>
            <w:u w:color="0000EE"/>
            <w:lang w:val="el" w:eastAsia="el"/>
          </w:rPr>
          <w:t>Τροποποίηση 3427/2005, Άρθρο 1</w:t>
        </w:r>
      </w:hyperlink>
    </w:p>
  </w:footnote>
  <w:footnote w:id="3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0" w:anchor="art_18" w:history="1">
        <w:r>
          <w:rPr>
            <w:rStyle w:val="Hyperlink"/>
            <w:color w:val="0000EE"/>
            <w:u w:color="0000EE"/>
            <w:lang w:val="el" w:eastAsia="el"/>
          </w:rPr>
          <w:t>Τροποποίηση 3312/2005, Άρθρο 18</w:t>
        </w:r>
      </w:hyperlink>
      <w:r>
        <w:rPr>
          <w:lang w:val="el" w:eastAsia="el"/>
        </w:rPr>
        <w:t xml:space="preserve">; </w:t>
      </w:r>
      <w:hyperlink r:id="rId451" w:anchor="art_18" w:history="1">
        <w:r>
          <w:rPr>
            <w:rStyle w:val="Hyperlink"/>
            <w:color w:val="0000EE"/>
            <w:u w:color="0000EE"/>
            <w:lang w:val="el" w:eastAsia="el"/>
          </w:rPr>
          <w:t>Τροποποίηση 2992/2002, Άρθρο 18</w:t>
        </w:r>
      </w:hyperlink>
    </w:p>
  </w:footnote>
  <w:footnote w:id="3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2" w:anchor="art_5" w:history="1">
        <w:r>
          <w:rPr>
            <w:rStyle w:val="Hyperlink"/>
            <w:color w:val="0000EE"/>
            <w:u w:color="0000EE"/>
            <w:lang w:val="el" w:eastAsia="el"/>
          </w:rPr>
          <w:t>Τροποποίηση 3453/2006, Άρθρο 5</w:t>
        </w:r>
      </w:hyperlink>
      <w:r>
        <w:rPr>
          <w:lang w:val="el" w:eastAsia="el"/>
        </w:rPr>
        <w:t xml:space="preserve">; </w:t>
      </w:r>
      <w:hyperlink r:id="rId453" w:anchor="art_18" w:history="1">
        <w:r>
          <w:rPr>
            <w:rStyle w:val="Hyperlink"/>
            <w:color w:val="0000EE"/>
            <w:u w:color="0000EE"/>
            <w:lang w:val="el" w:eastAsia="el"/>
          </w:rPr>
          <w:t>Τροποποίηση 2992/2002, Άρθρο 18</w:t>
        </w:r>
      </w:hyperlink>
    </w:p>
  </w:footnote>
  <w:footnote w:id="3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4" w:anchor="art_61" w:history="1">
        <w:r>
          <w:rPr>
            <w:rStyle w:val="Hyperlink"/>
            <w:color w:val="0000EE"/>
            <w:u w:color="0000EE"/>
            <w:lang w:val="el" w:eastAsia="el"/>
          </w:rPr>
          <w:t>Προσθήκη 4714/2020, Άρθρο 61</w:t>
        </w:r>
      </w:hyperlink>
    </w:p>
  </w:footnote>
  <w:footnote w:id="3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5" w:anchor="art_11" w:history="1">
        <w:r>
          <w:rPr>
            <w:rStyle w:val="Hyperlink"/>
            <w:color w:val="0000EE"/>
            <w:u w:color="0000EE"/>
            <w:lang w:val="el" w:eastAsia="el"/>
          </w:rPr>
          <w:t>Τροποποίηση 3052/2002, Άρθρο 11</w:t>
        </w:r>
      </w:hyperlink>
    </w:p>
  </w:footnote>
  <w:footnote w:id="3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6" w:anchor="art_62" w:history="1">
        <w:r>
          <w:rPr>
            <w:rStyle w:val="Hyperlink"/>
            <w:color w:val="0000EE"/>
            <w:u w:color="0000EE"/>
            <w:lang w:val="el" w:eastAsia="el"/>
          </w:rPr>
          <w:t>Τροποποίηση 3842/2010, Άρθρο 62</w:t>
        </w:r>
      </w:hyperlink>
    </w:p>
  </w:footnote>
  <w:footnote w:id="3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7" w:anchor="art_8" w:history="1">
        <w:r>
          <w:rPr>
            <w:rStyle w:val="Hyperlink"/>
            <w:color w:val="0000EE"/>
            <w:u w:color="0000EE"/>
            <w:lang w:val="el" w:eastAsia="el"/>
          </w:rPr>
          <w:t>Προσθήκη 3763/2009, Άρθρο 8</w:t>
        </w:r>
      </w:hyperlink>
    </w:p>
  </w:footnote>
  <w:footnote w:id="3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8" w:anchor="art_8" w:history="1">
        <w:r>
          <w:rPr>
            <w:rStyle w:val="Hyperlink"/>
            <w:color w:val="0000EE"/>
            <w:u w:color="0000EE"/>
            <w:lang w:val="el" w:eastAsia="el"/>
          </w:rPr>
          <w:t>Προσθήκη 3763/2009, Άρθρο 8</w:t>
        </w:r>
      </w:hyperlink>
    </w:p>
  </w:footnote>
  <w:footnote w:id="3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9" w:anchor="art_8" w:history="1">
        <w:r>
          <w:rPr>
            <w:rStyle w:val="Hyperlink"/>
            <w:color w:val="0000EE"/>
            <w:u w:color="0000EE"/>
            <w:lang w:val="el" w:eastAsia="el"/>
          </w:rPr>
          <w:t>Προσθήκη 3763/2009, Άρθρο 8</w:t>
        </w:r>
      </w:hyperlink>
    </w:p>
  </w:footnote>
  <w:footnote w:id="3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0" w:anchor="art_8" w:history="1">
        <w:r>
          <w:rPr>
            <w:rStyle w:val="Hyperlink"/>
            <w:color w:val="0000EE"/>
            <w:u w:color="0000EE"/>
            <w:lang w:val="el" w:eastAsia="el"/>
          </w:rPr>
          <w:t>Προσθήκη 3763/2009, Άρθρο 8</w:t>
        </w:r>
      </w:hyperlink>
    </w:p>
  </w:footnote>
  <w:footnote w:id="3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1" w:anchor="art_8" w:history="1">
        <w:r>
          <w:rPr>
            <w:rStyle w:val="Hyperlink"/>
            <w:color w:val="0000EE"/>
            <w:u w:color="0000EE"/>
            <w:lang w:val="el" w:eastAsia="el"/>
          </w:rPr>
          <w:t>Προσθήκη 3763/2009, Άρθρο 8</w:t>
        </w:r>
      </w:hyperlink>
    </w:p>
  </w:footnote>
  <w:footnote w:id="3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2" w:anchor="art_8" w:history="1">
        <w:r>
          <w:rPr>
            <w:rStyle w:val="Hyperlink"/>
            <w:color w:val="0000EE"/>
            <w:u w:color="0000EE"/>
            <w:lang w:val="el" w:eastAsia="el"/>
          </w:rPr>
          <w:t>Προσθήκη 3763/2009, Άρθρο 8</w:t>
        </w:r>
      </w:hyperlink>
    </w:p>
  </w:footnote>
  <w:footnote w:id="3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3" w:anchor="art_61" w:history="1">
        <w:r>
          <w:rPr>
            <w:rStyle w:val="Hyperlink"/>
            <w:color w:val="0000EE"/>
            <w:u w:color="0000EE"/>
            <w:lang w:val="el" w:eastAsia="el"/>
          </w:rPr>
          <w:t>Προσθήκη 4714/2020, Άρθρο 61</w:t>
        </w:r>
      </w:hyperlink>
      <w:r>
        <w:rPr>
          <w:lang w:val="el" w:eastAsia="el"/>
        </w:rPr>
        <w:t xml:space="preserve">; </w:t>
      </w:r>
      <w:hyperlink r:id="rId464" w:anchor="art_59" w:history="1">
        <w:r>
          <w:rPr>
            <w:rStyle w:val="Hyperlink"/>
            <w:color w:val="0000EE"/>
            <w:u w:color="0000EE"/>
            <w:lang w:val="el" w:eastAsia="el"/>
          </w:rPr>
          <w:t>Προσθήκη 3842/2010, Άρθρο 59</w:t>
        </w:r>
      </w:hyperlink>
    </w:p>
  </w:footnote>
  <w:footnote w:id="3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5" w:anchor="art_7" w:history="1">
        <w:r>
          <w:rPr>
            <w:rStyle w:val="Hyperlink"/>
            <w:color w:val="0000EE"/>
            <w:u w:color="0000EE"/>
            <w:lang w:val="el" w:eastAsia="el"/>
          </w:rPr>
          <w:t>Προσθήκη 4818/2021, Άρθρο 7</w:t>
        </w:r>
      </w:hyperlink>
    </w:p>
  </w:footnote>
  <w:footnote w:id="3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6" w:anchor="art_19" w:history="1">
        <w:r>
          <w:rPr>
            <w:rStyle w:val="Hyperlink"/>
            <w:color w:val="0000EE"/>
            <w:u w:color="0000EE"/>
            <w:lang w:val="el" w:eastAsia="el"/>
          </w:rPr>
          <w:t>Τροποποίηση 3091/2002, Άρθρο 19</w:t>
        </w:r>
      </w:hyperlink>
    </w:p>
  </w:footnote>
  <w:footnote w:id="3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7" w:anchor="art_356" w:history="1">
        <w:r>
          <w:rPr>
            <w:rStyle w:val="Hyperlink"/>
            <w:color w:val="0000EE"/>
            <w:u w:color="0000EE"/>
            <w:lang w:val="el" w:eastAsia="el"/>
          </w:rPr>
          <w:t>Τροποποίηση 4512/2018, Άρθρο 356</w:t>
        </w:r>
      </w:hyperlink>
    </w:p>
  </w:footnote>
  <w:footnote w:id="3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8" w:anchor="art_356" w:history="1">
        <w:r>
          <w:rPr>
            <w:rStyle w:val="Hyperlink"/>
            <w:color w:val="0000EE"/>
            <w:u w:color="0000EE"/>
            <w:lang w:val="el" w:eastAsia="el"/>
          </w:rPr>
          <w:t>Τροποποίηση 4512/2018, Άρθρο 356</w:t>
        </w:r>
      </w:hyperlink>
    </w:p>
  </w:footnote>
  <w:footnote w:id="3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9" w:anchor="art_62" w:history="1">
        <w:r>
          <w:rPr>
            <w:rStyle w:val="Hyperlink"/>
            <w:color w:val="0000EE"/>
            <w:u w:color="0000EE"/>
            <w:lang w:val="el" w:eastAsia="el"/>
          </w:rPr>
          <w:t>Τροποποίηση 3842/2010, Άρθρο 62</w:t>
        </w:r>
      </w:hyperlink>
    </w:p>
  </w:footnote>
  <w:footnote w:id="3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0" w:anchor="art_18" w:history="1">
        <w:r>
          <w:rPr>
            <w:rStyle w:val="Hyperlink"/>
            <w:color w:val="0000EE"/>
            <w:u w:color="0000EE"/>
            <w:lang w:val="el" w:eastAsia="el"/>
          </w:rPr>
          <w:t>Τροποποίηση 2992/2002, Άρθρο 18</w:t>
        </w:r>
      </w:hyperlink>
    </w:p>
  </w:footnote>
  <w:footnote w:id="3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1" w:anchor="art_61" w:history="1">
        <w:r>
          <w:rPr>
            <w:rStyle w:val="Hyperlink"/>
            <w:color w:val="0000EE"/>
            <w:u w:color="0000EE"/>
            <w:lang w:val="el" w:eastAsia="el"/>
          </w:rPr>
          <w:t>Τροποποίηση 4714/2020, Άρθρο 61</w:t>
        </w:r>
      </w:hyperlink>
    </w:p>
  </w:footnote>
  <w:footnote w:id="3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2" w:anchor="art_7" w:history="1">
        <w:r>
          <w:rPr>
            <w:rStyle w:val="Hyperlink"/>
            <w:color w:val="0000EE"/>
            <w:u w:color="0000EE"/>
            <w:lang w:val="el" w:eastAsia="el"/>
          </w:rPr>
          <w:t>Προσθήκη 3193/2003, Άρθρο 7</w:t>
        </w:r>
      </w:hyperlink>
    </w:p>
  </w:footnote>
  <w:footnote w:id="3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3" w:anchor="art_16" w:history="1">
        <w:r>
          <w:rPr>
            <w:rStyle w:val="Hyperlink"/>
            <w:color w:val="0000EE"/>
            <w:u w:color="0000EE"/>
            <w:lang w:val="el" w:eastAsia="el"/>
          </w:rPr>
          <w:t>Τροποποίηση 2948/2001, Άρθρο 16</w:t>
        </w:r>
      </w:hyperlink>
    </w:p>
  </w:footnote>
  <w:footnote w:id="3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4" w:anchor="art_27" w:history="1">
        <w:r>
          <w:rPr>
            <w:rStyle w:val="Hyperlink"/>
            <w:color w:val="0000EE"/>
            <w:u w:color="0000EE"/>
            <w:lang w:val="el" w:eastAsia="el"/>
          </w:rPr>
          <w:t>Προσθήκη 3943/2011, Άρθρο 27</w:t>
        </w:r>
      </w:hyperlink>
    </w:p>
  </w:footnote>
  <w:footnote w:id="3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5" w:anchor="art_3" w:history="1">
        <w:r>
          <w:rPr>
            <w:rStyle w:val="Hyperlink"/>
            <w:color w:val="0000EE"/>
            <w:u w:color="0000EE"/>
            <w:lang w:val="el" w:eastAsia="el"/>
          </w:rPr>
          <w:t>Τροποποίηση 4254/2014, Άρθρο 3</w:t>
        </w:r>
      </w:hyperlink>
    </w:p>
  </w:footnote>
  <w:footnote w:id="3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6" w:anchor="art_8" w:history="1">
        <w:r>
          <w:rPr>
            <w:rStyle w:val="Hyperlink"/>
            <w:color w:val="0000EE"/>
            <w:u w:color="0000EE"/>
            <w:lang w:val="el" w:eastAsia="el"/>
          </w:rPr>
          <w:t>Προσθήκη 3763/2009, Άρθρο 8</w:t>
        </w:r>
      </w:hyperlink>
      <w:r>
        <w:rPr>
          <w:lang w:val="el" w:eastAsia="el"/>
        </w:rPr>
        <w:t xml:space="preserve">; </w:t>
      </w:r>
      <w:hyperlink r:id="rId477" w:anchor="art_20" w:history="1">
        <w:r>
          <w:rPr>
            <w:rStyle w:val="Hyperlink"/>
            <w:color w:val="0000EE"/>
            <w:u w:color="0000EE"/>
            <w:lang w:val="el" w:eastAsia="el"/>
          </w:rPr>
          <w:t>Τροποποίηση 3522/2006, Άρθρο 20</w:t>
        </w:r>
      </w:hyperlink>
    </w:p>
  </w:footnote>
  <w:footnote w:id="3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8" w:anchor="art_3" w:history="1">
        <w:r>
          <w:rPr>
            <w:rStyle w:val="Hyperlink"/>
            <w:color w:val="0000EE"/>
            <w:u w:color="0000EE"/>
            <w:lang w:val="el" w:eastAsia="el"/>
          </w:rPr>
          <w:t>Τροποποίηση 4254/2014, Άρθρο 3</w:t>
        </w:r>
      </w:hyperlink>
      <w:r>
        <w:rPr>
          <w:lang w:val="el" w:eastAsia="el"/>
        </w:rPr>
        <w:t xml:space="preserve">; </w:t>
      </w:r>
      <w:hyperlink r:id="rId479" w:anchor="art_8" w:history="1">
        <w:r>
          <w:rPr>
            <w:rStyle w:val="Hyperlink"/>
            <w:color w:val="0000EE"/>
            <w:u w:color="0000EE"/>
            <w:lang w:val="el" w:eastAsia="el"/>
          </w:rPr>
          <w:t>Τροποποίηση 3763/2009, Άρθρο 8</w:t>
        </w:r>
      </w:hyperlink>
    </w:p>
  </w:footnote>
  <w:footnote w:id="3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0" w:anchor="art_8" w:history="1">
        <w:r>
          <w:rPr>
            <w:rStyle w:val="Hyperlink"/>
            <w:color w:val="0000EE"/>
            <w:u w:color="0000EE"/>
            <w:lang w:val="el" w:eastAsia="el"/>
          </w:rPr>
          <w:t>Τροποποίηση 3763/2009, Άρθρο 8</w:t>
        </w:r>
      </w:hyperlink>
      <w:r>
        <w:rPr>
          <w:lang w:val="el" w:eastAsia="el"/>
        </w:rPr>
        <w:t xml:space="preserve">; </w:t>
      </w:r>
      <w:hyperlink r:id="rId481" w:anchor="art_20" w:history="1">
        <w:r>
          <w:rPr>
            <w:rStyle w:val="Hyperlink"/>
            <w:color w:val="0000EE"/>
            <w:u w:color="0000EE"/>
            <w:lang w:val="el" w:eastAsia="el"/>
          </w:rPr>
          <w:t>Προσθήκη 3522/2006, Άρθρο 20</w:t>
        </w:r>
      </w:hyperlink>
    </w:p>
  </w:footnote>
  <w:footnote w:id="3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2" w:anchor="art_20" w:history="1">
        <w:r>
          <w:rPr>
            <w:rStyle w:val="Hyperlink"/>
            <w:color w:val="0000EE"/>
            <w:u w:color="0000EE"/>
            <w:lang w:val="el" w:eastAsia="el"/>
          </w:rPr>
          <w:t>Τροποποίηση 3522/2006, Άρθρο 20</w:t>
        </w:r>
      </w:hyperlink>
    </w:p>
  </w:footnote>
  <w:footnote w:id="3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3" w:anchor="art_20" w:history="1">
        <w:r>
          <w:rPr>
            <w:rStyle w:val="Hyperlink"/>
            <w:color w:val="0000EE"/>
            <w:u w:color="0000EE"/>
            <w:lang w:val="el" w:eastAsia="el"/>
          </w:rPr>
          <w:t>Τροποποίηση 3522/2006, Άρθρο 20</w:t>
        </w:r>
      </w:hyperlink>
    </w:p>
  </w:footnote>
  <w:footnote w:id="3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4" w:anchor="art_1" w:history="1">
        <w:r>
          <w:rPr>
            <w:rStyle w:val="Hyperlink"/>
            <w:color w:val="0000EE"/>
            <w:u w:color="0000EE"/>
            <w:lang w:val="el" w:eastAsia="el"/>
          </w:rPr>
          <w:t>Τροποποίηση 4281/2014, Άρθρο 1</w:t>
        </w:r>
      </w:hyperlink>
    </w:p>
  </w:footnote>
  <w:footnote w:id="3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5" w:anchor="art_1" w:history="1">
        <w:r>
          <w:rPr>
            <w:rStyle w:val="Hyperlink"/>
            <w:color w:val="0000EE"/>
            <w:u w:color="0000EE"/>
            <w:lang w:val="el" w:eastAsia="el"/>
          </w:rPr>
          <w:t>Τροποποίηση 4281/2014, Άρθρο 1</w:t>
        </w:r>
      </w:hyperlink>
      <w:r>
        <w:rPr>
          <w:lang w:val="el" w:eastAsia="el"/>
        </w:rPr>
        <w:t xml:space="preserve">; </w:t>
      </w:r>
      <w:hyperlink r:id="rId486" w:anchor="art_3" w:history="1">
        <w:r>
          <w:rPr>
            <w:rStyle w:val="Hyperlink"/>
            <w:color w:val="0000EE"/>
            <w:u w:color="0000EE"/>
            <w:lang w:val="el" w:eastAsia="el"/>
          </w:rPr>
          <w:t>Προσθήκη 4254/2014, Άρθρο 3</w:t>
        </w:r>
      </w:hyperlink>
      <w:r>
        <w:rPr>
          <w:lang w:val="el" w:eastAsia="el"/>
        </w:rPr>
        <w:t xml:space="preserve">; </w:t>
      </w:r>
      <w:hyperlink r:id="rId487" w:anchor="art_11" w:history="1">
        <w:r>
          <w:rPr>
            <w:rStyle w:val="Hyperlink"/>
            <w:color w:val="0000EE"/>
            <w:u w:color="0000EE"/>
            <w:lang w:val="el" w:eastAsia="el"/>
          </w:rPr>
          <w:t>Τροποποίηση 3052/2002, Άρθρο 11</w:t>
        </w:r>
      </w:hyperlink>
      <w:r>
        <w:rPr>
          <w:lang w:val="el" w:eastAsia="el"/>
        </w:rPr>
        <w:t xml:space="preserve">; </w:t>
      </w:r>
      <w:hyperlink r:id="rId488" w:anchor="art_22" w:history="1">
        <w:r>
          <w:rPr>
            <w:rStyle w:val="Hyperlink"/>
            <w:color w:val="0000EE"/>
            <w:u w:color="0000EE"/>
            <w:lang w:val="el" w:eastAsia="el"/>
          </w:rPr>
          <w:t>Αφαίρεση 3259/2004, Άρθρο 22</w:t>
        </w:r>
      </w:hyperlink>
      <w:r>
        <w:rPr>
          <w:lang w:val="el" w:eastAsia="el"/>
        </w:rPr>
        <w:t xml:space="preserve">; </w:t>
      </w:r>
      <w:hyperlink r:id="rId489" w:anchor="art_39" w:history="1">
        <w:r>
          <w:rPr>
            <w:rStyle w:val="Hyperlink"/>
            <w:color w:val="0000EE"/>
            <w:u w:color="0000EE"/>
            <w:lang w:val="el" w:eastAsia="el"/>
          </w:rPr>
          <w:t>Προσθήκη 3220/2004, Άρθρο 39</w:t>
        </w:r>
      </w:hyperlink>
      <w:r>
        <w:rPr>
          <w:lang w:val="el" w:eastAsia="el"/>
        </w:rPr>
        <w:t xml:space="preserve">; </w:t>
      </w:r>
      <w:hyperlink r:id="rId490" w:anchor="art_27" w:history="1">
        <w:r>
          <w:rPr>
            <w:rStyle w:val="Hyperlink"/>
            <w:color w:val="0000EE"/>
            <w:u w:color="0000EE"/>
            <w:lang w:val="el" w:eastAsia="el"/>
          </w:rPr>
          <w:t>Προσθήκη 3943/2011, Άρθρο 27</w:t>
        </w:r>
      </w:hyperlink>
    </w:p>
  </w:footnote>
  <w:footnote w:id="3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1" w:anchor="art_22" w:history="1">
        <w:r>
          <w:rPr>
            <w:rStyle w:val="Hyperlink"/>
            <w:color w:val="0000EE"/>
            <w:u w:color="0000EE"/>
            <w:lang w:val="el" w:eastAsia="el"/>
          </w:rPr>
          <w:t>Τροποποίηση 4321/2015, Άρθρο 22</w:t>
        </w:r>
      </w:hyperlink>
    </w:p>
  </w:footnote>
  <w:footnote w:id="3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2" w:anchor="art_22" w:history="1">
        <w:r>
          <w:rPr>
            <w:rStyle w:val="Hyperlink"/>
            <w:color w:val="0000EE"/>
            <w:u w:color="0000EE"/>
            <w:lang w:val="el" w:eastAsia="el"/>
          </w:rPr>
          <w:t>Τροποποίηση 4321/2015, Άρθρο 22</w:t>
        </w:r>
      </w:hyperlink>
    </w:p>
  </w:footnote>
  <w:footnote w:id="3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3" w:anchor="art_22" w:history="1">
        <w:r>
          <w:rPr>
            <w:rStyle w:val="Hyperlink"/>
            <w:color w:val="0000EE"/>
            <w:u w:color="0000EE"/>
            <w:lang w:val="el" w:eastAsia="el"/>
          </w:rPr>
          <w:t>Τροποποίηση 4321/2015, Άρθρο 22</w:t>
        </w:r>
      </w:hyperlink>
      <w:r>
        <w:rPr>
          <w:lang w:val="el" w:eastAsia="el"/>
        </w:rPr>
        <w:t xml:space="preserve">; </w:t>
      </w:r>
      <w:hyperlink r:id="rId494" w:anchor="art_1" w:history="1">
        <w:r>
          <w:rPr>
            <w:rStyle w:val="Hyperlink"/>
            <w:color w:val="0000EE"/>
            <w:u w:color="0000EE"/>
            <w:lang w:val="el" w:eastAsia="el"/>
          </w:rPr>
          <w:t>Τροποποίηση 4281/2014, Άρθρο 1</w:t>
        </w:r>
      </w:hyperlink>
      <w:r>
        <w:rPr>
          <w:lang w:val="el" w:eastAsia="el"/>
        </w:rPr>
        <w:t xml:space="preserve">; </w:t>
      </w:r>
      <w:hyperlink r:id="rId495" w:anchor="art_3" w:history="1">
        <w:r>
          <w:rPr>
            <w:rStyle w:val="Hyperlink"/>
            <w:color w:val="0000EE"/>
            <w:u w:color="0000EE"/>
            <w:lang w:val="el" w:eastAsia="el"/>
          </w:rPr>
          <w:t>Τροποποίηση 4254/2014, Άρθρο 3</w:t>
        </w:r>
      </w:hyperlink>
      <w:r>
        <w:rPr>
          <w:lang w:val="el" w:eastAsia="el"/>
        </w:rPr>
        <w:t xml:space="preserve">; </w:t>
      </w:r>
      <w:hyperlink r:id="rId496" w:anchor="art_1" w:history="1">
        <w:r>
          <w:rPr>
            <w:rStyle w:val="Hyperlink"/>
            <w:color w:val="0000EE"/>
            <w:u w:color="0000EE"/>
            <w:lang w:val="el" w:eastAsia="el"/>
          </w:rPr>
          <w:t>Τροποποίηση 4152/2013, Άρθρο 1</w:t>
        </w:r>
      </w:hyperlink>
      <w:r>
        <w:rPr>
          <w:lang w:val="el" w:eastAsia="el"/>
        </w:rPr>
        <w:t xml:space="preserve">; </w:t>
      </w:r>
      <w:hyperlink r:id="rId497" w:anchor="art_27" w:history="1">
        <w:r>
          <w:rPr>
            <w:rStyle w:val="Hyperlink"/>
            <w:color w:val="0000EE"/>
            <w:u w:color="0000EE"/>
            <w:lang w:val="el" w:eastAsia="el"/>
          </w:rPr>
          <w:t>Τροποποίηση 3943/2011, Άρθρο 27</w:t>
        </w:r>
      </w:hyperlink>
      <w:r>
        <w:rPr>
          <w:lang w:val="el" w:eastAsia="el"/>
        </w:rPr>
        <w:t xml:space="preserve">; </w:t>
      </w:r>
      <w:hyperlink r:id="rId498" w:anchor="art_8" w:history="1">
        <w:r>
          <w:rPr>
            <w:rStyle w:val="Hyperlink"/>
            <w:color w:val="0000EE"/>
            <w:u w:color="0000EE"/>
            <w:lang w:val="el" w:eastAsia="el"/>
          </w:rPr>
          <w:t>Προσθήκη 3763/2009, Άρθρο 8</w:t>
        </w:r>
      </w:hyperlink>
      <w:r>
        <w:rPr>
          <w:lang w:val="el" w:eastAsia="el"/>
        </w:rPr>
        <w:t xml:space="preserve">; </w:t>
      </w:r>
      <w:hyperlink r:id="rId499" w:anchor="art_16" w:history="1">
        <w:r>
          <w:rPr>
            <w:rStyle w:val="Hyperlink"/>
            <w:color w:val="0000EE"/>
            <w:u w:color="0000EE"/>
            <w:lang w:val="el" w:eastAsia="el"/>
          </w:rPr>
          <w:t>Τροποποίηση 2948/2001, Άρθρο 16</w:t>
        </w:r>
      </w:hyperlink>
    </w:p>
  </w:footnote>
  <w:footnote w:id="3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0" w:anchor="art_22" w:history="1">
        <w:r>
          <w:rPr>
            <w:rStyle w:val="Hyperlink"/>
            <w:color w:val="0000EE"/>
            <w:u w:color="0000EE"/>
            <w:lang w:val="el" w:eastAsia="el"/>
          </w:rPr>
          <w:t>Τροποποίηση 4321/2015, Άρθρο 22</w:t>
        </w:r>
      </w:hyperlink>
    </w:p>
  </w:footnote>
  <w:footnote w:id="3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1" w:anchor="art_1" w:history="1">
        <w:r>
          <w:rPr>
            <w:rStyle w:val="Hyperlink"/>
            <w:color w:val="0000EE"/>
            <w:u w:color="0000EE"/>
            <w:lang w:val="el" w:eastAsia="el"/>
          </w:rPr>
          <w:t>Τροποποίηση 4281/2014, Άρθρο 1</w:t>
        </w:r>
      </w:hyperlink>
    </w:p>
  </w:footnote>
  <w:footnote w:id="4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2" w:anchor="art_1" w:history="1">
        <w:r>
          <w:rPr>
            <w:rStyle w:val="Hyperlink"/>
            <w:color w:val="0000EE"/>
            <w:u w:color="0000EE"/>
            <w:lang w:val="el" w:eastAsia="el"/>
          </w:rPr>
          <w:t>Τροποποίηση 4281/2014, Άρθρο 1</w:t>
        </w:r>
      </w:hyperlink>
    </w:p>
  </w:footnote>
  <w:footnote w:id="4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3" w:anchor="art_1" w:history="1">
        <w:r>
          <w:rPr>
            <w:rStyle w:val="Hyperlink"/>
            <w:color w:val="0000EE"/>
            <w:u w:color="0000EE"/>
            <w:lang w:val="el" w:eastAsia="el"/>
          </w:rPr>
          <w:t>Τροποποίηση 4281/2014, Άρθρο 1</w:t>
        </w:r>
      </w:hyperlink>
    </w:p>
  </w:footnote>
  <w:footnote w:id="4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4" w:anchor="art_1" w:history="1">
        <w:r>
          <w:rPr>
            <w:rStyle w:val="Hyperlink"/>
            <w:color w:val="0000EE"/>
            <w:u w:color="0000EE"/>
            <w:lang w:val="el" w:eastAsia="el"/>
          </w:rPr>
          <w:t>Τροποποίηση 4281/2014, Άρθρο 1</w:t>
        </w:r>
      </w:hyperlink>
    </w:p>
  </w:footnote>
  <w:footnote w:id="4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5" w:anchor="art_1" w:history="1">
        <w:r>
          <w:rPr>
            <w:rStyle w:val="Hyperlink"/>
            <w:color w:val="0000EE"/>
            <w:u w:color="0000EE"/>
            <w:lang w:val="el" w:eastAsia="el"/>
          </w:rPr>
          <w:t>Τροποποίηση 4281/2014, Άρθρο 1</w:t>
        </w:r>
      </w:hyperlink>
    </w:p>
  </w:footnote>
  <w:footnote w:id="4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6" w:anchor="art_1" w:history="1">
        <w:r>
          <w:rPr>
            <w:rStyle w:val="Hyperlink"/>
            <w:color w:val="0000EE"/>
            <w:u w:color="0000EE"/>
            <w:lang w:val="el" w:eastAsia="el"/>
          </w:rPr>
          <w:t>Τροποποίηση 4281/2014, Άρθρο 1</w:t>
        </w:r>
      </w:hyperlink>
    </w:p>
  </w:footnote>
  <w:footnote w:id="4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7" w:anchor="art_1" w:history="1">
        <w:r>
          <w:rPr>
            <w:rStyle w:val="Hyperlink"/>
            <w:color w:val="0000EE"/>
            <w:u w:color="0000EE"/>
            <w:lang w:val="el" w:eastAsia="el"/>
          </w:rPr>
          <w:t>Τροποποίηση 4281/2014, Άρθρο 1</w:t>
        </w:r>
      </w:hyperlink>
    </w:p>
  </w:footnote>
  <w:footnote w:id="4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8" w:anchor="art_1" w:history="1">
        <w:r>
          <w:rPr>
            <w:rStyle w:val="Hyperlink"/>
            <w:color w:val="0000EE"/>
            <w:u w:color="0000EE"/>
            <w:lang w:val="el" w:eastAsia="el"/>
          </w:rPr>
          <w:t>Τροποποίηση 4281/2014, Άρθρο 1</w:t>
        </w:r>
      </w:hyperlink>
    </w:p>
  </w:footnote>
  <w:footnote w:id="4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9" w:anchor="art_1" w:history="1">
        <w:r>
          <w:rPr>
            <w:rStyle w:val="Hyperlink"/>
            <w:color w:val="0000EE"/>
            <w:u w:color="0000EE"/>
            <w:lang w:val="el" w:eastAsia="el"/>
          </w:rPr>
          <w:t>Τροποποίηση 4281/2014, Άρθρο 1</w:t>
        </w:r>
      </w:hyperlink>
    </w:p>
  </w:footnote>
  <w:footnote w:id="4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0" w:anchor="art_39" w:history="1">
        <w:r>
          <w:rPr>
            <w:rStyle w:val="Hyperlink"/>
            <w:color w:val="0000EE"/>
            <w:u w:color="0000EE"/>
            <w:lang w:val="el" w:eastAsia="el"/>
          </w:rPr>
          <w:t>Προσθήκη 4646/2019, Άρθρο 39</w:t>
        </w:r>
      </w:hyperlink>
    </w:p>
  </w:footnote>
  <w:footnote w:id="4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1" w:anchor="art_1" w:history="1">
        <w:r>
          <w:rPr>
            <w:rStyle w:val="Hyperlink"/>
            <w:color w:val="0000EE"/>
            <w:u w:color="0000EE"/>
            <w:lang w:val="el" w:eastAsia="el"/>
          </w:rPr>
          <w:t>Τροποποίηση 4281/2014, Άρθρο 1</w:t>
        </w:r>
      </w:hyperlink>
    </w:p>
  </w:footnote>
  <w:footnote w:id="4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2" w:anchor="art_1" w:history="1">
        <w:r>
          <w:rPr>
            <w:rStyle w:val="Hyperlink"/>
            <w:color w:val="0000EE"/>
            <w:u w:color="0000EE"/>
            <w:lang w:val="el" w:eastAsia="el"/>
          </w:rPr>
          <w:t>Τροποποίηση 4152/2013, Άρθρο 1</w:t>
        </w:r>
      </w:hyperlink>
      <w:r>
        <w:rPr>
          <w:lang w:val="el" w:eastAsia="el"/>
        </w:rPr>
        <w:t xml:space="preserve">; </w:t>
      </w:r>
      <w:hyperlink r:id="rId513" w:anchor="art_19" w:history="1">
        <w:r>
          <w:rPr>
            <w:rStyle w:val="Hyperlink"/>
            <w:color w:val="0000EE"/>
            <w:u w:color="0000EE"/>
            <w:lang w:val="el" w:eastAsia="el"/>
          </w:rPr>
          <w:t>Τροποποίηση 3091/2002, Άρθρο 19</w:t>
        </w:r>
      </w:hyperlink>
    </w:p>
  </w:footnote>
  <w:footnote w:id="4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4" w:anchor="art_9" w:history="1">
        <w:r>
          <w:rPr>
            <w:rStyle w:val="Hyperlink"/>
            <w:color w:val="0000EE"/>
            <w:u w:color="0000EE"/>
            <w:lang w:val="el" w:eastAsia="el"/>
          </w:rPr>
          <w:t>Τροποποίηση 2954/2001, Άρθρο 9</w:t>
        </w:r>
      </w:hyperlink>
    </w:p>
  </w:footnote>
  <w:footnote w:id="4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5" w:anchor="art_27" w:history="1">
        <w:r>
          <w:rPr>
            <w:rStyle w:val="Hyperlink"/>
            <w:color w:val="0000EE"/>
            <w:u w:color="0000EE"/>
            <w:lang w:val="el" w:eastAsia="el"/>
          </w:rPr>
          <w:t>Τροποποίηση 3943/2011, Άρθρο 27</w:t>
        </w:r>
      </w:hyperlink>
    </w:p>
  </w:footnote>
  <w:footnote w:id="4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6" w:anchor="art_27" w:history="1">
        <w:r>
          <w:rPr>
            <w:rStyle w:val="Hyperlink"/>
            <w:color w:val="0000EE"/>
            <w:u w:color="0000EE"/>
            <w:lang w:val="el" w:eastAsia="el"/>
          </w:rPr>
          <w:t>Αφαίρεση 3943/2011, Άρθρο 27</w:t>
        </w:r>
      </w:hyperlink>
      <w:r>
        <w:rPr>
          <w:lang w:val="el" w:eastAsia="el"/>
        </w:rPr>
        <w:t xml:space="preserve">; </w:t>
      </w:r>
      <w:hyperlink r:id="rId517" w:anchor="art_11" w:history="1">
        <w:r>
          <w:rPr>
            <w:rStyle w:val="Hyperlink"/>
            <w:color w:val="0000EE"/>
            <w:u w:color="0000EE"/>
            <w:lang w:val="el" w:eastAsia="el"/>
          </w:rPr>
          <w:t>Προσθήκη 3052/2002, Άρθρο 11</w:t>
        </w:r>
      </w:hyperlink>
    </w:p>
  </w:footnote>
  <w:footnote w:id="4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8" w:anchor="art_20" w:history="1">
        <w:r>
          <w:rPr>
            <w:rStyle w:val="Hyperlink"/>
            <w:color w:val="0000EE"/>
            <w:u w:color="0000EE"/>
            <w:lang w:val="el" w:eastAsia="el"/>
          </w:rPr>
          <w:t>Προσθήκη 3522/2006, Άρθρο 20</w:t>
        </w:r>
      </w:hyperlink>
      <w:r>
        <w:rPr>
          <w:lang w:val="el" w:eastAsia="el"/>
        </w:rPr>
        <w:t xml:space="preserve">; </w:t>
      </w:r>
      <w:hyperlink r:id="rId519" w:anchor="art_11" w:history="1">
        <w:r>
          <w:rPr>
            <w:rStyle w:val="Hyperlink"/>
            <w:color w:val="0000EE"/>
            <w:u w:color="0000EE"/>
            <w:lang w:val="el" w:eastAsia="el"/>
          </w:rPr>
          <w:t>Τροποποίηση 3052/2002, Άρθρο 11</w:t>
        </w:r>
      </w:hyperlink>
    </w:p>
  </w:footnote>
  <w:footnote w:id="4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0" w:anchor="art_1" w:history="1">
        <w:r>
          <w:rPr>
            <w:rStyle w:val="Hyperlink"/>
            <w:color w:val="0000EE"/>
            <w:u w:color="0000EE"/>
            <w:lang w:val="el" w:eastAsia="el"/>
          </w:rPr>
          <w:t>Τροποποίηση 4152/2013, Άρθρο 1</w:t>
        </w:r>
      </w:hyperlink>
    </w:p>
  </w:footnote>
  <w:footnote w:id="4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1" w:anchor="art_1" w:history="1">
        <w:r>
          <w:rPr>
            <w:rStyle w:val="Hyperlink"/>
            <w:color w:val="0000EE"/>
            <w:u w:color="0000EE"/>
            <w:lang w:val="el" w:eastAsia="el"/>
          </w:rPr>
          <w:t>Τροποποίηση 4152/2013, Άρθρο 1</w:t>
        </w:r>
      </w:hyperlink>
    </w:p>
  </w:footnote>
  <w:footnote w:id="4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2" w:anchor="art_1" w:history="1">
        <w:r>
          <w:rPr>
            <w:rStyle w:val="Hyperlink"/>
            <w:color w:val="0000EE"/>
            <w:u w:color="0000EE"/>
            <w:lang w:val="el" w:eastAsia="el"/>
          </w:rPr>
          <w:t>Τροποποίηση 4152/2013, Άρθρο 1</w:t>
        </w:r>
      </w:hyperlink>
    </w:p>
  </w:footnote>
  <w:footnote w:id="4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3" w:anchor="art_1" w:history="1">
        <w:r>
          <w:rPr>
            <w:rStyle w:val="Hyperlink"/>
            <w:color w:val="0000EE"/>
            <w:u w:color="0000EE"/>
            <w:lang w:val="el" w:eastAsia="el"/>
          </w:rPr>
          <w:t>Τροποποίηση 4152/2013, Άρθρο 1</w:t>
        </w:r>
      </w:hyperlink>
    </w:p>
  </w:footnote>
  <w:footnote w:id="4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4" w:anchor="art_1" w:history="1">
        <w:r>
          <w:rPr>
            <w:rStyle w:val="Hyperlink"/>
            <w:color w:val="0000EE"/>
            <w:u w:color="0000EE"/>
            <w:lang w:val="el" w:eastAsia="el"/>
          </w:rPr>
          <w:t>Τροποποίηση 4152/2013, Άρθρο 1</w:t>
        </w:r>
      </w:hyperlink>
      <w:r>
        <w:rPr>
          <w:lang w:val="el" w:eastAsia="el"/>
        </w:rPr>
        <w:t xml:space="preserve">; </w:t>
      </w:r>
      <w:hyperlink r:id="rId525" w:anchor="art_27" w:history="1">
        <w:r>
          <w:rPr>
            <w:rStyle w:val="Hyperlink"/>
            <w:color w:val="0000EE"/>
            <w:u w:color="0000EE"/>
            <w:lang w:val="el" w:eastAsia="el"/>
          </w:rPr>
          <w:t>Προσθήκη 3943/2011, Άρθρο 27</w:t>
        </w:r>
      </w:hyperlink>
      <w:r>
        <w:rPr>
          <w:lang w:val="el" w:eastAsia="el"/>
        </w:rPr>
        <w:t xml:space="preserve">; </w:t>
      </w:r>
      <w:hyperlink r:id="rId526" w:anchor="art_20" w:history="1">
        <w:r>
          <w:rPr>
            <w:rStyle w:val="Hyperlink"/>
            <w:color w:val="0000EE"/>
            <w:u w:color="0000EE"/>
            <w:lang w:val="el" w:eastAsia="el"/>
          </w:rPr>
          <w:t>Τροποποίηση 3522/2006, Άρθρο 20</w:t>
        </w:r>
      </w:hyperlink>
    </w:p>
  </w:footnote>
  <w:footnote w:id="4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7" w:anchor="art_111" w:history="1">
        <w:r>
          <w:rPr>
            <w:rStyle w:val="Hyperlink"/>
            <w:color w:val="0000EE"/>
            <w:u w:color="0000EE"/>
            <w:lang w:val="el" w:eastAsia="el"/>
          </w:rPr>
          <w:t>Τροποποίηση 4549/2018, Άρθρο 111</w:t>
        </w:r>
      </w:hyperlink>
    </w:p>
  </w:footnote>
  <w:footnote w:id="4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8" w:anchor="art_111" w:history="1">
        <w:r>
          <w:rPr>
            <w:rStyle w:val="Hyperlink"/>
            <w:color w:val="0000EE"/>
            <w:u w:color="0000EE"/>
            <w:lang w:val="el" w:eastAsia="el"/>
          </w:rPr>
          <w:t>Τροποποίηση 4549/2018, Άρθρο 111</w:t>
        </w:r>
      </w:hyperlink>
    </w:p>
  </w:footnote>
  <w:footnote w:id="4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9" w:anchor="art_111" w:history="1">
        <w:r>
          <w:rPr>
            <w:rStyle w:val="Hyperlink"/>
            <w:color w:val="0000EE"/>
            <w:u w:color="0000EE"/>
            <w:lang w:val="el" w:eastAsia="el"/>
          </w:rPr>
          <w:t>Τροποποίηση 4549/2018, Άρθρο 111</w:t>
        </w:r>
      </w:hyperlink>
    </w:p>
  </w:footnote>
  <w:footnote w:id="4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0" w:anchor="art_111" w:history="1">
        <w:r>
          <w:rPr>
            <w:rStyle w:val="Hyperlink"/>
            <w:color w:val="0000EE"/>
            <w:u w:color="0000EE"/>
            <w:lang w:val="el" w:eastAsia="el"/>
          </w:rPr>
          <w:t>Τροποποίηση 4549/2018, Άρθρο 111</w:t>
        </w:r>
      </w:hyperlink>
    </w:p>
  </w:footnote>
  <w:footnote w:id="4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1" w:anchor="art_111" w:history="1">
        <w:r>
          <w:rPr>
            <w:rStyle w:val="Hyperlink"/>
            <w:color w:val="0000EE"/>
            <w:u w:color="0000EE"/>
            <w:lang w:val="el" w:eastAsia="el"/>
          </w:rPr>
          <w:t>Τροποποίηση 4549/2018, Άρθρο 111</w:t>
        </w:r>
      </w:hyperlink>
    </w:p>
  </w:footnote>
  <w:footnote w:id="4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2" w:anchor="art_111" w:history="1">
        <w:r>
          <w:rPr>
            <w:rStyle w:val="Hyperlink"/>
            <w:color w:val="0000EE"/>
            <w:u w:color="0000EE"/>
            <w:lang w:val="el" w:eastAsia="el"/>
          </w:rPr>
          <w:t>Τροποποίηση 4549/2018, Άρθρο 111</w:t>
        </w:r>
      </w:hyperlink>
    </w:p>
  </w:footnote>
  <w:footnote w:id="4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3" w:anchor="art_111" w:history="1">
        <w:r>
          <w:rPr>
            <w:rStyle w:val="Hyperlink"/>
            <w:color w:val="0000EE"/>
            <w:u w:color="0000EE"/>
            <w:lang w:val="el" w:eastAsia="el"/>
          </w:rPr>
          <w:t>Τροποποίηση 4549/2018, Άρθρο 111</w:t>
        </w:r>
      </w:hyperlink>
    </w:p>
  </w:footnote>
  <w:footnote w:id="4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4" w:anchor="art_111" w:history="1">
        <w:r>
          <w:rPr>
            <w:rStyle w:val="Hyperlink"/>
            <w:color w:val="0000EE"/>
            <w:u w:color="0000EE"/>
            <w:lang w:val="el" w:eastAsia="el"/>
          </w:rPr>
          <w:t>Τροποποίηση 4549/2018, Άρθρο 111</w:t>
        </w:r>
      </w:hyperlink>
    </w:p>
  </w:footnote>
  <w:footnote w:id="4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5" w:anchor="art_111" w:history="1">
        <w:r>
          <w:rPr>
            <w:rStyle w:val="Hyperlink"/>
            <w:color w:val="0000EE"/>
            <w:u w:color="0000EE"/>
            <w:lang w:val="el" w:eastAsia="el"/>
          </w:rPr>
          <w:t>Τροποποίηση 4549/2018, Άρθρο 111</w:t>
        </w:r>
      </w:hyperlink>
    </w:p>
  </w:footnote>
  <w:footnote w:id="4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6" w:anchor="art_111" w:history="1">
        <w:r>
          <w:rPr>
            <w:rStyle w:val="Hyperlink"/>
            <w:color w:val="0000EE"/>
            <w:u w:color="0000EE"/>
            <w:lang w:val="el" w:eastAsia="el"/>
          </w:rPr>
          <w:t>Τροποποίηση 4549/2018, Άρθρο 111</w:t>
        </w:r>
      </w:hyperlink>
    </w:p>
  </w:footnote>
  <w:footnote w:id="4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7" w:anchor="art_111" w:history="1">
        <w:r>
          <w:rPr>
            <w:rStyle w:val="Hyperlink"/>
            <w:color w:val="0000EE"/>
            <w:u w:color="0000EE"/>
            <w:lang w:val="el" w:eastAsia="el"/>
          </w:rPr>
          <w:t>Τροποποίηση 4549/2018, Άρθρο 111</w:t>
        </w:r>
      </w:hyperlink>
    </w:p>
  </w:footnote>
  <w:footnote w:id="4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8" w:anchor="art_111" w:history="1">
        <w:r>
          <w:rPr>
            <w:rStyle w:val="Hyperlink"/>
            <w:color w:val="0000EE"/>
            <w:u w:color="0000EE"/>
            <w:lang w:val="el" w:eastAsia="el"/>
          </w:rPr>
          <w:t>Τροποποίηση 4549/2018, Άρθρο 111</w:t>
        </w:r>
      </w:hyperlink>
      <w:r>
        <w:rPr>
          <w:lang w:val="el" w:eastAsia="el"/>
        </w:rPr>
        <w:t xml:space="preserve">; </w:t>
      </w:r>
      <w:hyperlink r:id="rId539" w:anchor="art_11" w:history="1">
        <w:r>
          <w:rPr>
            <w:rStyle w:val="Hyperlink"/>
            <w:color w:val="0000EE"/>
            <w:u w:color="0000EE"/>
            <w:lang w:val="el" w:eastAsia="el"/>
          </w:rPr>
          <w:t>Τροποποίηση 3052/2002, Άρθρο 11</w:t>
        </w:r>
      </w:hyperlink>
    </w:p>
  </w:footnote>
  <w:footnote w:id="4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0" w:anchor="art_111" w:history="1">
        <w:r>
          <w:rPr>
            <w:rStyle w:val="Hyperlink"/>
            <w:color w:val="0000EE"/>
            <w:u w:color="0000EE"/>
            <w:lang w:val="el" w:eastAsia="el"/>
          </w:rPr>
          <w:t>Τροποποίηση 4549/2018, Άρθρο 111</w:t>
        </w:r>
      </w:hyperlink>
      <w:r>
        <w:rPr>
          <w:lang w:val="el" w:eastAsia="el"/>
        </w:rPr>
        <w:t xml:space="preserve">; </w:t>
      </w:r>
      <w:hyperlink r:id="rId541" w:anchor="art_62" w:history="1">
        <w:r>
          <w:rPr>
            <w:rStyle w:val="Hyperlink"/>
            <w:color w:val="0000EE"/>
            <w:u w:color="0000EE"/>
            <w:lang w:val="el" w:eastAsia="el"/>
          </w:rPr>
          <w:t>Τροποποίηση 3842/2010, Άρθρο 62</w:t>
        </w:r>
      </w:hyperlink>
    </w:p>
  </w:footnote>
  <w:footnote w:id="4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2" w:anchor="art_111" w:history="1">
        <w:r>
          <w:rPr>
            <w:rStyle w:val="Hyperlink"/>
            <w:color w:val="0000EE"/>
            <w:u w:color="0000EE"/>
            <w:lang w:val="el" w:eastAsia="el"/>
          </w:rPr>
          <w:t>Τροποποίηση 4549/2018, Άρθρο 111</w:t>
        </w:r>
      </w:hyperlink>
      <w:r>
        <w:rPr>
          <w:lang w:val="el" w:eastAsia="el"/>
        </w:rPr>
        <w:t xml:space="preserve">; </w:t>
      </w:r>
      <w:hyperlink r:id="rId543" w:anchor="art_62" w:history="1">
        <w:r>
          <w:rPr>
            <w:rStyle w:val="Hyperlink"/>
            <w:color w:val="0000EE"/>
            <w:u w:color="0000EE"/>
            <w:lang w:val="el" w:eastAsia="el"/>
          </w:rPr>
          <w:t>Τροποποίηση 3842/2010, Άρθρο 62</w:t>
        </w:r>
      </w:hyperlink>
    </w:p>
  </w:footnote>
  <w:footnote w:id="4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4" w:anchor="art_27" w:history="1">
        <w:r>
          <w:rPr>
            <w:rStyle w:val="Hyperlink"/>
            <w:color w:val="0000EE"/>
            <w:u w:color="0000EE"/>
            <w:lang w:val="el" w:eastAsia="el"/>
          </w:rPr>
          <w:t>Τροποποίηση 3943/2011, Άρθρο 27</w:t>
        </w:r>
      </w:hyperlink>
      <w:r>
        <w:rPr>
          <w:lang w:val="el" w:eastAsia="el"/>
        </w:rPr>
        <w:t xml:space="preserve">; </w:t>
      </w:r>
      <w:hyperlink r:id="rId545" w:anchor="art_19" w:history="1">
        <w:r>
          <w:rPr>
            <w:rStyle w:val="Hyperlink"/>
            <w:color w:val="0000EE"/>
            <w:u w:color="0000EE"/>
            <w:lang w:val="el" w:eastAsia="el"/>
          </w:rPr>
          <w:t>Προσθήκη 3091/2002, Άρθρο 19</w:t>
        </w:r>
      </w:hyperlink>
    </w:p>
  </w:footnote>
  <w:footnote w:id="4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6" w:anchor="art_21" w:history="1">
        <w:r>
          <w:rPr>
            <w:rStyle w:val="Hyperlink"/>
            <w:color w:val="0000EE"/>
            <w:u w:color="0000EE"/>
            <w:lang w:val="el" w:eastAsia="el"/>
          </w:rPr>
          <w:t>Τροποποίηση 3522/2006, Άρθρο 21</w:t>
        </w:r>
      </w:hyperlink>
      <w:r>
        <w:rPr>
          <w:lang w:val="el" w:eastAsia="el"/>
        </w:rPr>
        <w:t xml:space="preserve">; </w:t>
      </w:r>
      <w:hyperlink r:id="rId547" w:anchor="art_19" w:history="1">
        <w:r>
          <w:rPr>
            <w:rStyle w:val="Hyperlink"/>
            <w:color w:val="0000EE"/>
            <w:u w:color="0000EE"/>
            <w:lang w:val="el" w:eastAsia="el"/>
          </w:rPr>
          <w:t>Προσθήκη 3091/2002, Άρθρο 19</w:t>
        </w:r>
      </w:hyperlink>
    </w:p>
  </w:footnote>
  <w:footnote w:id="4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8" w:anchor="art_21" w:history="1">
        <w:r>
          <w:rPr>
            <w:rStyle w:val="Hyperlink"/>
            <w:color w:val="0000EE"/>
            <w:u w:color="0000EE"/>
            <w:lang w:val="el" w:eastAsia="el"/>
          </w:rPr>
          <w:t>Τροποποίηση 3522/2006, Άρθρο 21</w:t>
        </w:r>
      </w:hyperlink>
      <w:r>
        <w:rPr>
          <w:lang w:val="el" w:eastAsia="el"/>
        </w:rPr>
        <w:t xml:space="preserve">; </w:t>
      </w:r>
      <w:hyperlink r:id="rId549" w:anchor="art_19" w:history="1">
        <w:r>
          <w:rPr>
            <w:rStyle w:val="Hyperlink"/>
            <w:color w:val="0000EE"/>
            <w:u w:color="0000EE"/>
            <w:lang w:val="el" w:eastAsia="el"/>
          </w:rPr>
          <w:t>Προσθήκη 3091/2002, Άρθρο 19</w:t>
        </w:r>
      </w:hyperlink>
    </w:p>
  </w:footnote>
  <w:footnote w:id="4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0" w:anchor="art_27" w:history="1">
        <w:r>
          <w:rPr>
            <w:rStyle w:val="Hyperlink"/>
            <w:color w:val="0000EE"/>
            <w:u w:color="0000EE"/>
            <w:lang w:val="el" w:eastAsia="el"/>
          </w:rPr>
          <w:t>Προσθήκη 3943/2011, Άρθρο 27</w:t>
        </w:r>
      </w:hyperlink>
    </w:p>
  </w:footnote>
  <w:footnote w:id="4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1" w:anchor="art_29" w:history="1">
        <w:r>
          <w:rPr>
            <w:rStyle w:val="Hyperlink"/>
            <w:color w:val="0000EE"/>
            <w:u w:color="0000EE"/>
            <w:lang w:val="el" w:eastAsia="el"/>
          </w:rPr>
          <w:t>Τροποποίηση 4351/2015, Άρθρο 29</w:t>
        </w:r>
      </w:hyperlink>
      <w:r>
        <w:rPr>
          <w:lang w:val="el" w:eastAsia="el"/>
        </w:rPr>
        <w:t xml:space="preserve">; </w:t>
      </w:r>
      <w:hyperlink r:id="rId552" w:anchor="art_20" w:history="1">
        <w:r>
          <w:rPr>
            <w:rStyle w:val="Hyperlink"/>
            <w:color w:val="0000EE"/>
            <w:u w:color="0000EE"/>
            <w:lang w:val="el" w:eastAsia="el"/>
          </w:rPr>
          <w:t>Προσθήκη 4339/2015, Άρθρο 20</w:t>
        </w:r>
      </w:hyperlink>
      <w:r>
        <w:rPr>
          <w:lang w:val="el" w:eastAsia="el"/>
        </w:rPr>
        <w:t xml:space="preserve">; </w:t>
      </w:r>
      <w:hyperlink r:id="rId553" w:anchor="art_1" w:history="1">
        <w:r>
          <w:rPr>
            <w:rStyle w:val="Hyperlink"/>
            <w:color w:val="0000EE"/>
            <w:u w:color="0000EE"/>
            <w:lang w:val="el" w:eastAsia="el"/>
          </w:rPr>
          <w:t>Προσθήκη 4281/2014, Άρθρο 1</w:t>
        </w:r>
      </w:hyperlink>
    </w:p>
  </w:footnote>
  <w:footnote w:id="4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4" w:anchor="art_67" w:history="1">
        <w:r>
          <w:rPr>
            <w:rStyle w:val="Hyperlink"/>
            <w:color w:val="0000EE"/>
            <w:u w:color="0000EE"/>
            <w:lang w:val="el" w:eastAsia="el"/>
          </w:rPr>
          <w:t>Προσθήκη 4484/2017, Άρθρο 67</w:t>
        </w:r>
      </w:hyperlink>
    </w:p>
  </w:footnote>
  <w:footnote w:id="4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5" w:anchor="art_67" w:history="1">
        <w:r>
          <w:rPr>
            <w:rStyle w:val="Hyperlink"/>
            <w:color w:val="0000EE"/>
            <w:u w:color="0000EE"/>
            <w:lang w:val="el" w:eastAsia="el"/>
          </w:rPr>
          <w:t>Προσθήκη 4484/2017, Άρθρο 67</w:t>
        </w:r>
      </w:hyperlink>
    </w:p>
  </w:footnote>
  <w:footnote w:id="4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6" w:anchor="art_185" w:history="1">
        <w:r>
          <w:rPr>
            <w:rStyle w:val="Hyperlink"/>
            <w:color w:val="0000EE"/>
            <w:u w:color="0000EE"/>
            <w:lang w:val="el" w:eastAsia="el"/>
          </w:rPr>
          <w:t>Προσθήκη 4261/2014, Άρθρο 185</w:t>
        </w:r>
      </w:hyperlink>
    </w:p>
  </w:footnote>
  <w:footnote w:id="4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7" w:anchor="art_101" w:history="1">
        <w:r>
          <w:rPr>
            <w:rStyle w:val="Hyperlink"/>
            <w:color w:val="0000EE"/>
            <w:u w:color="0000EE"/>
            <w:lang w:val="el" w:eastAsia="el"/>
          </w:rPr>
          <w:t>Τροποποίηση 4446/2016, Άρθρο 101</w:t>
        </w:r>
      </w:hyperlink>
    </w:p>
  </w:footnote>
  <w:footnote w:id="4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8" w:anchor="art_185" w:history="1">
        <w:r>
          <w:rPr>
            <w:rStyle w:val="Hyperlink"/>
            <w:color w:val="0000EE"/>
            <w:u w:color="0000EE"/>
            <w:lang w:val="el" w:eastAsia="el"/>
          </w:rPr>
          <w:t>Προσθήκη 4261/2014, Άρθρο 185</w:t>
        </w:r>
      </w:hyperlink>
    </w:p>
  </w:footnote>
  <w:footnote w:id="4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9" w:anchor="art_101" w:history="1">
        <w:r>
          <w:rPr>
            <w:rStyle w:val="Hyperlink"/>
            <w:color w:val="0000EE"/>
            <w:u w:color="0000EE"/>
            <w:lang w:val="el" w:eastAsia="el"/>
          </w:rPr>
          <w:t>Προσθήκη 4446/2016, Άρθρο 101</w:t>
        </w:r>
      </w:hyperlink>
    </w:p>
  </w:footnote>
  <w:footnote w:id="4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0" w:anchor="art_185" w:history="1">
        <w:r>
          <w:rPr>
            <w:rStyle w:val="Hyperlink"/>
            <w:color w:val="0000EE"/>
            <w:u w:color="0000EE"/>
            <w:lang w:val="el" w:eastAsia="el"/>
          </w:rPr>
          <w:t>Προσθήκη 4261/2014, Άρθρο 185</w:t>
        </w:r>
      </w:hyperlink>
    </w:p>
  </w:footnote>
  <w:footnote w:id="4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1" w:anchor="art_101" w:history="1">
        <w:r>
          <w:rPr>
            <w:rStyle w:val="Hyperlink"/>
            <w:color w:val="0000EE"/>
            <w:u w:color="0000EE"/>
            <w:lang w:val="el" w:eastAsia="el"/>
          </w:rPr>
          <w:t>Τροποποίηση 4446/2016, Άρθρο 101</w:t>
        </w:r>
      </w:hyperlink>
    </w:p>
  </w:footnote>
  <w:footnote w:id="4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2" w:anchor="art_185" w:history="1">
        <w:r>
          <w:rPr>
            <w:rStyle w:val="Hyperlink"/>
            <w:color w:val="0000EE"/>
            <w:u w:color="0000EE"/>
            <w:lang w:val="el" w:eastAsia="el"/>
          </w:rPr>
          <w:t>Προσθήκη 4261/2014, Άρθρο 185</w:t>
        </w:r>
      </w:hyperlink>
    </w:p>
  </w:footnote>
  <w:footnote w:id="4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3" w:anchor="art_101" w:history="1">
        <w:r>
          <w:rPr>
            <w:rStyle w:val="Hyperlink"/>
            <w:color w:val="0000EE"/>
            <w:u w:color="0000EE"/>
            <w:lang w:val="el" w:eastAsia="el"/>
          </w:rPr>
          <w:t>Τροποποίηση 4446/2016, Άρθρο 101</w:t>
        </w:r>
      </w:hyperlink>
      <w:r>
        <w:rPr>
          <w:lang w:val="el" w:eastAsia="el"/>
        </w:rPr>
        <w:t xml:space="preserve">; </w:t>
      </w:r>
      <w:hyperlink r:id="rId564" w:anchor="art_185" w:history="1">
        <w:r>
          <w:rPr>
            <w:rStyle w:val="Hyperlink"/>
            <w:color w:val="0000EE"/>
            <w:u w:color="0000EE"/>
            <w:lang w:val="el" w:eastAsia="el"/>
          </w:rPr>
          <w:t>Προσθήκη 4261/2014, Άρθρο 185</w:t>
        </w:r>
      </w:hyperlink>
    </w:p>
  </w:footnote>
  <w:footnote w:id="4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5" w:anchor="art_101" w:history="1">
        <w:r>
          <w:rPr>
            <w:rStyle w:val="Hyperlink"/>
            <w:color w:val="0000EE"/>
            <w:u w:color="0000EE"/>
            <w:lang w:val="el" w:eastAsia="el"/>
          </w:rPr>
          <w:t>Τροποποίηση 4446/2016, Άρθρο 101</w:t>
        </w:r>
      </w:hyperlink>
      <w:r>
        <w:rPr>
          <w:lang w:val="el" w:eastAsia="el"/>
        </w:rPr>
        <w:t xml:space="preserve">; </w:t>
      </w:r>
      <w:hyperlink r:id="rId566" w:anchor="art_185" w:history="1">
        <w:r>
          <w:rPr>
            <w:rStyle w:val="Hyperlink"/>
            <w:color w:val="0000EE"/>
            <w:u w:color="0000EE"/>
            <w:lang w:val="el" w:eastAsia="el"/>
          </w:rPr>
          <w:t>Προσθήκη 4261/2014, Άρθρο 185</w:t>
        </w:r>
      </w:hyperlink>
    </w:p>
  </w:footnote>
  <w:footnote w:id="4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7" w:anchor="art_185" w:history="1">
        <w:r>
          <w:rPr>
            <w:rStyle w:val="Hyperlink"/>
            <w:color w:val="0000EE"/>
            <w:u w:color="0000EE"/>
            <w:lang w:val="el" w:eastAsia="el"/>
          </w:rPr>
          <w:t>Προσθήκη 4261/2014, Άρθρο 185</w:t>
        </w:r>
      </w:hyperlink>
    </w:p>
  </w:footnote>
  <w:footnote w:id="4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8" w:anchor="art_185" w:history="1">
        <w:r>
          <w:rPr>
            <w:rStyle w:val="Hyperlink"/>
            <w:color w:val="0000EE"/>
            <w:u w:color="0000EE"/>
            <w:lang w:val="el" w:eastAsia="el"/>
          </w:rPr>
          <w:t>Προσθήκη 4261/2014, Άρθρο 185</w:t>
        </w:r>
      </w:hyperlink>
    </w:p>
  </w:footnote>
  <w:footnote w:id="4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9" w:anchor="art_101" w:history="1">
        <w:r>
          <w:rPr>
            <w:rStyle w:val="Hyperlink"/>
            <w:color w:val="0000EE"/>
            <w:u w:color="0000EE"/>
            <w:lang w:val="el" w:eastAsia="el"/>
          </w:rPr>
          <w:t>Τροποποίηση 4446/2016, Άρθρο 101</w:t>
        </w:r>
      </w:hyperlink>
      <w:r>
        <w:rPr>
          <w:lang w:val="el" w:eastAsia="el"/>
        </w:rPr>
        <w:t xml:space="preserve">; </w:t>
      </w:r>
      <w:hyperlink r:id="rId570" w:anchor="art_185" w:history="1">
        <w:r>
          <w:rPr>
            <w:rStyle w:val="Hyperlink"/>
            <w:color w:val="0000EE"/>
            <w:u w:color="0000EE"/>
            <w:lang w:val="el" w:eastAsia="el"/>
          </w:rPr>
          <w:t>Προσθήκη 4261/2014, Άρθρο 185</w:t>
        </w:r>
      </w:hyperlink>
    </w:p>
  </w:footnote>
  <w:footnote w:id="4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1" w:anchor="art_185" w:history="1">
        <w:r>
          <w:rPr>
            <w:rStyle w:val="Hyperlink"/>
            <w:color w:val="0000EE"/>
            <w:u w:color="0000EE"/>
            <w:lang w:val="el" w:eastAsia="el"/>
          </w:rPr>
          <w:t>Προσθήκη 4261/2014, Άρθρο 185</w:t>
        </w:r>
      </w:hyperlink>
    </w:p>
  </w:footnote>
  <w:footnote w:id="4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2" w:anchor="art_11" w:history="1">
        <w:r>
          <w:rPr>
            <w:rStyle w:val="Hyperlink"/>
            <w:color w:val="0000EE"/>
            <w:u w:color="0000EE"/>
            <w:lang w:val="el" w:eastAsia="el"/>
          </w:rPr>
          <w:t>Τροποποίηση 3052/2002, Άρθρο 11</w:t>
        </w:r>
      </w:hyperlink>
    </w:p>
  </w:footnote>
  <w:footnote w:id="4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3" w:anchor="art_3" w:history="1">
        <w:r>
          <w:rPr>
            <w:rStyle w:val="Hyperlink"/>
            <w:color w:val="0000EE"/>
            <w:u w:color="0000EE"/>
            <w:lang w:val="el" w:eastAsia="el"/>
          </w:rPr>
          <w:t>Τροποποίηση 4254/2014, Άρθρο 3</w:t>
        </w:r>
      </w:hyperlink>
    </w:p>
  </w:footnote>
  <w:footnote w:id="4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4" w:anchor="art_16" w:history="1">
        <w:r>
          <w:rPr>
            <w:rStyle w:val="Hyperlink"/>
            <w:color w:val="0000EE"/>
            <w:u w:color="0000EE"/>
            <w:lang w:val="el" w:eastAsia="el"/>
          </w:rPr>
          <w:t>Τροποποίηση 4467/2017, Άρθρο 16</w:t>
        </w:r>
      </w:hyperlink>
      <w:r>
        <w:rPr>
          <w:lang w:val="el" w:eastAsia="el"/>
        </w:rPr>
        <w:t xml:space="preserve">; </w:t>
      </w:r>
      <w:hyperlink r:id="rId575" w:anchor="art_47" w:history="1">
        <w:r>
          <w:rPr>
            <w:rStyle w:val="Hyperlink"/>
            <w:color w:val="0000EE"/>
            <w:u w:color="0000EE"/>
            <w:lang w:val="el" w:eastAsia="el"/>
          </w:rPr>
          <w:t>Τροποποίηση 4410/2016, Άρθρο 47</w:t>
        </w:r>
      </w:hyperlink>
      <w:r>
        <w:rPr>
          <w:lang w:val="el" w:eastAsia="el"/>
        </w:rPr>
        <w:t xml:space="preserve">; </w:t>
      </w:r>
      <w:hyperlink r:id="rId576" w:anchor="art_3" w:history="1">
        <w:r>
          <w:rPr>
            <w:rStyle w:val="Hyperlink"/>
            <w:color w:val="0000EE"/>
            <w:u w:color="0000EE"/>
            <w:lang w:val="el" w:eastAsia="el"/>
          </w:rPr>
          <w:t>Τροποποίηση 4254/2014, Άρθρο 3</w:t>
        </w:r>
      </w:hyperlink>
    </w:p>
  </w:footnote>
  <w:footnote w:id="4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7" w:anchor="art_47" w:history="1">
        <w:r>
          <w:rPr>
            <w:rStyle w:val="Hyperlink"/>
            <w:color w:val="0000EE"/>
            <w:u w:color="0000EE"/>
            <w:lang w:val="el" w:eastAsia="el"/>
          </w:rPr>
          <w:t>Τροποποίηση 4410/2016, Άρθρο 47</w:t>
        </w:r>
      </w:hyperlink>
      <w:r>
        <w:rPr>
          <w:lang w:val="el" w:eastAsia="el"/>
        </w:rPr>
        <w:t xml:space="preserve">; </w:t>
      </w:r>
      <w:hyperlink r:id="rId578" w:anchor="art_3" w:history="1">
        <w:r>
          <w:rPr>
            <w:rStyle w:val="Hyperlink"/>
            <w:color w:val="0000EE"/>
            <w:u w:color="0000EE"/>
            <w:lang w:val="el" w:eastAsia="el"/>
          </w:rPr>
          <w:t>Τροποποίηση 4254/2014, Άρθρο 3</w:t>
        </w:r>
      </w:hyperlink>
      <w:r>
        <w:rPr>
          <w:lang w:val="el" w:eastAsia="el"/>
        </w:rPr>
        <w:t xml:space="preserve">; </w:t>
      </w:r>
      <w:hyperlink r:id="rId579" w:anchor="art_62" w:history="1">
        <w:r>
          <w:rPr>
            <w:rStyle w:val="Hyperlink"/>
            <w:color w:val="0000EE"/>
            <w:u w:color="0000EE"/>
            <w:lang w:val="el" w:eastAsia="el"/>
          </w:rPr>
          <w:t>Τροποποίηση 3842/2010, Άρθρο 62</w:t>
        </w:r>
      </w:hyperlink>
      <w:r>
        <w:rPr>
          <w:lang w:val="el" w:eastAsia="el"/>
        </w:rPr>
        <w:t xml:space="preserve">; </w:t>
      </w:r>
      <w:hyperlink r:id="rId580" w:anchor="art_6" w:history="1">
        <w:r>
          <w:rPr>
            <w:rStyle w:val="Hyperlink"/>
            <w:color w:val="0000EE"/>
            <w:u w:color="0000EE"/>
            <w:lang w:val="el" w:eastAsia="el"/>
          </w:rPr>
          <w:t>Τροποποίηση 3554/2007, Άρθρο 6</w:t>
        </w:r>
      </w:hyperlink>
      <w:r>
        <w:rPr>
          <w:lang w:val="el" w:eastAsia="el"/>
        </w:rPr>
        <w:t xml:space="preserve">; </w:t>
      </w:r>
      <w:hyperlink r:id="rId581" w:anchor="art_6" w:history="1">
        <w:r>
          <w:rPr>
            <w:rStyle w:val="Hyperlink"/>
            <w:color w:val="0000EE"/>
            <w:u w:color="0000EE"/>
            <w:lang w:val="el" w:eastAsia="el"/>
          </w:rPr>
          <w:t>Αφαίρεση 3522/2006, Άρθρο 6</w:t>
        </w:r>
      </w:hyperlink>
    </w:p>
  </w:footnote>
  <w:footnote w:id="4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2" w:anchor="art_47" w:history="1">
        <w:r>
          <w:rPr>
            <w:rStyle w:val="Hyperlink"/>
            <w:color w:val="0000EE"/>
            <w:u w:color="0000EE"/>
            <w:lang w:val="el" w:eastAsia="el"/>
          </w:rPr>
          <w:t>Τροποποίηση 4410/2016, Άρθρο 47</w:t>
        </w:r>
      </w:hyperlink>
      <w:r>
        <w:rPr>
          <w:lang w:val="el" w:eastAsia="el"/>
        </w:rPr>
        <w:t xml:space="preserve">; </w:t>
      </w:r>
      <w:hyperlink r:id="rId583" w:anchor="art_3" w:history="1">
        <w:r>
          <w:rPr>
            <w:rStyle w:val="Hyperlink"/>
            <w:color w:val="0000EE"/>
            <w:u w:color="0000EE"/>
            <w:lang w:val="el" w:eastAsia="el"/>
          </w:rPr>
          <w:t>Τροποποίηση 4254/2014, Άρθρο 3</w:t>
        </w:r>
      </w:hyperlink>
      <w:r>
        <w:rPr>
          <w:lang w:val="el" w:eastAsia="el"/>
        </w:rPr>
        <w:t xml:space="preserve">; </w:t>
      </w:r>
      <w:hyperlink r:id="rId584" w:anchor="art_62" w:history="1">
        <w:r>
          <w:rPr>
            <w:rStyle w:val="Hyperlink"/>
            <w:color w:val="0000EE"/>
            <w:u w:color="0000EE"/>
            <w:lang w:val="el" w:eastAsia="el"/>
          </w:rPr>
          <w:t>Τροποποίηση 3842/2010, Άρθρο 62</w:t>
        </w:r>
      </w:hyperlink>
    </w:p>
  </w:footnote>
  <w:footnote w:id="4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5" w:anchor="art_47" w:history="1">
        <w:r>
          <w:rPr>
            <w:rStyle w:val="Hyperlink"/>
            <w:color w:val="0000EE"/>
            <w:u w:color="0000EE"/>
            <w:lang w:val="el" w:eastAsia="el"/>
          </w:rPr>
          <w:t>Τροποποίηση 4410/2016, Άρθρο 47</w:t>
        </w:r>
      </w:hyperlink>
      <w:r>
        <w:rPr>
          <w:lang w:val="el" w:eastAsia="el"/>
        </w:rPr>
        <w:t xml:space="preserve">; </w:t>
      </w:r>
      <w:hyperlink r:id="rId586" w:anchor="art_3" w:history="1">
        <w:r>
          <w:rPr>
            <w:rStyle w:val="Hyperlink"/>
            <w:color w:val="0000EE"/>
            <w:u w:color="0000EE"/>
            <w:lang w:val="el" w:eastAsia="el"/>
          </w:rPr>
          <w:t>Τροποποίηση 4254/2014, Άρθρο 3</w:t>
        </w:r>
      </w:hyperlink>
      <w:r>
        <w:rPr>
          <w:lang w:val="el" w:eastAsia="el"/>
        </w:rPr>
        <w:t xml:space="preserve">; </w:t>
      </w:r>
      <w:hyperlink r:id="rId587" w:anchor="art_27" w:history="1">
        <w:r>
          <w:rPr>
            <w:rStyle w:val="Hyperlink"/>
            <w:color w:val="0000EE"/>
            <w:u w:color="0000EE"/>
            <w:lang w:val="el" w:eastAsia="el"/>
          </w:rPr>
          <w:t>Τροποποίηση 3943/2011, Άρθρο 27</w:t>
        </w:r>
      </w:hyperlink>
      <w:r>
        <w:rPr>
          <w:lang w:val="el" w:eastAsia="el"/>
        </w:rPr>
        <w:t xml:space="preserve">; </w:t>
      </w:r>
      <w:hyperlink r:id="rId588" w:anchor="art_62" w:history="1">
        <w:r>
          <w:rPr>
            <w:rStyle w:val="Hyperlink"/>
            <w:color w:val="0000EE"/>
            <w:u w:color="0000EE"/>
            <w:lang w:val="el" w:eastAsia="el"/>
          </w:rPr>
          <w:t>Τροποποίηση 3842/2010, Άρθρο 62</w:t>
        </w:r>
      </w:hyperlink>
    </w:p>
  </w:footnote>
  <w:footnote w:id="4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9" w:anchor="art_47" w:history="1">
        <w:r>
          <w:rPr>
            <w:rStyle w:val="Hyperlink"/>
            <w:color w:val="0000EE"/>
            <w:u w:color="0000EE"/>
            <w:lang w:val="el" w:eastAsia="el"/>
          </w:rPr>
          <w:t>Τροποποίηση 4410/2016, Άρθρο 47</w:t>
        </w:r>
      </w:hyperlink>
    </w:p>
  </w:footnote>
  <w:footnote w:id="4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0" w:anchor="art_47" w:history="1">
        <w:r>
          <w:rPr>
            <w:rStyle w:val="Hyperlink"/>
            <w:color w:val="0000EE"/>
            <w:u w:color="0000EE"/>
            <w:lang w:val="el" w:eastAsia="el"/>
          </w:rPr>
          <w:t>Τροποποίηση 4410/2016, Άρθρο 47</w:t>
        </w:r>
      </w:hyperlink>
    </w:p>
  </w:footnote>
  <w:footnote w:id="4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1" w:anchor="art_47" w:history="1">
        <w:r>
          <w:rPr>
            <w:rStyle w:val="Hyperlink"/>
            <w:color w:val="0000EE"/>
            <w:u w:color="0000EE"/>
            <w:lang w:val="el" w:eastAsia="el"/>
          </w:rPr>
          <w:t>Τροποποίηση 4410/2016, Άρθρο 47</w:t>
        </w:r>
      </w:hyperlink>
      <w:r>
        <w:rPr>
          <w:lang w:val="el" w:eastAsia="el"/>
        </w:rPr>
        <w:t xml:space="preserve">; </w:t>
      </w:r>
      <w:hyperlink r:id="rId592" w:anchor="art_3" w:history="1">
        <w:r>
          <w:rPr>
            <w:rStyle w:val="Hyperlink"/>
            <w:color w:val="0000EE"/>
            <w:u w:color="0000EE"/>
            <w:lang w:val="el" w:eastAsia="el"/>
          </w:rPr>
          <w:t>Τροποποίηση 4254/2014, Άρθρο 3</w:t>
        </w:r>
      </w:hyperlink>
      <w:r>
        <w:rPr>
          <w:lang w:val="el" w:eastAsia="el"/>
        </w:rPr>
        <w:t xml:space="preserve">; </w:t>
      </w:r>
      <w:hyperlink r:id="rId593" w:anchor="art_62" w:history="1">
        <w:r>
          <w:rPr>
            <w:rStyle w:val="Hyperlink"/>
            <w:color w:val="0000EE"/>
            <w:u w:color="0000EE"/>
            <w:lang w:val="el" w:eastAsia="el"/>
          </w:rPr>
          <w:t>Τροποποίηση 3842/2010, Άρθρο 62</w:t>
        </w:r>
      </w:hyperlink>
    </w:p>
  </w:footnote>
  <w:footnote w:id="4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4" w:anchor="art_47" w:history="1">
        <w:r>
          <w:rPr>
            <w:rStyle w:val="Hyperlink"/>
            <w:color w:val="0000EE"/>
            <w:u w:color="0000EE"/>
            <w:lang w:val="el" w:eastAsia="el"/>
          </w:rPr>
          <w:t>Τροποποίηση 4410/2016, Άρθρο 47</w:t>
        </w:r>
      </w:hyperlink>
    </w:p>
  </w:footnote>
  <w:footnote w:id="4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5" w:anchor="art_47" w:history="1">
        <w:r>
          <w:rPr>
            <w:rStyle w:val="Hyperlink"/>
            <w:color w:val="0000EE"/>
            <w:u w:color="0000EE"/>
            <w:lang w:val="el" w:eastAsia="el"/>
          </w:rPr>
          <w:t>Τροποποίηση 4410/2016, Άρθρο 47</w:t>
        </w:r>
      </w:hyperlink>
    </w:p>
  </w:footnote>
  <w:footnote w:id="4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6" w:anchor="art_47" w:history="1">
        <w:r>
          <w:rPr>
            <w:rStyle w:val="Hyperlink"/>
            <w:color w:val="0000EE"/>
            <w:u w:color="0000EE"/>
            <w:lang w:val="el" w:eastAsia="el"/>
          </w:rPr>
          <w:t>Τροποποίηση 4410/2016, Άρθρο 47</w:t>
        </w:r>
      </w:hyperlink>
    </w:p>
  </w:footnote>
  <w:footnote w:id="4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7" w:anchor="art_34" w:history="1">
        <w:r>
          <w:rPr>
            <w:rStyle w:val="Hyperlink"/>
            <w:color w:val="0000EE"/>
            <w:u w:color="0000EE"/>
            <w:lang w:val="el" w:eastAsia="el"/>
          </w:rPr>
          <w:t>Τροποποίηση 4772/2021, Άρθρο 34</w:t>
        </w:r>
      </w:hyperlink>
      <w:r>
        <w:rPr>
          <w:lang w:val="el" w:eastAsia="el"/>
        </w:rPr>
        <w:t xml:space="preserve">; </w:t>
      </w:r>
      <w:hyperlink r:id="rId598" w:anchor="art_47" w:history="1">
        <w:r>
          <w:rPr>
            <w:rStyle w:val="Hyperlink"/>
            <w:color w:val="0000EE"/>
            <w:u w:color="0000EE"/>
            <w:lang w:val="el" w:eastAsia="el"/>
          </w:rPr>
          <w:t>Τροποποίηση 4410/2016, Άρθρο 47</w:t>
        </w:r>
      </w:hyperlink>
      <w:r>
        <w:rPr>
          <w:lang w:val="el" w:eastAsia="el"/>
        </w:rPr>
        <w:t xml:space="preserve">; </w:t>
      </w:r>
      <w:hyperlink r:id="rId599" w:anchor="art_62" w:history="1">
        <w:r>
          <w:rPr>
            <w:rStyle w:val="Hyperlink"/>
            <w:color w:val="0000EE"/>
            <w:u w:color="0000EE"/>
            <w:lang w:val="el" w:eastAsia="el"/>
          </w:rPr>
          <w:t>Αφαίρεση 3842/2010, Άρθρο 62</w:t>
        </w:r>
      </w:hyperlink>
    </w:p>
  </w:footnote>
  <w:footnote w:id="4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0" w:anchor="art_47" w:history="1">
        <w:r>
          <w:rPr>
            <w:rStyle w:val="Hyperlink"/>
            <w:color w:val="0000EE"/>
            <w:u w:color="0000EE"/>
            <w:lang w:val="el" w:eastAsia="el"/>
          </w:rPr>
          <w:t>Τροποποίηση 4410/2016, Άρθρο 47</w:t>
        </w:r>
      </w:hyperlink>
    </w:p>
  </w:footnote>
  <w:footnote w:id="4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1" w:anchor="art_47" w:history="1">
        <w:r>
          <w:rPr>
            <w:rStyle w:val="Hyperlink"/>
            <w:color w:val="0000EE"/>
            <w:u w:color="0000EE"/>
            <w:lang w:val="el" w:eastAsia="el"/>
          </w:rPr>
          <w:t>Τροποποίηση 4410/2016, Άρθρο 47</w:t>
        </w:r>
      </w:hyperlink>
    </w:p>
  </w:footnote>
  <w:footnote w:id="4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2" w:anchor="art_47" w:history="1">
        <w:r>
          <w:rPr>
            <w:rStyle w:val="Hyperlink"/>
            <w:color w:val="0000EE"/>
            <w:u w:color="0000EE"/>
            <w:lang w:val="el" w:eastAsia="el"/>
          </w:rPr>
          <w:t>Τροποποίηση 4410/2016, Άρθρο 47</w:t>
        </w:r>
      </w:hyperlink>
    </w:p>
  </w:footnote>
  <w:footnote w:id="4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3" w:anchor="art_47" w:history="1">
        <w:r>
          <w:rPr>
            <w:rStyle w:val="Hyperlink"/>
            <w:color w:val="0000EE"/>
            <w:u w:color="0000EE"/>
            <w:lang w:val="el" w:eastAsia="el"/>
          </w:rPr>
          <w:t>Τροποποίηση 4410/2016, Άρθρο 47</w:t>
        </w:r>
      </w:hyperlink>
    </w:p>
  </w:footnote>
  <w:footnote w:id="4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4" w:anchor="art_47" w:history="1">
        <w:r>
          <w:rPr>
            <w:rStyle w:val="Hyperlink"/>
            <w:color w:val="0000EE"/>
            <w:u w:color="0000EE"/>
            <w:lang w:val="el" w:eastAsia="el"/>
          </w:rPr>
          <w:t>Τροποποίηση 4410/2016, Άρθρο 47</w:t>
        </w:r>
      </w:hyperlink>
      <w:r>
        <w:rPr>
          <w:lang w:val="el" w:eastAsia="el"/>
        </w:rPr>
        <w:t xml:space="preserve">; </w:t>
      </w:r>
      <w:hyperlink r:id="rId605" w:anchor="art_3" w:history="1">
        <w:r>
          <w:rPr>
            <w:rStyle w:val="Hyperlink"/>
            <w:color w:val="0000EE"/>
            <w:u w:color="0000EE"/>
            <w:lang w:val="el" w:eastAsia="el"/>
          </w:rPr>
          <w:t>Τροποποίηση 4254/2014, Άρθρο 3</w:t>
        </w:r>
      </w:hyperlink>
      <w:r>
        <w:rPr>
          <w:lang w:val="el" w:eastAsia="el"/>
        </w:rPr>
        <w:t xml:space="preserve">; </w:t>
      </w:r>
      <w:hyperlink r:id="rId606" w:anchor="art_21" w:history="1">
        <w:r>
          <w:rPr>
            <w:rStyle w:val="Hyperlink"/>
            <w:color w:val="0000EE"/>
            <w:u w:color="0000EE"/>
            <w:lang w:val="el" w:eastAsia="el"/>
          </w:rPr>
          <w:t>Τροποποίηση 3610/2007, Άρθρο 21</w:t>
        </w:r>
      </w:hyperlink>
      <w:r>
        <w:rPr>
          <w:lang w:val="el" w:eastAsia="el"/>
        </w:rPr>
        <w:t xml:space="preserve">; </w:t>
      </w:r>
      <w:hyperlink r:id="rId607" w:anchor="art_11" w:history="1">
        <w:r>
          <w:rPr>
            <w:rStyle w:val="Hyperlink"/>
            <w:color w:val="0000EE"/>
            <w:u w:color="0000EE"/>
            <w:lang w:val="el" w:eastAsia="el"/>
          </w:rPr>
          <w:t>Τροποποίηση 3052/2002, Άρθρο 11</w:t>
        </w:r>
      </w:hyperlink>
    </w:p>
  </w:footnote>
  <w:footnote w:id="4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8" w:anchor="art_47" w:history="1">
        <w:r>
          <w:rPr>
            <w:rStyle w:val="Hyperlink"/>
            <w:color w:val="0000EE"/>
            <w:u w:color="0000EE"/>
            <w:lang w:val="el" w:eastAsia="el"/>
          </w:rPr>
          <w:t>Τροποποίηση 4410/2016, Άρθρο 47</w:t>
        </w:r>
      </w:hyperlink>
    </w:p>
  </w:footnote>
  <w:footnote w:id="4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9" w:anchor="art_47" w:history="1">
        <w:r>
          <w:rPr>
            <w:rStyle w:val="Hyperlink"/>
            <w:color w:val="0000EE"/>
            <w:u w:color="0000EE"/>
            <w:lang w:val="el" w:eastAsia="el"/>
          </w:rPr>
          <w:t>Τροποποίηση 4410/2016, Άρθρο 47</w:t>
        </w:r>
      </w:hyperlink>
    </w:p>
  </w:footnote>
  <w:footnote w:id="4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0" w:anchor="art_47" w:history="1">
        <w:r>
          <w:rPr>
            <w:rStyle w:val="Hyperlink"/>
            <w:color w:val="0000EE"/>
            <w:u w:color="0000EE"/>
            <w:lang w:val="el" w:eastAsia="el"/>
          </w:rPr>
          <w:t>Τροποποίηση 4410/2016, Άρθρο 47</w:t>
        </w:r>
      </w:hyperlink>
    </w:p>
  </w:footnote>
  <w:footnote w:id="4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1" w:anchor="art_47" w:history="1">
        <w:r>
          <w:rPr>
            <w:rStyle w:val="Hyperlink"/>
            <w:color w:val="0000EE"/>
            <w:u w:color="0000EE"/>
            <w:lang w:val="el" w:eastAsia="el"/>
          </w:rPr>
          <w:t>Τροποποίηση 4410/2016, Άρθρο 47</w:t>
        </w:r>
      </w:hyperlink>
    </w:p>
  </w:footnote>
  <w:footnote w:id="4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2" w:anchor="art_47" w:history="1">
        <w:r>
          <w:rPr>
            <w:rStyle w:val="Hyperlink"/>
            <w:color w:val="0000EE"/>
            <w:u w:color="0000EE"/>
            <w:lang w:val="el" w:eastAsia="el"/>
          </w:rPr>
          <w:t>Τροποποίηση 4410/2016, Άρθρο 47</w:t>
        </w:r>
      </w:hyperlink>
    </w:p>
  </w:footnote>
  <w:footnote w:id="4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3" w:anchor="art_47" w:history="1">
        <w:r>
          <w:rPr>
            <w:rStyle w:val="Hyperlink"/>
            <w:color w:val="0000EE"/>
            <w:u w:color="0000EE"/>
            <w:lang w:val="el" w:eastAsia="el"/>
          </w:rPr>
          <w:t>Τροποποίηση 4410/2016, Άρθρο 47</w:t>
        </w:r>
      </w:hyperlink>
      <w:r>
        <w:rPr>
          <w:lang w:val="el" w:eastAsia="el"/>
        </w:rPr>
        <w:t xml:space="preserve">; </w:t>
      </w:r>
      <w:hyperlink r:id="rId614" w:anchor="art_3" w:history="1">
        <w:r>
          <w:rPr>
            <w:rStyle w:val="Hyperlink"/>
            <w:color w:val="0000EE"/>
            <w:u w:color="0000EE"/>
            <w:lang w:val="el" w:eastAsia="el"/>
          </w:rPr>
          <w:t>Τροποποίηση 4254/2014, Άρθρο 3</w:t>
        </w:r>
      </w:hyperlink>
    </w:p>
  </w:footnote>
  <w:footnote w:id="4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5" w:anchor="art_47" w:history="1">
        <w:r>
          <w:rPr>
            <w:rStyle w:val="Hyperlink"/>
            <w:color w:val="0000EE"/>
            <w:u w:color="0000EE"/>
            <w:lang w:val="el" w:eastAsia="el"/>
          </w:rPr>
          <w:t>Τροποποίηση 4410/2016, Άρθρο 47</w:t>
        </w:r>
      </w:hyperlink>
    </w:p>
  </w:footnote>
  <w:footnote w:id="4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6" w:anchor="art_47" w:history="1">
        <w:r>
          <w:rPr>
            <w:rStyle w:val="Hyperlink"/>
            <w:color w:val="0000EE"/>
            <w:u w:color="0000EE"/>
            <w:lang w:val="el" w:eastAsia="el"/>
          </w:rPr>
          <w:t>Τροποποίηση 4410/2016, Άρθρο 47</w:t>
        </w:r>
      </w:hyperlink>
    </w:p>
  </w:footnote>
  <w:footnote w:id="4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7" w:anchor="art_47" w:history="1">
        <w:r>
          <w:rPr>
            <w:rStyle w:val="Hyperlink"/>
            <w:color w:val="0000EE"/>
            <w:u w:color="0000EE"/>
            <w:lang w:val="el" w:eastAsia="el"/>
          </w:rPr>
          <w:t>Τροποποίηση 4410/2016, Άρθρο 47</w:t>
        </w:r>
      </w:hyperlink>
      <w:r>
        <w:rPr>
          <w:lang w:val="el" w:eastAsia="el"/>
        </w:rPr>
        <w:t xml:space="preserve">; </w:t>
      </w:r>
      <w:hyperlink r:id="rId618" w:anchor="art_3" w:history="1">
        <w:r>
          <w:rPr>
            <w:rStyle w:val="Hyperlink"/>
            <w:color w:val="0000EE"/>
            <w:u w:color="0000EE"/>
            <w:lang w:val="el" w:eastAsia="el"/>
          </w:rPr>
          <w:t>Τροποποίηση 4254/2014, Άρθρο 3</w:t>
        </w:r>
      </w:hyperlink>
      <w:r>
        <w:rPr>
          <w:lang w:val="el" w:eastAsia="el"/>
        </w:rPr>
        <w:t xml:space="preserve">; </w:t>
      </w:r>
      <w:hyperlink r:id="rId619" w:anchor="art_3" w:history="1">
        <w:r>
          <w:rPr>
            <w:rStyle w:val="Hyperlink"/>
            <w:color w:val="0000EE"/>
            <w:u w:color="0000EE"/>
            <w:lang w:val="el" w:eastAsia="el"/>
          </w:rPr>
          <w:t>Τροποποίηση 4254/2014, Άρθρο 3</w:t>
        </w:r>
      </w:hyperlink>
    </w:p>
  </w:footnote>
  <w:footnote w:id="4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0" w:anchor="art_47" w:history="1">
        <w:r>
          <w:rPr>
            <w:rStyle w:val="Hyperlink"/>
            <w:color w:val="0000EE"/>
            <w:u w:color="0000EE"/>
            <w:lang w:val="el" w:eastAsia="el"/>
          </w:rPr>
          <w:t>Τροποποίηση 4410/2016, Άρθρο 47</w:t>
        </w:r>
      </w:hyperlink>
    </w:p>
  </w:footnote>
  <w:footnote w:id="4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1" w:anchor="art_16" w:history="1">
        <w:r>
          <w:rPr>
            <w:rStyle w:val="Hyperlink"/>
            <w:color w:val="0000EE"/>
            <w:u w:color="0000EE"/>
            <w:lang w:val="el" w:eastAsia="el"/>
          </w:rPr>
          <w:t>Τροποποίηση 4467/2017, Άρθρο 16</w:t>
        </w:r>
      </w:hyperlink>
      <w:r>
        <w:rPr>
          <w:lang w:val="el" w:eastAsia="el"/>
        </w:rPr>
        <w:t xml:space="preserve">; </w:t>
      </w:r>
      <w:hyperlink r:id="rId622" w:anchor="art_47" w:history="1">
        <w:r>
          <w:rPr>
            <w:rStyle w:val="Hyperlink"/>
            <w:color w:val="0000EE"/>
            <w:u w:color="0000EE"/>
            <w:lang w:val="el" w:eastAsia="el"/>
          </w:rPr>
          <w:t>Τροποποίηση 4410/2016, Άρθρο 47</w:t>
        </w:r>
      </w:hyperlink>
      <w:r>
        <w:rPr>
          <w:lang w:val="el" w:eastAsia="el"/>
        </w:rPr>
        <w:t xml:space="preserve">; </w:t>
      </w:r>
      <w:hyperlink r:id="rId623" w:anchor="art_3" w:history="1">
        <w:r>
          <w:rPr>
            <w:rStyle w:val="Hyperlink"/>
            <w:color w:val="0000EE"/>
            <w:u w:color="0000EE"/>
            <w:lang w:val="el" w:eastAsia="el"/>
          </w:rPr>
          <w:t>Τροποποίηση 4254/2014, Άρθρο 3</w:t>
        </w:r>
      </w:hyperlink>
    </w:p>
  </w:footnote>
  <w:footnote w:id="4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4" w:anchor="art_47" w:history="1">
        <w:r>
          <w:rPr>
            <w:rStyle w:val="Hyperlink"/>
            <w:color w:val="0000EE"/>
            <w:u w:color="0000EE"/>
            <w:lang w:val="el" w:eastAsia="el"/>
          </w:rPr>
          <w:t>Τροποποίηση 4410/2016, Άρθρο 47</w:t>
        </w:r>
      </w:hyperlink>
      <w:r>
        <w:rPr>
          <w:lang w:val="el" w:eastAsia="el"/>
        </w:rPr>
        <w:t xml:space="preserve">; </w:t>
      </w:r>
      <w:hyperlink r:id="rId625" w:anchor="art_3" w:history="1">
        <w:r>
          <w:rPr>
            <w:rStyle w:val="Hyperlink"/>
            <w:color w:val="0000EE"/>
            <w:u w:color="0000EE"/>
            <w:lang w:val="el" w:eastAsia="el"/>
          </w:rPr>
          <w:t>Τροποποίηση 4254/2014, Άρθρο 3</w:t>
        </w:r>
      </w:hyperlink>
    </w:p>
  </w:footnote>
  <w:footnote w:id="4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6" w:anchor="art_47" w:history="1">
        <w:r>
          <w:rPr>
            <w:rStyle w:val="Hyperlink"/>
            <w:color w:val="0000EE"/>
            <w:u w:color="0000EE"/>
            <w:lang w:val="el" w:eastAsia="el"/>
          </w:rPr>
          <w:t>Τροποποίηση 4410/2016, Άρθρο 47</w:t>
        </w:r>
      </w:hyperlink>
    </w:p>
  </w:footnote>
  <w:footnote w:id="4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7" w:anchor="art_47" w:history="1">
        <w:r>
          <w:rPr>
            <w:rStyle w:val="Hyperlink"/>
            <w:color w:val="0000EE"/>
            <w:u w:color="0000EE"/>
            <w:lang w:val="el" w:eastAsia="el"/>
          </w:rPr>
          <w:t>Τροποποίηση 4410/2016, Άρθρο 47</w:t>
        </w:r>
      </w:hyperlink>
    </w:p>
  </w:footnote>
  <w:footnote w:id="4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8" w:anchor="art_47" w:history="1">
        <w:r>
          <w:rPr>
            <w:rStyle w:val="Hyperlink"/>
            <w:color w:val="0000EE"/>
            <w:u w:color="0000EE"/>
            <w:lang w:val="el" w:eastAsia="el"/>
          </w:rPr>
          <w:t>Τροποποίηση 4410/2016, Άρθρο 47</w:t>
        </w:r>
      </w:hyperlink>
    </w:p>
  </w:footnote>
  <w:footnote w:id="4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9" w:anchor="art_47" w:history="1">
        <w:r>
          <w:rPr>
            <w:rStyle w:val="Hyperlink"/>
            <w:color w:val="0000EE"/>
            <w:u w:color="0000EE"/>
            <w:lang w:val="el" w:eastAsia="el"/>
          </w:rPr>
          <w:t>Τροποποίηση 4410/2016, Άρθρο 47</w:t>
        </w:r>
      </w:hyperlink>
      <w:r>
        <w:rPr>
          <w:lang w:val="el" w:eastAsia="el"/>
        </w:rPr>
        <w:t xml:space="preserve">; </w:t>
      </w:r>
      <w:hyperlink r:id="rId630" w:anchor="art_3" w:history="1">
        <w:r>
          <w:rPr>
            <w:rStyle w:val="Hyperlink"/>
            <w:color w:val="0000EE"/>
            <w:u w:color="0000EE"/>
            <w:lang w:val="el" w:eastAsia="el"/>
          </w:rPr>
          <w:t>Τροποποίηση 4254/2014, Άρθρο 3</w:t>
        </w:r>
      </w:hyperlink>
    </w:p>
  </w:footnote>
  <w:footnote w:id="4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1" w:anchor="art_47" w:history="1">
        <w:r>
          <w:rPr>
            <w:rStyle w:val="Hyperlink"/>
            <w:color w:val="0000EE"/>
            <w:u w:color="0000EE"/>
            <w:lang w:val="el" w:eastAsia="el"/>
          </w:rPr>
          <w:t>Τροποποίηση 4410/2016, Άρθρο 47</w:t>
        </w:r>
      </w:hyperlink>
      <w:r>
        <w:rPr>
          <w:lang w:val="el" w:eastAsia="el"/>
        </w:rPr>
        <w:t xml:space="preserve">; </w:t>
      </w:r>
      <w:hyperlink r:id="rId632" w:anchor="art_3" w:history="1">
        <w:r>
          <w:rPr>
            <w:rStyle w:val="Hyperlink"/>
            <w:color w:val="0000EE"/>
            <w:u w:color="0000EE"/>
            <w:lang w:val="el" w:eastAsia="el"/>
          </w:rPr>
          <w:t>Τροποποίηση 4254/2014, Άρθρο 3</w:t>
        </w:r>
      </w:hyperlink>
    </w:p>
  </w:footnote>
  <w:footnote w:id="4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3" w:anchor="art_39" w:history="1">
        <w:r>
          <w:rPr>
            <w:rStyle w:val="Hyperlink"/>
            <w:color w:val="0000EE"/>
            <w:u w:color="0000EE"/>
            <w:lang w:val="el" w:eastAsia="el"/>
          </w:rPr>
          <w:t>Τροποποίηση 3220/2004, Άρθρο 39</w:t>
        </w:r>
      </w:hyperlink>
    </w:p>
  </w:footnote>
  <w:footnote w:id="4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4" w:anchor="art_19" w:history="1">
        <w:r>
          <w:rPr>
            <w:rStyle w:val="Hyperlink"/>
            <w:color w:val="0000EE"/>
            <w:u w:color="0000EE"/>
            <w:lang w:val="el" w:eastAsia="el"/>
          </w:rPr>
          <w:t>Τροποποίηση 3091/2002, Άρθρο 19</w:t>
        </w:r>
      </w:hyperlink>
    </w:p>
  </w:footnote>
  <w:footnote w:id="4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5" w:anchor="art_39" w:history="1">
        <w:r>
          <w:rPr>
            <w:rStyle w:val="Hyperlink"/>
            <w:color w:val="0000EE"/>
            <w:u w:color="0000EE"/>
            <w:lang w:val="el" w:eastAsia="el"/>
          </w:rPr>
          <w:t>Τροποποίηση 3220/2004, Άρθρο 39</w:t>
        </w:r>
      </w:hyperlink>
    </w:p>
  </w:footnote>
  <w:footnote w:id="4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6" w:anchor="art_11" w:history="1">
        <w:r>
          <w:rPr>
            <w:rStyle w:val="Hyperlink"/>
            <w:color w:val="0000EE"/>
            <w:u w:color="0000EE"/>
            <w:lang w:val="el" w:eastAsia="el"/>
          </w:rPr>
          <w:t>Τροποποίηση 3052/2002, Άρθρο 11</w:t>
        </w:r>
      </w:hyperlink>
    </w:p>
  </w:footnote>
  <w:footnote w:id="4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7" w:anchor="art_9" w:history="1">
        <w:r>
          <w:rPr>
            <w:rStyle w:val="Hyperlink"/>
            <w:color w:val="0000EE"/>
            <w:u w:color="0000EE"/>
            <w:lang w:val="el" w:eastAsia="el"/>
          </w:rPr>
          <w:t>Τροποποίηση 2954/2001, Άρθρο 9</w:t>
        </w:r>
      </w:hyperlink>
    </w:p>
  </w:footnote>
  <w:footnote w:id="4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8" w:anchor="art_19" w:history="1">
        <w:r>
          <w:rPr>
            <w:rStyle w:val="Hyperlink"/>
            <w:color w:val="0000EE"/>
            <w:u w:color="0000EE"/>
            <w:lang w:val="el" w:eastAsia="el"/>
          </w:rPr>
          <w:t>Τροποποίηση 3091/2002, Άρθρο 19</w:t>
        </w:r>
      </w:hyperlink>
    </w:p>
  </w:footnote>
  <w:footnote w:id="4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9" w:anchor="art_8" w:history="1">
        <w:r>
          <w:rPr>
            <w:rStyle w:val="Hyperlink"/>
            <w:color w:val="0000EE"/>
            <w:u w:color="0000EE"/>
            <w:lang w:val="el" w:eastAsia="el"/>
          </w:rPr>
          <w:t>Προσθήκη 4818/2021, Άρθρο 8</w:t>
        </w:r>
      </w:hyperlink>
      <w:r>
        <w:rPr>
          <w:lang w:val="el" w:eastAsia="el"/>
        </w:rPr>
        <w:t xml:space="preserve">; </w:t>
      </w:r>
      <w:hyperlink r:id="rId640" w:anchor="art_8" w:history="1">
        <w:r>
          <w:rPr>
            <w:rStyle w:val="Hyperlink"/>
            <w:color w:val="0000EE"/>
            <w:u w:color="0000EE"/>
            <w:lang w:val="el" w:eastAsia="el"/>
          </w:rPr>
          <w:t>Προσθήκη 4818/2021, Άρθρο 8</w:t>
        </w:r>
      </w:hyperlink>
    </w:p>
  </w:footnote>
  <w:footnote w:id="4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1" w:anchor="art_8" w:history="1">
        <w:r>
          <w:rPr>
            <w:rStyle w:val="Hyperlink"/>
            <w:color w:val="0000EE"/>
            <w:u w:color="0000EE"/>
            <w:lang w:val="el" w:eastAsia="el"/>
          </w:rPr>
          <w:t>Προσθήκη 4818/2021, Άρθρο 8</w:t>
        </w:r>
      </w:hyperlink>
      <w:r>
        <w:rPr>
          <w:lang w:val="el" w:eastAsia="el"/>
        </w:rPr>
        <w:t xml:space="preserve">; </w:t>
      </w:r>
      <w:hyperlink r:id="rId642" w:anchor="art_104" w:history="1">
        <w:r>
          <w:rPr>
            <w:rStyle w:val="Hyperlink"/>
            <w:color w:val="0000EE"/>
            <w:u w:color="0000EE"/>
            <w:lang w:val="el" w:eastAsia="el"/>
          </w:rPr>
          <w:t>Προσθήκη 4316/2014, Άρθρο 104</w:t>
        </w:r>
      </w:hyperlink>
    </w:p>
  </w:footnote>
  <w:footnote w:id="4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3" w:anchor="art_8" w:history="1">
        <w:r>
          <w:rPr>
            <w:rStyle w:val="Hyperlink"/>
            <w:b/>
            <w:bCs/>
            <w:color w:val="0000EE"/>
            <w:u w:color="0000EE"/>
            <w:lang w:val="el" w:eastAsia="el"/>
          </w:rPr>
          <w:t>Προσθήκη 4818/2021, Άρθρο 8</w:t>
        </w:r>
      </w:hyperlink>
      <w:r>
        <w:rPr>
          <w:b/>
          <w:bCs/>
          <w:lang w:val="el" w:eastAsia="el"/>
        </w:rPr>
        <w:t xml:space="preserve">; </w:t>
      </w:r>
      <w:hyperlink r:id="rId644" w:anchor="art_104" w:history="1">
        <w:r>
          <w:rPr>
            <w:rStyle w:val="Hyperlink"/>
            <w:b/>
            <w:bCs/>
            <w:color w:val="0000EE"/>
            <w:u w:color="0000EE"/>
            <w:lang w:val="el" w:eastAsia="el"/>
          </w:rPr>
          <w:t>Προσθήκη 4316/2014, Άρθρο 104</w:t>
        </w:r>
      </w:hyperlink>
    </w:p>
  </w:footnote>
  <w:footnote w:id="4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5" w:anchor="art_9" w:history="1">
        <w:r>
          <w:rPr>
            <w:rStyle w:val="Hyperlink"/>
            <w:b/>
            <w:bCs/>
            <w:color w:val="0000EE"/>
            <w:u w:color="0000EE"/>
            <w:lang w:val="el" w:eastAsia="el"/>
          </w:rPr>
          <w:t>Τροποποίηση 4818/2021, Άρθρο 9</w:t>
        </w:r>
      </w:hyperlink>
    </w:p>
  </w:footnote>
  <w:footnote w:id="4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6" w:anchor="art_9" w:history="1">
        <w:r>
          <w:rPr>
            <w:rStyle w:val="Hyperlink"/>
            <w:b/>
            <w:bCs/>
            <w:color w:val="0000EE"/>
            <w:u w:color="0000EE"/>
            <w:lang w:val="el" w:eastAsia="el"/>
          </w:rPr>
          <w:t>Τροποποίηση 4818/2021, Άρθρο 9</w:t>
        </w:r>
      </w:hyperlink>
    </w:p>
  </w:footnote>
  <w:footnote w:id="5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7" w:anchor="art_9" w:history="1">
        <w:r>
          <w:rPr>
            <w:rStyle w:val="Hyperlink"/>
            <w:b/>
            <w:bCs/>
            <w:color w:val="0000EE"/>
            <w:u w:color="0000EE"/>
            <w:lang w:val="el" w:eastAsia="el"/>
          </w:rPr>
          <w:t>Τροποποίηση 4818/2021, Άρθρο 9</w:t>
        </w:r>
      </w:hyperlink>
    </w:p>
  </w:footnote>
  <w:footnote w:id="5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8" w:anchor="art_9" w:history="1">
        <w:r>
          <w:rPr>
            <w:rStyle w:val="Hyperlink"/>
            <w:b/>
            <w:bCs/>
            <w:color w:val="0000EE"/>
            <w:u w:color="0000EE"/>
            <w:lang w:val="el" w:eastAsia="el"/>
          </w:rPr>
          <w:t>Τροποποίηση 4818/2021, Άρθρο 9</w:t>
        </w:r>
      </w:hyperlink>
    </w:p>
  </w:footnote>
  <w:footnote w:id="5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9" w:anchor="art_9" w:history="1">
        <w:r>
          <w:rPr>
            <w:rStyle w:val="Hyperlink"/>
            <w:b/>
            <w:bCs/>
            <w:color w:val="0000EE"/>
            <w:u w:color="0000EE"/>
            <w:lang w:val="el" w:eastAsia="el"/>
          </w:rPr>
          <w:t>Τροποποίηση 4818/2021, Άρθρο 9</w:t>
        </w:r>
      </w:hyperlink>
    </w:p>
  </w:footnote>
  <w:footnote w:id="5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0" w:anchor="art_9" w:history="1">
        <w:r>
          <w:rPr>
            <w:rStyle w:val="Hyperlink"/>
            <w:b/>
            <w:bCs/>
            <w:color w:val="0000EE"/>
            <w:u w:color="0000EE"/>
            <w:lang w:val="el" w:eastAsia="el"/>
          </w:rPr>
          <w:t>Τροποποίηση 4818/2021, Άρθρο 9</w:t>
        </w:r>
      </w:hyperlink>
    </w:p>
  </w:footnote>
  <w:footnote w:id="5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1" w:anchor="art_9" w:history="1">
        <w:r>
          <w:rPr>
            <w:rStyle w:val="Hyperlink"/>
            <w:b/>
            <w:bCs/>
            <w:color w:val="0000EE"/>
            <w:u w:color="0000EE"/>
            <w:lang w:val="el" w:eastAsia="el"/>
          </w:rPr>
          <w:t>Τροποποίηση 4818/2021, Άρθρο 9</w:t>
        </w:r>
      </w:hyperlink>
    </w:p>
  </w:footnote>
  <w:footnote w:id="5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2" w:anchor="art_9" w:history="1">
        <w:r>
          <w:rPr>
            <w:rStyle w:val="Hyperlink"/>
            <w:b/>
            <w:bCs/>
            <w:color w:val="0000EE"/>
            <w:u w:color="0000EE"/>
            <w:lang w:val="el" w:eastAsia="el"/>
          </w:rPr>
          <w:t>Τροποποίηση 4818/2021, Άρθρο 9</w:t>
        </w:r>
      </w:hyperlink>
    </w:p>
  </w:footnote>
  <w:footnote w:id="5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3" w:anchor="art_9" w:history="1">
        <w:r>
          <w:rPr>
            <w:rStyle w:val="Hyperlink"/>
            <w:b/>
            <w:bCs/>
            <w:color w:val="0000EE"/>
            <w:u w:color="0000EE"/>
            <w:lang w:val="el" w:eastAsia="el"/>
          </w:rPr>
          <w:t>Τροποποίηση 4818/2021, Άρθρο 9</w:t>
        </w:r>
      </w:hyperlink>
    </w:p>
  </w:footnote>
  <w:footnote w:id="5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4" w:anchor="art_9" w:history="1">
        <w:r>
          <w:rPr>
            <w:rStyle w:val="Hyperlink"/>
            <w:b/>
            <w:bCs/>
            <w:color w:val="0000EE"/>
            <w:u w:color="0000EE"/>
            <w:lang w:val="el" w:eastAsia="el"/>
          </w:rPr>
          <w:t>Τροποποίηση 4818/2021, Άρθρο 9</w:t>
        </w:r>
      </w:hyperlink>
    </w:p>
  </w:footnote>
  <w:footnote w:id="5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5" w:anchor="art_9" w:history="1">
        <w:r>
          <w:rPr>
            <w:rStyle w:val="Hyperlink"/>
            <w:b/>
            <w:bCs/>
            <w:color w:val="0000EE"/>
            <w:u w:color="0000EE"/>
            <w:lang w:val="el" w:eastAsia="el"/>
          </w:rPr>
          <w:t>Τροποποίηση 4818/2021, Άρθρο 9</w:t>
        </w:r>
      </w:hyperlink>
    </w:p>
  </w:footnote>
  <w:footnote w:id="5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6" w:anchor="art_9" w:history="1">
        <w:r>
          <w:rPr>
            <w:rStyle w:val="Hyperlink"/>
            <w:b/>
            <w:bCs/>
            <w:color w:val="0000EE"/>
            <w:u w:color="0000EE"/>
            <w:lang w:val="el" w:eastAsia="el"/>
          </w:rPr>
          <w:t>Τροποποίηση 4818/2021, Άρθρο 9</w:t>
        </w:r>
      </w:hyperlink>
    </w:p>
  </w:footnote>
  <w:footnote w:id="5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7" w:anchor="art_9" w:history="1">
        <w:r>
          <w:rPr>
            <w:rStyle w:val="Hyperlink"/>
            <w:b/>
            <w:bCs/>
            <w:color w:val="0000EE"/>
            <w:u w:color="0000EE"/>
            <w:lang w:val="el" w:eastAsia="el"/>
          </w:rPr>
          <w:t>Τροποποίηση 4818/2021, Άρθρο 9</w:t>
        </w:r>
      </w:hyperlink>
    </w:p>
  </w:footnote>
  <w:footnote w:id="5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8" w:anchor="art_9" w:history="1">
        <w:r>
          <w:rPr>
            <w:rStyle w:val="Hyperlink"/>
            <w:b/>
            <w:bCs/>
            <w:color w:val="0000EE"/>
            <w:u w:color="0000EE"/>
            <w:lang w:val="el" w:eastAsia="el"/>
          </w:rPr>
          <w:t>Τροποποίηση 4818/2021, Άρθρο 9</w:t>
        </w:r>
      </w:hyperlink>
    </w:p>
  </w:footnote>
  <w:footnote w:id="5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9" w:anchor="art_9" w:history="1">
        <w:r>
          <w:rPr>
            <w:rStyle w:val="Hyperlink"/>
            <w:b/>
            <w:bCs/>
            <w:color w:val="0000EE"/>
            <w:u w:color="0000EE"/>
            <w:lang w:val="el" w:eastAsia="el"/>
          </w:rPr>
          <w:t>Τροποποίηση 4818/2021, Άρθρο 9</w:t>
        </w:r>
      </w:hyperlink>
    </w:p>
  </w:footnote>
  <w:footnote w:id="5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0" w:anchor="art_9" w:history="1">
        <w:r>
          <w:rPr>
            <w:rStyle w:val="Hyperlink"/>
            <w:b/>
            <w:bCs/>
            <w:color w:val="0000EE"/>
            <w:u w:color="0000EE"/>
            <w:lang w:val="el" w:eastAsia="el"/>
          </w:rPr>
          <w:t>Τροποποίηση 4818/2021, Άρθρο 9</w:t>
        </w:r>
      </w:hyperlink>
    </w:p>
  </w:footnote>
  <w:footnote w:id="5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1" w:anchor="art_9" w:history="1">
        <w:r>
          <w:rPr>
            <w:rStyle w:val="Hyperlink"/>
            <w:b/>
            <w:bCs/>
            <w:color w:val="0000EE"/>
            <w:u w:color="0000EE"/>
            <w:lang w:val="el" w:eastAsia="el"/>
          </w:rPr>
          <w:t>Τροποποίηση 4818/2021, Άρθρο 9</w:t>
        </w:r>
      </w:hyperlink>
    </w:p>
  </w:footnote>
  <w:footnote w:id="5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2" w:anchor="art_9" w:history="1">
        <w:r>
          <w:rPr>
            <w:rStyle w:val="Hyperlink"/>
            <w:b/>
            <w:bCs/>
            <w:color w:val="0000EE"/>
            <w:u w:color="0000EE"/>
            <w:lang w:val="el" w:eastAsia="el"/>
          </w:rPr>
          <w:t>Τροποποίηση 4818/2021, Άρθρο 9</w:t>
        </w:r>
      </w:hyperlink>
    </w:p>
  </w:footnote>
  <w:footnote w:id="5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3" w:anchor="art_9" w:history="1">
        <w:r>
          <w:rPr>
            <w:rStyle w:val="Hyperlink"/>
            <w:b/>
            <w:bCs/>
            <w:color w:val="0000EE"/>
            <w:u w:color="0000EE"/>
            <w:lang w:val="el" w:eastAsia="el"/>
          </w:rPr>
          <w:t>Τροποποίηση 4818/2021, Άρθρο 9</w:t>
        </w:r>
      </w:hyperlink>
    </w:p>
  </w:footnote>
  <w:footnote w:id="5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4" w:anchor="art_9" w:history="1">
        <w:r>
          <w:rPr>
            <w:rStyle w:val="Hyperlink"/>
            <w:b/>
            <w:bCs/>
            <w:color w:val="0000EE"/>
            <w:u w:color="0000EE"/>
            <w:lang w:val="el" w:eastAsia="el"/>
          </w:rPr>
          <w:t>Τροποποίηση 4818/2021, Άρθρο 9</w:t>
        </w:r>
      </w:hyperlink>
    </w:p>
  </w:footnote>
  <w:footnote w:id="5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5" w:anchor="art_9" w:history="1">
        <w:r>
          <w:rPr>
            <w:rStyle w:val="Hyperlink"/>
            <w:b/>
            <w:bCs/>
            <w:color w:val="0000EE"/>
            <w:u w:color="0000EE"/>
            <w:lang w:val="el" w:eastAsia="el"/>
          </w:rPr>
          <w:t>Τροποποίηση 4818/2021, Άρθρο 9</w:t>
        </w:r>
      </w:hyperlink>
    </w:p>
  </w:footnote>
  <w:footnote w:id="5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6" w:anchor="art_9" w:history="1">
        <w:r>
          <w:rPr>
            <w:rStyle w:val="Hyperlink"/>
            <w:b/>
            <w:bCs/>
            <w:color w:val="0000EE"/>
            <w:u w:color="0000EE"/>
            <w:lang w:val="el" w:eastAsia="el"/>
          </w:rPr>
          <w:t>Τροποποίηση 4818/2021, Άρθρο 9</w:t>
        </w:r>
      </w:hyperlink>
    </w:p>
  </w:footnote>
  <w:footnote w:id="5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7" w:anchor="art_9" w:history="1">
        <w:r>
          <w:rPr>
            <w:rStyle w:val="Hyperlink"/>
            <w:b/>
            <w:bCs/>
            <w:color w:val="0000EE"/>
            <w:u w:color="0000EE"/>
            <w:lang w:val="el" w:eastAsia="el"/>
          </w:rPr>
          <w:t>Τροποποίηση 4818/2021, Άρθρο 9</w:t>
        </w:r>
      </w:hyperlink>
    </w:p>
  </w:footnote>
  <w:footnote w:id="5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8" w:anchor="art_9" w:history="1">
        <w:r>
          <w:rPr>
            <w:rStyle w:val="Hyperlink"/>
            <w:b/>
            <w:bCs/>
            <w:color w:val="0000EE"/>
            <w:u w:color="0000EE"/>
            <w:lang w:val="el" w:eastAsia="el"/>
          </w:rPr>
          <w:t>Τροποποίηση 4818/2021, Άρθρο 9</w:t>
        </w:r>
      </w:hyperlink>
    </w:p>
  </w:footnote>
  <w:footnote w:id="5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9" w:anchor="art_9" w:history="1">
        <w:r>
          <w:rPr>
            <w:rStyle w:val="Hyperlink"/>
            <w:b/>
            <w:bCs/>
            <w:color w:val="0000EE"/>
            <w:u w:color="0000EE"/>
            <w:lang w:val="el" w:eastAsia="el"/>
          </w:rPr>
          <w:t>Τροποποίηση 4818/2021, Άρθρο 9</w:t>
        </w:r>
      </w:hyperlink>
    </w:p>
  </w:footnote>
  <w:footnote w:id="5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0" w:anchor="art_9" w:history="1">
        <w:r>
          <w:rPr>
            <w:rStyle w:val="Hyperlink"/>
            <w:b/>
            <w:bCs/>
            <w:color w:val="0000EE"/>
            <w:u w:color="0000EE"/>
            <w:lang w:val="el" w:eastAsia="el"/>
          </w:rPr>
          <w:t>Τροποποίηση 4818/2021, Άρθρο 9</w:t>
        </w:r>
      </w:hyperlink>
    </w:p>
  </w:footnote>
  <w:footnote w:id="5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1" w:anchor="art_9" w:history="1">
        <w:r>
          <w:rPr>
            <w:rStyle w:val="Hyperlink"/>
            <w:b/>
            <w:bCs/>
            <w:color w:val="0000EE"/>
            <w:u w:color="0000EE"/>
            <w:lang w:val="el" w:eastAsia="el"/>
          </w:rPr>
          <w:t>Τροποποίηση 4818/2021, Άρθρο 9</w:t>
        </w:r>
      </w:hyperlink>
    </w:p>
  </w:footnote>
  <w:footnote w:id="5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2" w:anchor="art_9" w:history="1">
        <w:r>
          <w:rPr>
            <w:rStyle w:val="Hyperlink"/>
            <w:b/>
            <w:bCs/>
            <w:color w:val="0000EE"/>
            <w:u w:color="0000EE"/>
            <w:lang w:val="el" w:eastAsia="el"/>
          </w:rPr>
          <w:t>Τροποποίηση 4818/2021, Άρθρο 9</w:t>
        </w:r>
      </w:hyperlink>
    </w:p>
  </w:footnote>
  <w:footnote w:id="5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3" w:anchor="art_9" w:history="1">
        <w:r>
          <w:rPr>
            <w:rStyle w:val="Hyperlink"/>
            <w:b/>
            <w:bCs/>
            <w:color w:val="0000EE"/>
            <w:u w:color="0000EE"/>
            <w:lang w:val="el" w:eastAsia="el"/>
          </w:rPr>
          <w:t>Τροποποίηση 4818/2021, Άρθρο 9</w:t>
        </w:r>
      </w:hyperlink>
    </w:p>
  </w:footnote>
  <w:footnote w:id="5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4" w:anchor="art_9" w:history="1">
        <w:r>
          <w:rPr>
            <w:rStyle w:val="Hyperlink"/>
            <w:b/>
            <w:bCs/>
            <w:color w:val="0000EE"/>
            <w:u w:color="0000EE"/>
            <w:lang w:val="el" w:eastAsia="el"/>
          </w:rPr>
          <w:t>Τροποποίηση 4818/2021, Άρθρο 9</w:t>
        </w:r>
      </w:hyperlink>
    </w:p>
  </w:footnote>
  <w:footnote w:id="5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5" w:anchor="art_9" w:history="1">
        <w:r>
          <w:rPr>
            <w:rStyle w:val="Hyperlink"/>
            <w:b/>
            <w:bCs/>
            <w:color w:val="0000EE"/>
            <w:u w:color="0000EE"/>
            <w:lang w:val="el" w:eastAsia="el"/>
          </w:rPr>
          <w:t>Τροποποίηση 4818/2021, Άρθρο 9</w:t>
        </w:r>
      </w:hyperlink>
      <w:r>
        <w:rPr>
          <w:b/>
          <w:bCs/>
          <w:lang w:val="el" w:eastAsia="el"/>
        </w:rPr>
        <w:t xml:space="preserve">; </w:t>
      </w:r>
      <w:hyperlink r:id="rId676" w:anchor="art_104" w:history="1">
        <w:r>
          <w:rPr>
            <w:rStyle w:val="Hyperlink"/>
            <w:b/>
            <w:bCs/>
            <w:color w:val="0000EE"/>
            <w:u w:color="0000EE"/>
            <w:lang w:val="el" w:eastAsia="el"/>
          </w:rPr>
          <w:t>Προσθήκη 4316/2014, Άρθρο 104</w:t>
        </w:r>
      </w:hyperlink>
    </w:p>
  </w:footnote>
  <w:footnote w:id="5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7" w:anchor="art_10" w:history="1">
        <w:r>
          <w:rPr>
            <w:rStyle w:val="Hyperlink"/>
            <w:b/>
            <w:bCs/>
            <w:color w:val="0000EE"/>
            <w:u w:color="0000EE"/>
            <w:lang w:val="el" w:eastAsia="el"/>
          </w:rPr>
          <w:t>Τροποποίηση 4818/2021, Άρθρο 10</w:t>
        </w:r>
      </w:hyperlink>
      <w:r>
        <w:rPr>
          <w:b/>
          <w:bCs/>
          <w:lang w:val="el" w:eastAsia="el"/>
        </w:rPr>
        <w:t xml:space="preserve">; </w:t>
      </w:r>
      <w:hyperlink r:id="rId678" w:anchor="art_104" w:history="1">
        <w:r>
          <w:rPr>
            <w:rStyle w:val="Hyperlink"/>
            <w:b/>
            <w:bCs/>
            <w:color w:val="0000EE"/>
            <w:u w:color="0000EE"/>
            <w:lang w:val="el" w:eastAsia="el"/>
          </w:rPr>
          <w:t>Προσθήκη 4316/2014, Άρθρο 104</w:t>
        </w:r>
      </w:hyperlink>
    </w:p>
  </w:footnote>
  <w:footnote w:id="5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9" w:anchor="art_10" w:history="1">
        <w:r>
          <w:rPr>
            <w:rStyle w:val="Hyperlink"/>
            <w:b/>
            <w:bCs/>
            <w:color w:val="0000EE"/>
            <w:u w:color="0000EE"/>
            <w:lang w:val="el" w:eastAsia="el"/>
          </w:rPr>
          <w:t>Τροποποίηση 4818/2021, Άρθρο 10</w:t>
        </w:r>
      </w:hyperlink>
    </w:p>
  </w:footnote>
  <w:footnote w:id="5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0" w:anchor="art_10" w:history="1">
        <w:r>
          <w:rPr>
            <w:rStyle w:val="Hyperlink"/>
            <w:b/>
            <w:bCs/>
            <w:color w:val="0000EE"/>
            <w:u w:color="0000EE"/>
            <w:lang w:val="el" w:eastAsia="el"/>
          </w:rPr>
          <w:t>Τροποποίηση 4818/2021, Άρθρο 10</w:t>
        </w:r>
      </w:hyperlink>
    </w:p>
  </w:footnote>
  <w:footnote w:id="5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1" w:anchor="art_10" w:history="1">
        <w:r>
          <w:rPr>
            <w:rStyle w:val="Hyperlink"/>
            <w:b/>
            <w:bCs/>
            <w:color w:val="0000EE"/>
            <w:u w:color="0000EE"/>
            <w:lang w:val="el" w:eastAsia="el"/>
          </w:rPr>
          <w:t>Τροποποίηση 4818/2021, Άρθρο 10</w:t>
        </w:r>
      </w:hyperlink>
    </w:p>
  </w:footnote>
  <w:footnote w:id="5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2" w:anchor="art_10" w:history="1">
        <w:r>
          <w:rPr>
            <w:rStyle w:val="Hyperlink"/>
            <w:b/>
            <w:bCs/>
            <w:color w:val="0000EE"/>
            <w:u w:color="0000EE"/>
            <w:lang w:val="el" w:eastAsia="el"/>
          </w:rPr>
          <w:t>Τροποποίηση 4818/2021, Άρθρο 10</w:t>
        </w:r>
      </w:hyperlink>
    </w:p>
  </w:footnote>
  <w:footnote w:id="5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3" w:anchor="art_10" w:history="1">
        <w:r>
          <w:rPr>
            <w:rStyle w:val="Hyperlink"/>
            <w:b/>
            <w:bCs/>
            <w:color w:val="0000EE"/>
            <w:u w:color="0000EE"/>
            <w:lang w:val="el" w:eastAsia="el"/>
          </w:rPr>
          <w:t>Τροποποίηση 4818/2021, Άρθρο 10</w:t>
        </w:r>
      </w:hyperlink>
    </w:p>
  </w:footnote>
  <w:footnote w:id="5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4" w:anchor="art_10" w:history="1">
        <w:r>
          <w:rPr>
            <w:rStyle w:val="Hyperlink"/>
            <w:b/>
            <w:bCs/>
            <w:color w:val="0000EE"/>
            <w:u w:color="0000EE"/>
            <w:lang w:val="el" w:eastAsia="el"/>
          </w:rPr>
          <w:t>Τροποποίηση 4818/2021, Άρθρο 10</w:t>
        </w:r>
      </w:hyperlink>
    </w:p>
  </w:footnote>
  <w:footnote w:id="5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5" w:anchor="art_10" w:history="1">
        <w:r>
          <w:rPr>
            <w:rStyle w:val="Hyperlink"/>
            <w:b/>
            <w:bCs/>
            <w:color w:val="0000EE"/>
            <w:u w:color="0000EE"/>
            <w:lang w:val="el" w:eastAsia="el"/>
          </w:rPr>
          <w:t>Τροποποίηση 4818/2021, Άρθρο 10</w:t>
        </w:r>
      </w:hyperlink>
    </w:p>
  </w:footnote>
  <w:footnote w:id="5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6" w:anchor="art_10" w:history="1">
        <w:r>
          <w:rPr>
            <w:rStyle w:val="Hyperlink"/>
            <w:b/>
            <w:bCs/>
            <w:color w:val="0000EE"/>
            <w:u w:color="0000EE"/>
            <w:lang w:val="el" w:eastAsia="el"/>
          </w:rPr>
          <w:t>Τροποποίηση 4818/2021, Άρθρο 10</w:t>
        </w:r>
      </w:hyperlink>
    </w:p>
  </w:footnote>
  <w:footnote w:id="5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7" w:anchor="art_10" w:history="1">
        <w:r>
          <w:rPr>
            <w:rStyle w:val="Hyperlink"/>
            <w:b/>
            <w:bCs/>
            <w:color w:val="0000EE"/>
            <w:u w:color="0000EE"/>
            <w:lang w:val="el" w:eastAsia="el"/>
          </w:rPr>
          <w:t>Τροποποίηση 4818/2021, Άρθρο 10</w:t>
        </w:r>
      </w:hyperlink>
    </w:p>
  </w:footnote>
  <w:footnote w:id="5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8" w:anchor="art_10" w:history="1">
        <w:r>
          <w:rPr>
            <w:rStyle w:val="Hyperlink"/>
            <w:b/>
            <w:bCs/>
            <w:color w:val="0000EE"/>
            <w:u w:color="0000EE"/>
            <w:lang w:val="el" w:eastAsia="el"/>
          </w:rPr>
          <w:t>Τροποποίηση 4818/2021, Άρθρο 10</w:t>
        </w:r>
      </w:hyperlink>
    </w:p>
  </w:footnote>
  <w:footnote w:id="5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9" w:anchor="art_10" w:history="1">
        <w:r>
          <w:rPr>
            <w:rStyle w:val="Hyperlink"/>
            <w:b/>
            <w:bCs/>
            <w:color w:val="0000EE"/>
            <w:u w:color="0000EE"/>
            <w:lang w:val="el" w:eastAsia="el"/>
          </w:rPr>
          <w:t>Τροποποίηση 4818/2021, Άρθρο 10</w:t>
        </w:r>
      </w:hyperlink>
    </w:p>
  </w:footnote>
  <w:footnote w:id="5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0" w:anchor="art_10" w:history="1">
        <w:r>
          <w:rPr>
            <w:rStyle w:val="Hyperlink"/>
            <w:b/>
            <w:bCs/>
            <w:color w:val="0000EE"/>
            <w:u w:color="0000EE"/>
            <w:lang w:val="el" w:eastAsia="el"/>
          </w:rPr>
          <w:t>Τροποποίηση 4818/2021, Άρθρο 10</w:t>
        </w:r>
      </w:hyperlink>
    </w:p>
  </w:footnote>
  <w:footnote w:id="5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1" w:anchor="art_10" w:history="1">
        <w:r>
          <w:rPr>
            <w:rStyle w:val="Hyperlink"/>
            <w:b/>
            <w:bCs/>
            <w:color w:val="0000EE"/>
            <w:u w:color="0000EE"/>
            <w:lang w:val="el" w:eastAsia="el"/>
          </w:rPr>
          <w:t>Τροποποίηση 4818/2021, Άρθρο 10</w:t>
        </w:r>
      </w:hyperlink>
    </w:p>
  </w:footnote>
  <w:footnote w:id="5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2" w:anchor="art_10" w:history="1">
        <w:r>
          <w:rPr>
            <w:rStyle w:val="Hyperlink"/>
            <w:b/>
            <w:bCs/>
            <w:color w:val="0000EE"/>
            <w:u w:color="0000EE"/>
            <w:lang w:val="el" w:eastAsia="el"/>
          </w:rPr>
          <w:t>Τροποποίηση 4818/2021, Άρθρο 10</w:t>
        </w:r>
      </w:hyperlink>
    </w:p>
  </w:footnote>
  <w:footnote w:id="5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3" w:anchor="art_10" w:history="1">
        <w:r>
          <w:rPr>
            <w:rStyle w:val="Hyperlink"/>
            <w:b/>
            <w:bCs/>
            <w:color w:val="0000EE"/>
            <w:u w:color="0000EE"/>
            <w:lang w:val="el" w:eastAsia="el"/>
          </w:rPr>
          <w:t>Τροποποίηση 4818/2021, Άρθρο 10</w:t>
        </w:r>
      </w:hyperlink>
    </w:p>
  </w:footnote>
  <w:footnote w:id="5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4" w:anchor="art_10" w:history="1">
        <w:r>
          <w:rPr>
            <w:rStyle w:val="Hyperlink"/>
            <w:b/>
            <w:bCs/>
            <w:color w:val="0000EE"/>
            <w:u w:color="0000EE"/>
            <w:lang w:val="el" w:eastAsia="el"/>
          </w:rPr>
          <w:t>Τροποποίηση 4818/2021, Άρθρο 10</w:t>
        </w:r>
      </w:hyperlink>
    </w:p>
  </w:footnote>
  <w:footnote w:id="5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5" w:anchor="art_10" w:history="1">
        <w:r>
          <w:rPr>
            <w:rStyle w:val="Hyperlink"/>
            <w:b/>
            <w:bCs/>
            <w:color w:val="0000EE"/>
            <w:u w:color="0000EE"/>
            <w:lang w:val="el" w:eastAsia="el"/>
          </w:rPr>
          <w:t>Τροποποίηση 4818/2021, Άρθρο 10</w:t>
        </w:r>
      </w:hyperlink>
    </w:p>
  </w:footnote>
  <w:footnote w:id="5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6" w:anchor="art_10" w:history="1">
        <w:r>
          <w:rPr>
            <w:rStyle w:val="Hyperlink"/>
            <w:b/>
            <w:bCs/>
            <w:color w:val="0000EE"/>
            <w:u w:color="0000EE"/>
            <w:lang w:val="el" w:eastAsia="el"/>
          </w:rPr>
          <w:t>Τροποποίηση 4818/2021, Άρθρο 10</w:t>
        </w:r>
      </w:hyperlink>
    </w:p>
  </w:footnote>
  <w:footnote w:id="5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7" w:anchor="art_10" w:history="1">
        <w:r>
          <w:rPr>
            <w:rStyle w:val="Hyperlink"/>
            <w:b/>
            <w:bCs/>
            <w:color w:val="0000EE"/>
            <w:u w:color="0000EE"/>
            <w:lang w:val="el" w:eastAsia="el"/>
          </w:rPr>
          <w:t>Τροποποίηση 4818/2021, Άρθρο 10</w:t>
        </w:r>
      </w:hyperlink>
    </w:p>
  </w:footnote>
  <w:footnote w:id="5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8" w:anchor="art_10" w:history="1">
        <w:r>
          <w:rPr>
            <w:rStyle w:val="Hyperlink"/>
            <w:b/>
            <w:bCs/>
            <w:color w:val="0000EE"/>
            <w:u w:color="0000EE"/>
            <w:lang w:val="el" w:eastAsia="el"/>
          </w:rPr>
          <w:t>Τροποποίηση 4818/2021, Άρθρο 10</w:t>
        </w:r>
      </w:hyperlink>
    </w:p>
  </w:footnote>
  <w:footnote w:id="5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9" w:anchor="art_10" w:history="1">
        <w:r>
          <w:rPr>
            <w:rStyle w:val="Hyperlink"/>
            <w:b/>
            <w:bCs/>
            <w:color w:val="0000EE"/>
            <w:u w:color="0000EE"/>
            <w:lang w:val="el" w:eastAsia="el"/>
          </w:rPr>
          <w:t>Τροποποίηση 4818/2021, Άρθρο 10</w:t>
        </w:r>
      </w:hyperlink>
    </w:p>
  </w:footnote>
  <w:footnote w:id="5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0" w:anchor="art_10" w:history="1">
        <w:r>
          <w:rPr>
            <w:rStyle w:val="Hyperlink"/>
            <w:b/>
            <w:bCs/>
            <w:color w:val="0000EE"/>
            <w:u w:color="0000EE"/>
            <w:lang w:val="el" w:eastAsia="el"/>
          </w:rPr>
          <w:t>Τροποποίηση 4818/2021, Άρθρο 10</w:t>
        </w:r>
      </w:hyperlink>
    </w:p>
  </w:footnote>
  <w:footnote w:id="5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1" w:anchor="art_10" w:history="1">
        <w:r>
          <w:rPr>
            <w:rStyle w:val="Hyperlink"/>
            <w:b/>
            <w:bCs/>
            <w:color w:val="0000EE"/>
            <w:u w:color="0000EE"/>
            <w:lang w:val="el" w:eastAsia="el"/>
          </w:rPr>
          <w:t>Τροποποίηση 4818/2021, Άρθρο 10</w:t>
        </w:r>
      </w:hyperlink>
    </w:p>
  </w:footnote>
  <w:footnote w:id="5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2" w:anchor="art_10" w:history="1">
        <w:r>
          <w:rPr>
            <w:rStyle w:val="Hyperlink"/>
            <w:b/>
            <w:bCs/>
            <w:color w:val="0000EE"/>
            <w:u w:color="0000EE"/>
            <w:lang w:val="el" w:eastAsia="el"/>
          </w:rPr>
          <w:t>Τροποποίηση 4818/2021, Άρθρο 10</w:t>
        </w:r>
      </w:hyperlink>
    </w:p>
  </w:footnote>
  <w:footnote w:id="5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3" w:anchor="art_10" w:history="1">
        <w:r>
          <w:rPr>
            <w:rStyle w:val="Hyperlink"/>
            <w:b/>
            <w:bCs/>
            <w:color w:val="0000EE"/>
            <w:u w:color="0000EE"/>
            <w:lang w:val="el" w:eastAsia="el"/>
          </w:rPr>
          <w:t>Τροποποίηση 4818/2021, Άρθρο 10</w:t>
        </w:r>
      </w:hyperlink>
    </w:p>
  </w:footnote>
  <w:footnote w:id="5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4" w:anchor="art_10" w:history="1">
        <w:r>
          <w:rPr>
            <w:rStyle w:val="Hyperlink"/>
            <w:b/>
            <w:bCs/>
            <w:color w:val="0000EE"/>
            <w:u w:color="0000EE"/>
            <w:lang w:val="el" w:eastAsia="el"/>
          </w:rPr>
          <w:t>Τροποποίηση 4818/2021, Άρθρο 10</w:t>
        </w:r>
      </w:hyperlink>
    </w:p>
  </w:footnote>
  <w:footnote w:id="5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5" w:anchor="art_10" w:history="1">
        <w:r>
          <w:rPr>
            <w:rStyle w:val="Hyperlink"/>
            <w:b/>
            <w:bCs/>
            <w:color w:val="0000EE"/>
            <w:u w:color="0000EE"/>
            <w:lang w:val="el" w:eastAsia="el"/>
          </w:rPr>
          <w:t>Τροποποίηση 4818/2021, Άρθρο 10</w:t>
        </w:r>
      </w:hyperlink>
    </w:p>
  </w:footnote>
  <w:footnote w:id="5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6" w:anchor="art_10" w:history="1">
        <w:r>
          <w:rPr>
            <w:rStyle w:val="Hyperlink"/>
            <w:b/>
            <w:bCs/>
            <w:color w:val="0000EE"/>
            <w:u w:color="0000EE"/>
            <w:lang w:val="el" w:eastAsia="el"/>
          </w:rPr>
          <w:t>Τροποποίηση 4818/2021, Άρθρο 10</w:t>
        </w:r>
      </w:hyperlink>
    </w:p>
  </w:footnote>
  <w:footnote w:id="5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7" w:anchor="art_10" w:history="1">
        <w:r>
          <w:rPr>
            <w:rStyle w:val="Hyperlink"/>
            <w:b/>
            <w:bCs/>
            <w:color w:val="0000EE"/>
            <w:u w:color="0000EE"/>
            <w:lang w:val="el" w:eastAsia="el"/>
          </w:rPr>
          <w:t>Τροποποίηση 4818/2021, Άρθρο 10</w:t>
        </w:r>
      </w:hyperlink>
    </w:p>
  </w:footnote>
  <w:footnote w:id="5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8" w:anchor="art_10" w:history="1">
        <w:r>
          <w:rPr>
            <w:rStyle w:val="Hyperlink"/>
            <w:b/>
            <w:bCs/>
            <w:color w:val="0000EE"/>
            <w:u w:color="0000EE"/>
            <w:lang w:val="el" w:eastAsia="el"/>
          </w:rPr>
          <w:t>Τροποποίηση 4818/2021, Άρθρο 10</w:t>
        </w:r>
      </w:hyperlink>
    </w:p>
  </w:footnote>
  <w:footnote w:id="5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9" w:anchor="art_10" w:history="1">
        <w:r>
          <w:rPr>
            <w:rStyle w:val="Hyperlink"/>
            <w:b/>
            <w:bCs/>
            <w:color w:val="0000EE"/>
            <w:u w:color="0000EE"/>
            <w:lang w:val="el" w:eastAsia="el"/>
          </w:rPr>
          <w:t>Τροποποίηση 4818/2021, Άρθρο 10</w:t>
        </w:r>
      </w:hyperlink>
    </w:p>
  </w:footnote>
  <w:footnote w:id="5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0" w:anchor="art_10" w:history="1">
        <w:r>
          <w:rPr>
            <w:rStyle w:val="Hyperlink"/>
            <w:b/>
            <w:bCs/>
            <w:color w:val="0000EE"/>
            <w:u w:color="0000EE"/>
            <w:lang w:val="el" w:eastAsia="el"/>
          </w:rPr>
          <w:t>Τροποποίηση 4818/2021, Άρθρο 10</w:t>
        </w:r>
      </w:hyperlink>
    </w:p>
  </w:footnote>
  <w:footnote w:id="5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1" w:anchor="art_10" w:history="1">
        <w:r>
          <w:rPr>
            <w:rStyle w:val="Hyperlink"/>
            <w:b/>
            <w:bCs/>
            <w:color w:val="0000EE"/>
            <w:u w:color="0000EE"/>
            <w:lang w:val="el" w:eastAsia="el"/>
          </w:rPr>
          <w:t>Τροποποίηση 4818/2021, Άρθρο 10</w:t>
        </w:r>
      </w:hyperlink>
    </w:p>
  </w:footnote>
  <w:footnote w:id="5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2" w:anchor="art_10" w:history="1">
        <w:r>
          <w:rPr>
            <w:rStyle w:val="Hyperlink"/>
            <w:b/>
            <w:bCs/>
            <w:color w:val="0000EE"/>
            <w:u w:color="0000EE"/>
            <w:lang w:val="el" w:eastAsia="el"/>
          </w:rPr>
          <w:t>Τροποποίηση 4818/2021, Άρθρο 10</w:t>
        </w:r>
      </w:hyperlink>
    </w:p>
  </w:footnote>
  <w:footnote w:id="5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3" w:anchor="art_10" w:history="1">
        <w:r>
          <w:rPr>
            <w:rStyle w:val="Hyperlink"/>
            <w:b/>
            <w:bCs/>
            <w:color w:val="0000EE"/>
            <w:u w:color="0000EE"/>
            <w:lang w:val="el" w:eastAsia="el"/>
          </w:rPr>
          <w:t>Τροποποίηση 4818/2021, Άρθρο 10</w:t>
        </w:r>
      </w:hyperlink>
    </w:p>
  </w:footnote>
  <w:footnote w:id="5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4" w:anchor="art_10" w:history="1">
        <w:r>
          <w:rPr>
            <w:rStyle w:val="Hyperlink"/>
            <w:b/>
            <w:bCs/>
            <w:color w:val="0000EE"/>
            <w:u w:color="0000EE"/>
            <w:lang w:val="el" w:eastAsia="el"/>
          </w:rPr>
          <w:t>Τροποποίηση 4818/2021, Άρθρο 10</w:t>
        </w:r>
      </w:hyperlink>
    </w:p>
  </w:footnote>
  <w:footnote w:id="5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5" w:anchor="art_10" w:history="1">
        <w:r>
          <w:rPr>
            <w:rStyle w:val="Hyperlink"/>
            <w:b/>
            <w:bCs/>
            <w:color w:val="0000EE"/>
            <w:u w:color="0000EE"/>
            <w:lang w:val="el" w:eastAsia="el"/>
          </w:rPr>
          <w:t>Τροποποίηση 4818/2021, Άρθρο 10</w:t>
        </w:r>
      </w:hyperlink>
    </w:p>
  </w:footnote>
  <w:footnote w:id="5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6" w:anchor="art_10" w:history="1">
        <w:r>
          <w:rPr>
            <w:rStyle w:val="Hyperlink"/>
            <w:b/>
            <w:bCs/>
            <w:color w:val="0000EE"/>
            <w:u w:color="0000EE"/>
            <w:lang w:val="el" w:eastAsia="el"/>
          </w:rPr>
          <w:t>Τροποποίηση 4818/2021, Άρθρο 10</w:t>
        </w:r>
      </w:hyperlink>
    </w:p>
  </w:footnote>
  <w:footnote w:id="5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7" w:anchor="art_10" w:history="1">
        <w:r>
          <w:rPr>
            <w:rStyle w:val="Hyperlink"/>
            <w:b/>
            <w:bCs/>
            <w:color w:val="0000EE"/>
            <w:u w:color="0000EE"/>
            <w:lang w:val="el" w:eastAsia="el"/>
          </w:rPr>
          <w:t>Τροποποίηση 4818/2021, Άρθρο 10</w:t>
        </w:r>
      </w:hyperlink>
    </w:p>
  </w:footnote>
  <w:footnote w:id="5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8" w:anchor="art_10" w:history="1">
        <w:r>
          <w:rPr>
            <w:rStyle w:val="Hyperlink"/>
            <w:b/>
            <w:bCs/>
            <w:color w:val="0000EE"/>
            <w:u w:color="0000EE"/>
            <w:lang w:val="el" w:eastAsia="el"/>
          </w:rPr>
          <w:t>Τροποποίηση 4818/2021, Άρθρο 10</w:t>
        </w:r>
      </w:hyperlink>
    </w:p>
  </w:footnote>
  <w:footnote w:id="5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9" w:anchor="art_10" w:history="1">
        <w:r>
          <w:rPr>
            <w:rStyle w:val="Hyperlink"/>
            <w:b/>
            <w:bCs/>
            <w:color w:val="0000EE"/>
            <w:u w:color="0000EE"/>
            <w:lang w:val="el" w:eastAsia="el"/>
          </w:rPr>
          <w:t>Τροποποίηση 4818/2021, Άρθρο 10</w:t>
        </w:r>
      </w:hyperlink>
    </w:p>
  </w:footnote>
  <w:footnote w:id="5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0" w:anchor="art_10" w:history="1">
        <w:r>
          <w:rPr>
            <w:rStyle w:val="Hyperlink"/>
            <w:b/>
            <w:bCs/>
            <w:color w:val="0000EE"/>
            <w:u w:color="0000EE"/>
            <w:lang w:val="el" w:eastAsia="el"/>
          </w:rPr>
          <w:t>Τροποποίηση 4818/2021, Άρθρο 10</w:t>
        </w:r>
      </w:hyperlink>
    </w:p>
  </w:footnote>
  <w:footnote w:id="5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1" w:anchor="art_10" w:history="1">
        <w:r>
          <w:rPr>
            <w:rStyle w:val="Hyperlink"/>
            <w:b/>
            <w:bCs/>
            <w:color w:val="0000EE"/>
            <w:u w:color="0000EE"/>
            <w:lang w:val="el" w:eastAsia="el"/>
          </w:rPr>
          <w:t>Τροποποίηση 4818/2021, Άρθρο 10</w:t>
        </w:r>
      </w:hyperlink>
    </w:p>
  </w:footnote>
  <w:footnote w:id="5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2" w:anchor="art_10" w:history="1">
        <w:r>
          <w:rPr>
            <w:rStyle w:val="Hyperlink"/>
            <w:b/>
            <w:bCs/>
            <w:color w:val="0000EE"/>
            <w:u w:color="0000EE"/>
            <w:lang w:val="el" w:eastAsia="el"/>
          </w:rPr>
          <w:t>Τροποποίηση 4818/2021, Άρθρο 10</w:t>
        </w:r>
      </w:hyperlink>
    </w:p>
  </w:footnote>
  <w:footnote w:id="5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3" w:anchor="art_10" w:history="1">
        <w:r>
          <w:rPr>
            <w:rStyle w:val="Hyperlink"/>
            <w:b/>
            <w:bCs/>
            <w:color w:val="0000EE"/>
            <w:u w:color="0000EE"/>
            <w:lang w:val="el" w:eastAsia="el"/>
          </w:rPr>
          <w:t>Τροποποίηση 4818/2021, Άρθρο 10</w:t>
        </w:r>
      </w:hyperlink>
    </w:p>
  </w:footnote>
  <w:footnote w:id="5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4" w:anchor="art_10" w:history="1">
        <w:r>
          <w:rPr>
            <w:rStyle w:val="Hyperlink"/>
            <w:b/>
            <w:bCs/>
            <w:color w:val="0000EE"/>
            <w:u w:color="0000EE"/>
            <w:lang w:val="el" w:eastAsia="el"/>
          </w:rPr>
          <w:t>Τροποποίηση 4818/2021, Άρθρο 10</w:t>
        </w:r>
      </w:hyperlink>
    </w:p>
  </w:footnote>
  <w:footnote w:id="5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5" w:anchor="art_11" w:history="1">
        <w:r>
          <w:rPr>
            <w:rStyle w:val="Hyperlink"/>
            <w:b/>
            <w:bCs/>
            <w:color w:val="0000EE"/>
            <w:u w:color="0000EE"/>
            <w:lang w:val="el" w:eastAsia="el"/>
          </w:rPr>
          <w:t>Προσθήκη 4818/2021, Άρθρο 11</w:t>
        </w:r>
      </w:hyperlink>
    </w:p>
  </w:footnote>
  <w:footnote w:id="5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6" w:anchor="art_11" w:history="1">
        <w:r>
          <w:rPr>
            <w:rStyle w:val="Hyperlink"/>
            <w:b/>
            <w:bCs/>
            <w:color w:val="0000EE"/>
            <w:u w:color="0000EE"/>
            <w:lang w:val="el" w:eastAsia="el"/>
          </w:rPr>
          <w:t>Προσθήκη 4818/2021, Άρθρο 11</w:t>
        </w:r>
      </w:hyperlink>
    </w:p>
  </w:footnote>
  <w:footnote w:id="5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7" w:anchor="art_11" w:history="1">
        <w:r>
          <w:rPr>
            <w:rStyle w:val="Hyperlink"/>
            <w:b/>
            <w:bCs/>
            <w:color w:val="0000EE"/>
            <w:u w:color="0000EE"/>
            <w:lang w:val="el" w:eastAsia="el"/>
          </w:rPr>
          <w:t>Προσθήκη 4818/2021, Άρθρο 11</w:t>
        </w:r>
      </w:hyperlink>
    </w:p>
  </w:footnote>
  <w:footnote w:id="5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8" w:anchor="art_11" w:history="1">
        <w:r>
          <w:rPr>
            <w:rStyle w:val="Hyperlink"/>
            <w:b/>
            <w:bCs/>
            <w:color w:val="0000EE"/>
            <w:u w:color="0000EE"/>
            <w:lang w:val="el" w:eastAsia="el"/>
          </w:rPr>
          <w:t>Προσθήκη 4818/2021, Άρθρο 11</w:t>
        </w:r>
      </w:hyperlink>
    </w:p>
  </w:footnote>
  <w:footnote w:id="5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9" w:anchor="art_11" w:history="1">
        <w:r>
          <w:rPr>
            <w:rStyle w:val="Hyperlink"/>
            <w:b/>
            <w:bCs/>
            <w:color w:val="0000EE"/>
            <w:u w:color="0000EE"/>
            <w:lang w:val="el" w:eastAsia="el"/>
          </w:rPr>
          <w:t>Προσθήκη 4818/2021, Άρθρο 11</w:t>
        </w:r>
      </w:hyperlink>
    </w:p>
  </w:footnote>
  <w:footnote w:id="5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0" w:anchor="art_11" w:history="1">
        <w:r>
          <w:rPr>
            <w:rStyle w:val="Hyperlink"/>
            <w:b/>
            <w:bCs/>
            <w:color w:val="0000EE"/>
            <w:u w:color="0000EE"/>
            <w:lang w:val="el" w:eastAsia="el"/>
          </w:rPr>
          <w:t>Προσθήκη 4818/2021, Άρθρο 11</w:t>
        </w:r>
      </w:hyperlink>
    </w:p>
  </w:footnote>
  <w:footnote w:id="5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1" w:anchor="art_11" w:history="1">
        <w:r>
          <w:rPr>
            <w:rStyle w:val="Hyperlink"/>
            <w:b/>
            <w:bCs/>
            <w:color w:val="0000EE"/>
            <w:u w:color="0000EE"/>
            <w:lang w:val="el" w:eastAsia="el"/>
          </w:rPr>
          <w:t>Προσθήκη 4818/2021, Άρθρο 11</w:t>
        </w:r>
      </w:hyperlink>
    </w:p>
  </w:footnote>
  <w:footnote w:id="5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2" w:anchor="art_11" w:history="1">
        <w:r>
          <w:rPr>
            <w:rStyle w:val="Hyperlink"/>
            <w:b/>
            <w:bCs/>
            <w:color w:val="0000EE"/>
            <w:u w:color="0000EE"/>
            <w:lang w:val="el" w:eastAsia="el"/>
          </w:rPr>
          <w:t>Προσθήκη 4818/2021, Άρθρο 11</w:t>
        </w:r>
      </w:hyperlink>
    </w:p>
  </w:footnote>
  <w:footnote w:id="5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3" w:anchor="art_11" w:history="1">
        <w:r>
          <w:rPr>
            <w:rStyle w:val="Hyperlink"/>
            <w:b/>
            <w:bCs/>
            <w:color w:val="0000EE"/>
            <w:u w:color="0000EE"/>
            <w:lang w:val="el" w:eastAsia="el"/>
          </w:rPr>
          <w:t>Προσθήκη 4818/2021, Άρθρο 11</w:t>
        </w:r>
      </w:hyperlink>
    </w:p>
  </w:footnote>
  <w:footnote w:id="5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4" w:anchor="art_11" w:history="1">
        <w:r>
          <w:rPr>
            <w:rStyle w:val="Hyperlink"/>
            <w:b/>
            <w:bCs/>
            <w:color w:val="0000EE"/>
            <w:u w:color="0000EE"/>
            <w:lang w:val="el" w:eastAsia="el"/>
          </w:rPr>
          <w:t>Προσθήκη 4818/2021, Άρθρο 11</w:t>
        </w:r>
      </w:hyperlink>
    </w:p>
  </w:footnote>
  <w:footnote w:id="5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5" w:anchor="art_11" w:history="1">
        <w:r>
          <w:rPr>
            <w:rStyle w:val="Hyperlink"/>
            <w:b/>
            <w:bCs/>
            <w:color w:val="0000EE"/>
            <w:u w:color="0000EE"/>
            <w:lang w:val="el" w:eastAsia="el"/>
          </w:rPr>
          <w:t>Προσθήκη 4818/2021, Άρθρο 11</w:t>
        </w:r>
      </w:hyperlink>
    </w:p>
  </w:footnote>
  <w:footnote w:id="5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6" w:anchor="art_11" w:history="1">
        <w:r>
          <w:rPr>
            <w:rStyle w:val="Hyperlink"/>
            <w:b/>
            <w:bCs/>
            <w:color w:val="0000EE"/>
            <w:u w:color="0000EE"/>
            <w:lang w:val="el" w:eastAsia="el"/>
          </w:rPr>
          <w:t>Προσθήκη 4818/2021, Άρθρο 11</w:t>
        </w:r>
      </w:hyperlink>
    </w:p>
  </w:footnote>
  <w:footnote w:id="5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7" w:anchor="art_11" w:history="1">
        <w:r>
          <w:rPr>
            <w:rStyle w:val="Hyperlink"/>
            <w:b/>
            <w:bCs/>
            <w:color w:val="0000EE"/>
            <w:u w:color="0000EE"/>
            <w:lang w:val="el" w:eastAsia="el"/>
          </w:rPr>
          <w:t>Προσθήκη 4818/2021, Άρθρο 11</w:t>
        </w:r>
      </w:hyperlink>
    </w:p>
  </w:footnote>
  <w:footnote w:id="5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8" w:anchor="art_11" w:history="1">
        <w:r>
          <w:rPr>
            <w:rStyle w:val="Hyperlink"/>
            <w:b/>
            <w:bCs/>
            <w:color w:val="0000EE"/>
            <w:u w:color="0000EE"/>
            <w:lang w:val="el" w:eastAsia="el"/>
          </w:rPr>
          <w:t>Προσθήκη 4818/2021, Άρθρο 11</w:t>
        </w:r>
      </w:hyperlink>
    </w:p>
  </w:footnote>
  <w:footnote w:id="5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9" w:anchor="art_11" w:history="1">
        <w:r>
          <w:rPr>
            <w:rStyle w:val="Hyperlink"/>
            <w:b/>
            <w:bCs/>
            <w:color w:val="0000EE"/>
            <w:u w:color="0000EE"/>
            <w:lang w:val="el" w:eastAsia="el"/>
          </w:rPr>
          <w:t>Προσθήκη 4818/2021, Άρθρο 11</w:t>
        </w:r>
      </w:hyperlink>
    </w:p>
  </w:footnote>
  <w:footnote w:id="5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0" w:anchor="art_11" w:history="1">
        <w:r>
          <w:rPr>
            <w:rStyle w:val="Hyperlink"/>
            <w:b/>
            <w:bCs/>
            <w:color w:val="0000EE"/>
            <w:u w:color="0000EE"/>
            <w:lang w:val="el" w:eastAsia="el"/>
          </w:rPr>
          <w:t>Προσθήκη 4818/2021, Άρθρο 11</w:t>
        </w:r>
      </w:hyperlink>
    </w:p>
  </w:footnote>
  <w:footnote w:id="5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1" w:anchor="art_11" w:history="1">
        <w:r>
          <w:rPr>
            <w:rStyle w:val="Hyperlink"/>
            <w:b/>
            <w:bCs/>
            <w:color w:val="0000EE"/>
            <w:u w:color="0000EE"/>
            <w:lang w:val="el" w:eastAsia="el"/>
          </w:rPr>
          <w:t>Προσθήκη 4818/2021, Άρθρο 11</w:t>
        </w:r>
      </w:hyperlink>
    </w:p>
  </w:footnote>
  <w:footnote w:id="5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2" w:anchor="art_11" w:history="1">
        <w:r>
          <w:rPr>
            <w:rStyle w:val="Hyperlink"/>
            <w:b/>
            <w:bCs/>
            <w:color w:val="0000EE"/>
            <w:u w:color="0000EE"/>
            <w:lang w:val="el" w:eastAsia="el"/>
          </w:rPr>
          <w:t>Προσθήκη 4818/2021, Άρθρο 11</w:t>
        </w:r>
      </w:hyperlink>
    </w:p>
  </w:footnote>
  <w:footnote w:id="5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3" w:anchor="art_11" w:history="1">
        <w:r>
          <w:rPr>
            <w:rStyle w:val="Hyperlink"/>
            <w:b/>
            <w:bCs/>
            <w:color w:val="0000EE"/>
            <w:u w:color="0000EE"/>
            <w:lang w:val="el" w:eastAsia="el"/>
          </w:rPr>
          <w:t>Προσθήκη 4818/2021, Άρθρο 11</w:t>
        </w:r>
      </w:hyperlink>
    </w:p>
  </w:footnote>
  <w:footnote w:id="5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4" w:anchor="art_11" w:history="1">
        <w:r>
          <w:rPr>
            <w:rStyle w:val="Hyperlink"/>
            <w:b/>
            <w:bCs/>
            <w:color w:val="0000EE"/>
            <w:u w:color="0000EE"/>
            <w:lang w:val="el" w:eastAsia="el"/>
          </w:rPr>
          <w:t>Προσθήκη 4818/2021, Άρθρο 11</w:t>
        </w:r>
      </w:hyperlink>
    </w:p>
  </w:footnote>
  <w:footnote w:id="5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5" w:anchor="art_11" w:history="1">
        <w:r>
          <w:rPr>
            <w:rStyle w:val="Hyperlink"/>
            <w:b/>
            <w:bCs/>
            <w:color w:val="0000EE"/>
            <w:u w:color="0000EE"/>
            <w:lang w:val="el" w:eastAsia="el"/>
          </w:rPr>
          <w:t>Προσθήκη 4818/2021, Άρθρο 11</w:t>
        </w:r>
      </w:hyperlink>
    </w:p>
  </w:footnote>
  <w:footnote w:id="5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6" w:anchor="art_11" w:history="1">
        <w:r>
          <w:rPr>
            <w:rStyle w:val="Hyperlink"/>
            <w:b/>
            <w:bCs/>
            <w:color w:val="0000EE"/>
            <w:u w:color="0000EE"/>
            <w:lang w:val="el" w:eastAsia="el"/>
          </w:rPr>
          <w:t>Προσθήκη 4818/2021, Άρθρο 11</w:t>
        </w:r>
      </w:hyperlink>
    </w:p>
  </w:footnote>
  <w:footnote w:id="5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7" w:anchor="art_11" w:history="1">
        <w:r>
          <w:rPr>
            <w:rStyle w:val="Hyperlink"/>
            <w:b/>
            <w:bCs/>
            <w:color w:val="0000EE"/>
            <w:u w:color="0000EE"/>
            <w:lang w:val="el" w:eastAsia="el"/>
          </w:rPr>
          <w:t>Προσθήκη 4818/2021, Άρθρο 11</w:t>
        </w:r>
      </w:hyperlink>
    </w:p>
  </w:footnote>
  <w:footnote w:id="5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8" w:anchor="art_11" w:history="1">
        <w:r>
          <w:rPr>
            <w:rStyle w:val="Hyperlink"/>
            <w:b/>
            <w:bCs/>
            <w:color w:val="0000EE"/>
            <w:u w:color="0000EE"/>
            <w:lang w:val="el" w:eastAsia="el"/>
          </w:rPr>
          <w:t>Προσθήκη 4818/2021, Άρθρο 11</w:t>
        </w:r>
      </w:hyperlink>
    </w:p>
  </w:footnote>
  <w:footnote w:id="6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9" w:anchor="art_11" w:history="1">
        <w:r>
          <w:rPr>
            <w:rStyle w:val="Hyperlink"/>
            <w:b/>
            <w:bCs/>
            <w:color w:val="0000EE"/>
            <w:u w:color="0000EE"/>
            <w:lang w:val="el" w:eastAsia="el"/>
          </w:rPr>
          <w:t>Προσθήκη 4818/2021, Άρθρο 11</w:t>
        </w:r>
      </w:hyperlink>
    </w:p>
  </w:footnote>
  <w:footnote w:id="6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0" w:anchor="art_11" w:history="1">
        <w:r>
          <w:rPr>
            <w:rStyle w:val="Hyperlink"/>
            <w:b/>
            <w:bCs/>
            <w:color w:val="0000EE"/>
            <w:u w:color="0000EE"/>
            <w:lang w:val="el" w:eastAsia="el"/>
          </w:rPr>
          <w:t>Προσθήκη 4818/2021, Άρθρο 11</w:t>
        </w:r>
      </w:hyperlink>
    </w:p>
  </w:footnote>
  <w:footnote w:id="6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1" w:anchor="art_11" w:history="1">
        <w:r>
          <w:rPr>
            <w:rStyle w:val="Hyperlink"/>
            <w:b/>
            <w:bCs/>
            <w:color w:val="0000EE"/>
            <w:u w:color="0000EE"/>
            <w:lang w:val="el" w:eastAsia="el"/>
          </w:rPr>
          <w:t>Προσθήκη 4818/2021, Άρθρο 11</w:t>
        </w:r>
      </w:hyperlink>
    </w:p>
  </w:footnote>
  <w:footnote w:id="6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2" w:anchor="art_11" w:history="1">
        <w:r>
          <w:rPr>
            <w:rStyle w:val="Hyperlink"/>
            <w:b/>
            <w:bCs/>
            <w:color w:val="0000EE"/>
            <w:u w:color="0000EE"/>
            <w:lang w:val="el" w:eastAsia="el"/>
          </w:rPr>
          <w:t>Προσθήκη 4818/2021, Άρθρο 11</w:t>
        </w:r>
      </w:hyperlink>
    </w:p>
  </w:footnote>
  <w:footnote w:id="6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3" w:anchor="art_11" w:history="1">
        <w:r>
          <w:rPr>
            <w:rStyle w:val="Hyperlink"/>
            <w:b/>
            <w:bCs/>
            <w:color w:val="0000EE"/>
            <w:u w:color="0000EE"/>
            <w:lang w:val="el" w:eastAsia="el"/>
          </w:rPr>
          <w:t>Προσθήκη 4818/2021, Άρθρο 11</w:t>
        </w:r>
      </w:hyperlink>
    </w:p>
  </w:footnote>
  <w:footnote w:id="6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4" w:anchor="art_11" w:history="1">
        <w:r>
          <w:rPr>
            <w:rStyle w:val="Hyperlink"/>
            <w:b/>
            <w:bCs/>
            <w:color w:val="0000EE"/>
            <w:u w:color="0000EE"/>
            <w:lang w:val="el" w:eastAsia="el"/>
          </w:rPr>
          <w:t>Προσθήκη 4818/2021, Άρθρο 11</w:t>
        </w:r>
      </w:hyperlink>
    </w:p>
  </w:footnote>
  <w:footnote w:id="6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5" w:anchor="art_11" w:history="1">
        <w:r>
          <w:rPr>
            <w:rStyle w:val="Hyperlink"/>
            <w:b/>
            <w:bCs/>
            <w:color w:val="0000EE"/>
            <w:u w:color="0000EE"/>
            <w:lang w:val="el" w:eastAsia="el"/>
          </w:rPr>
          <w:t>Προσθήκη 4818/2021, Άρθρο 11</w:t>
        </w:r>
      </w:hyperlink>
    </w:p>
  </w:footnote>
  <w:footnote w:id="6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6" w:anchor="art_11" w:history="1">
        <w:r>
          <w:rPr>
            <w:rStyle w:val="Hyperlink"/>
            <w:b/>
            <w:bCs/>
            <w:color w:val="0000EE"/>
            <w:u w:color="0000EE"/>
            <w:lang w:val="el" w:eastAsia="el"/>
          </w:rPr>
          <w:t>Προσθήκη 4818/2021, Άρθρο 11</w:t>
        </w:r>
      </w:hyperlink>
    </w:p>
  </w:footnote>
  <w:footnote w:id="6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7" w:anchor="art_11" w:history="1">
        <w:r>
          <w:rPr>
            <w:rStyle w:val="Hyperlink"/>
            <w:b/>
            <w:bCs/>
            <w:color w:val="0000EE"/>
            <w:u w:color="0000EE"/>
            <w:lang w:val="el" w:eastAsia="el"/>
          </w:rPr>
          <w:t>Προσθήκη 4818/2021, Άρθρο 11</w:t>
        </w:r>
      </w:hyperlink>
    </w:p>
  </w:footnote>
  <w:footnote w:id="6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8" w:anchor="art_11" w:history="1">
        <w:r>
          <w:rPr>
            <w:rStyle w:val="Hyperlink"/>
            <w:b/>
            <w:bCs/>
            <w:color w:val="0000EE"/>
            <w:u w:color="0000EE"/>
            <w:lang w:val="el" w:eastAsia="el"/>
          </w:rPr>
          <w:t>Προσθήκη 4818/2021, Άρθρο 11</w:t>
        </w:r>
      </w:hyperlink>
    </w:p>
  </w:footnote>
  <w:footnote w:id="6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9" w:anchor="art_11" w:history="1">
        <w:r>
          <w:rPr>
            <w:rStyle w:val="Hyperlink"/>
            <w:b/>
            <w:bCs/>
            <w:color w:val="0000EE"/>
            <w:u w:color="0000EE"/>
            <w:lang w:val="el" w:eastAsia="el"/>
          </w:rPr>
          <w:t>Προσθήκη 4818/2021, Άρθρο 11</w:t>
        </w:r>
      </w:hyperlink>
    </w:p>
  </w:footnote>
  <w:footnote w:id="6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0" w:anchor="art_11" w:history="1">
        <w:r>
          <w:rPr>
            <w:rStyle w:val="Hyperlink"/>
            <w:b/>
            <w:bCs/>
            <w:color w:val="0000EE"/>
            <w:u w:color="0000EE"/>
            <w:lang w:val="el" w:eastAsia="el"/>
          </w:rPr>
          <w:t>Προσθήκη 4818/2021, Άρθρο 11</w:t>
        </w:r>
      </w:hyperlink>
    </w:p>
  </w:footnote>
  <w:footnote w:id="6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1" w:anchor="art_11" w:history="1">
        <w:r>
          <w:rPr>
            <w:rStyle w:val="Hyperlink"/>
            <w:b/>
            <w:bCs/>
            <w:color w:val="0000EE"/>
            <w:u w:color="0000EE"/>
            <w:lang w:val="el" w:eastAsia="el"/>
          </w:rPr>
          <w:t>Προσθήκη 4818/2021, Άρθρο 11</w:t>
        </w:r>
      </w:hyperlink>
    </w:p>
  </w:footnote>
  <w:footnote w:id="6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2" w:anchor="art_11" w:history="1">
        <w:r>
          <w:rPr>
            <w:rStyle w:val="Hyperlink"/>
            <w:b/>
            <w:bCs/>
            <w:color w:val="0000EE"/>
            <w:u w:color="0000EE"/>
            <w:lang w:val="el" w:eastAsia="el"/>
          </w:rPr>
          <w:t>Προσθήκη 4818/2021, Άρθρο 11</w:t>
        </w:r>
      </w:hyperlink>
    </w:p>
  </w:footnote>
  <w:footnote w:id="6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3" w:anchor="art_11" w:history="1">
        <w:r>
          <w:rPr>
            <w:rStyle w:val="Hyperlink"/>
            <w:b/>
            <w:bCs/>
            <w:color w:val="0000EE"/>
            <w:u w:color="0000EE"/>
            <w:lang w:val="el" w:eastAsia="el"/>
          </w:rPr>
          <w:t>Προσθήκη 4818/2021, Άρθρο 11</w:t>
        </w:r>
      </w:hyperlink>
    </w:p>
  </w:footnote>
  <w:footnote w:id="6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4" w:anchor="art_11" w:history="1">
        <w:r>
          <w:rPr>
            <w:rStyle w:val="Hyperlink"/>
            <w:b/>
            <w:bCs/>
            <w:color w:val="0000EE"/>
            <w:u w:color="0000EE"/>
            <w:lang w:val="el" w:eastAsia="el"/>
          </w:rPr>
          <w:t>Προσθήκη 4818/2021, Άρθρο 11</w:t>
        </w:r>
      </w:hyperlink>
    </w:p>
  </w:footnote>
  <w:footnote w:id="6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5" w:anchor="art_11" w:history="1">
        <w:r>
          <w:rPr>
            <w:rStyle w:val="Hyperlink"/>
            <w:b/>
            <w:bCs/>
            <w:color w:val="0000EE"/>
            <w:u w:color="0000EE"/>
            <w:lang w:val="el" w:eastAsia="el"/>
          </w:rPr>
          <w:t>Προσθήκη 4818/2021, Άρθρο 11</w:t>
        </w:r>
      </w:hyperlink>
    </w:p>
  </w:footnote>
  <w:footnote w:id="6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6" w:anchor="art_11" w:history="1">
        <w:r>
          <w:rPr>
            <w:rStyle w:val="Hyperlink"/>
            <w:b/>
            <w:bCs/>
            <w:color w:val="0000EE"/>
            <w:u w:color="0000EE"/>
            <w:lang w:val="el" w:eastAsia="el"/>
          </w:rPr>
          <w:t>Προσθήκη 4818/2021, Άρθρο 11</w:t>
        </w:r>
      </w:hyperlink>
    </w:p>
  </w:footnote>
  <w:footnote w:id="6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7" w:anchor="art_11" w:history="1">
        <w:r>
          <w:rPr>
            <w:rStyle w:val="Hyperlink"/>
            <w:b/>
            <w:bCs/>
            <w:color w:val="0000EE"/>
            <w:u w:color="0000EE"/>
            <w:lang w:val="el" w:eastAsia="el"/>
          </w:rPr>
          <w:t>Προσθήκη 4818/2021, Άρθρο 11</w:t>
        </w:r>
      </w:hyperlink>
    </w:p>
  </w:footnote>
  <w:footnote w:id="6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8" w:anchor="art_11" w:history="1">
        <w:r>
          <w:rPr>
            <w:rStyle w:val="Hyperlink"/>
            <w:b/>
            <w:bCs/>
            <w:color w:val="0000EE"/>
            <w:u w:color="0000EE"/>
            <w:lang w:val="el" w:eastAsia="el"/>
          </w:rPr>
          <w:t>Προσθήκη 4818/2021, Άρθρο 11</w:t>
        </w:r>
      </w:hyperlink>
    </w:p>
  </w:footnote>
  <w:footnote w:id="6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9" w:anchor="art_11" w:history="1">
        <w:r>
          <w:rPr>
            <w:rStyle w:val="Hyperlink"/>
            <w:b/>
            <w:bCs/>
            <w:color w:val="0000EE"/>
            <w:u w:color="0000EE"/>
            <w:lang w:val="el" w:eastAsia="el"/>
          </w:rPr>
          <w:t>Προσθήκη 4818/2021, Άρθρο 11</w:t>
        </w:r>
      </w:hyperlink>
    </w:p>
  </w:footnote>
  <w:footnote w:id="6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0" w:anchor="art_11" w:history="1">
        <w:r>
          <w:rPr>
            <w:rStyle w:val="Hyperlink"/>
            <w:b/>
            <w:bCs/>
            <w:color w:val="0000EE"/>
            <w:u w:color="0000EE"/>
            <w:lang w:val="el" w:eastAsia="el"/>
          </w:rPr>
          <w:t>Προσθήκη 4818/2021, Άρθρο 11</w:t>
        </w:r>
      </w:hyperlink>
    </w:p>
  </w:footnote>
  <w:footnote w:id="6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1" w:anchor="art_11" w:history="1">
        <w:r>
          <w:rPr>
            <w:rStyle w:val="Hyperlink"/>
            <w:b/>
            <w:bCs/>
            <w:color w:val="0000EE"/>
            <w:u w:color="0000EE"/>
            <w:lang w:val="el" w:eastAsia="el"/>
          </w:rPr>
          <w:t>Προσθήκη 4818/2021, Άρθρο 11</w:t>
        </w:r>
      </w:hyperlink>
    </w:p>
  </w:footnote>
  <w:footnote w:id="6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2" w:anchor="art_11" w:history="1">
        <w:r>
          <w:rPr>
            <w:rStyle w:val="Hyperlink"/>
            <w:b/>
            <w:bCs/>
            <w:color w:val="0000EE"/>
            <w:u w:color="0000EE"/>
            <w:lang w:val="el" w:eastAsia="el"/>
          </w:rPr>
          <w:t>Προσθήκη 4818/2021, Άρθρο 11</w:t>
        </w:r>
      </w:hyperlink>
    </w:p>
  </w:footnote>
  <w:footnote w:id="6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3" w:anchor="art_11" w:history="1">
        <w:r>
          <w:rPr>
            <w:rStyle w:val="Hyperlink"/>
            <w:b/>
            <w:bCs/>
            <w:color w:val="0000EE"/>
            <w:u w:color="0000EE"/>
            <w:lang w:val="el" w:eastAsia="el"/>
          </w:rPr>
          <w:t>Προσθήκη 4818/2021, Άρθρο 11</w:t>
        </w:r>
      </w:hyperlink>
    </w:p>
  </w:footnote>
  <w:footnote w:id="6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4" w:anchor="art_11" w:history="1">
        <w:r>
          <w:rPr>
            <w:rStyle w:val="Hyperlink"/>
            <w:b/>
            <w:bCs/>
            <w:color w:val="0000EE"/>
            <w:u w:color="0000EE"/>
            <w:lang w:val="el" w:eastAsia="el"/>
          </w:rPr>
          <w:t>Προσθήκη 4818/2021, Άρθρο 11</w:t>
        </w:r>
      </w:hyperlink>
    </w:p>
  </w:footnote>
  <w:footnote w:id="6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5" w:anchor="art_11" w:history="1">
        <w:r>
          <w:rPr>
            <w:rStyle w:val="Hyperlink"/>
            <w:b/>
            <w:bCs/>
            <w:color w:val="0000EE"/>
            <w:u w:color="0000EE"/>
            <w:lang w:val="el" w:eastAsia="el"/>
          </w:rPr>
          <w:t>Προσθήκη 4818/2021, Άρθρο 11</w:t>
        </w:r>
      </w:hyperlink>
    </w:p>
  </w:footnote>
  <w:footnote w:id="6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6" w:anchor="art_11" w:history="1">
        <w:r>
          <w:rPr>
            <w:rStyle w:val="Hyperlink"/>
            <w:b/>
            <w:bCs/>
            <w:color w:val="0000EE"/>
            <w:u w:color="0000EE"/>
            <w:lang w:val="el" w:eastAsia="el"/>
          </w:rPr>
          <w:t>Προσθήκη 4818/2021, Άρθρο 11</w:t>
        </w:r>
      </w:hyperlink>
    </w:p>
  </w:footnote>
  <w:footnote w:id="6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7" w:anchor="art_11" w:history="1">
        <w:r>
          <w:rPr>
            <w:rStyle w:val="Hyperlink"/>
            <w:b/>
            <w:bCs/>
            <w:color w:val="0000EE"/>
            <w:u w:color="0000EE"/>
            <w:lang w:val="el" w:eastAsia="el"/>
          </w:rPr>
          <w:t>Προσθήκη 4818/2021, Άρθρο 11</w:t>
        </w:r>
      </w:hyperlink>
    </w:p>
  </w:footnote>
  <w:footnote w:id="6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8" w:anchor="art_11" w:history="1">
        <w:r>
          <w:rPr>
            <w:rStyle w:val="Hyperlink"/>
            <w:b/>
            <w:bCs/>
            <w:color w:val="0000EE"/>
            <w:u w:color="0000EE"/>
            <w:lang w:val="el" w:eastAsia="el"/>
          </w:rPr>
          <w:t>Προσθήκη 4818/2021, Άρθρο 11</w:t>
        </w:r>
      </w:hyperlink>
    </w:p>
  </w:footnote>
  <w:footnote w:id="6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9" w:anchor="art_11" w:history="1">
        <w:r>
          <w:rPr>
            <w:rStyle w:val="Hyperlink"/>
            <w:b/>
            <w:bCs/>
            <w:color w:val="0000EE"/>
            <w:u w:color="0000EE"/>
            <w:lang w:val="el" w:eastAsia="el"/>
          </w:rPr>
          <w:t>Προσθήκη 4818/2021, Άρθρο 11</w:t>
        </w:r>
      </w:hyperlink>
    </w:p>
  </w:footnote>
  <w:footnote w:id="6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0" w:anchor="art_11" w:history="1">
        <w:r>
          <w:rPr>
            <w:rStyle w:val="Hyperlink"/>
            <w:b/>
            <w:bCs/>
            <w:color w:val="0000EE"/>
            <w:u w:color="0000EE"/>
            <w:lang w:val="el" w:eastAsia="el"/>
          </w:rPr>
          <w:t>Προσθήκη 4818/2021, Άρθρο 11</w:t>
        </w:r>
      </w:hyperlink>
    </w:p>
  </w:footnote>
  <w:footnote w:id="6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1" w:anchor="art_11" w:history="1">
        <w:r>
          <w:rPr>
            <w:rStyle w:val="Hyperlink"/>
            <w:b/>
            <w:bCs/>
            <w:color w:val="0000EE"/>
            <w:u w:color="0000EE"/>
            <w:lang w:val="el" w:eastAsia="el"/>
          </w:rPr>
          <w:t>Προσθήκη 4818/2021, Άρθρο 11</w:t>
        </w:r>
      </w:hyperlink>
    </w:p>
  </w:footnote>
  <w:footnote w:id="6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2" w:anchor="art_11" w:history="1">
        <w:r>
          <w:rPr>
            <w:rStyle w:val="Hyperlink"/>
            <w:b/>
            <w:bCs/>
            <w:color w:val="0000EE"/>
            <w:u w:color="0000EE"/>
            <w:lang w:val="el" w:eastAsia="el"/>
          </w:rPr>
          <w:t>Προσθήκη 4818/2021, Άρθρο 11</w:t>
        </w:r>
      </w:hyperlink>
    </w:p>
  </w:footnote>
  <w:footnote w:id="6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3" w:anchor="art_11" w:history="1">
        <w:r>
          <w:rPr>
            <w:rStyle w:val="Hyperlink"/>
            <w:b/>
            <w:bCs/>
            <w:color w:val="0000EE"/>
            <w:u w:color="0000EE"/>
            <w:lang w:val="el" w:eastAsia="el"/>
          </w:rPr>
          <w:t>Προσθήκη 4818/2021, Άρθρο 11</w:t>
        </w:r>
      </w:hyperlink>
    </w:p>
  </w:footnote>
  <w:footnote w:id="6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4" w:anchor="art_11" w:history="1">
        <w:r>
          <w:rPr>
            <w:rStyle w:val="Hyperlink"/>
            <w:b/>
            <w:bCs/>
            <w:color w:val="0000EE"/>
            <w:u w:color="0000EE"/>
            <w:lang w:val="el" w:eastAsia="el"/>
          </w:rPr>
          <w:t>Προσθήκη 4818/2021, Άρθρο 11</w:t>
        </w:r>
      </w:hyperlink>
    </w:p>
  </w:footnote>
  <w:footnote w:id="6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5" w:anchor="art_11" w:history="1">
        <w:r>
          <w:rPr>
            <w:rStyle w:val="Hyperlink"/>
            <w:b/>
            <w:bCs/>
            <w:color w:val="0000EE"/>
            <w:u w:color="0000EE"/>
            <w:lang w:val="el" w:eastAsia="el"/>
          </w:rPr>
          <w:t>Προσθήκη 4818/2021, Άρθρο 11</w:t>
        </w:r>
      </w:hyperlink>
    </w:p>
  </w:footnote>
  <w:footnote w:id="6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6" w:anchor="art_11" w:history="1">
        <w:r>
          <w:rPr>
            <w:rStyle w:val="Hyperlink"/>
            <w:b/>
            <w:bCs/>
            <w:color w:val="0000EE"/>
            <w:u w:color="0000EE"/>
            <w:lang w:val="el" w:eastAsia="el"/>
          </w:rPr>
          <w:t>Προσθήκη 4818/2021, Άρθρο 11</w:t>
        </w:r>
      </w:hyperlink>
    </w:p>
  </w:footnote>
  <w:footnote w:id="6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7" w:anchor="art_11" w:history="1">
        <w:r>
          <w:rPr>
            <w:rStyle w:val="Hyperlink"/>
            <w:b/>
            <w:bCs/>
            <w:color w:val="0000EE"/>
            <w:u w:color="0000EE"/>
            <w:lang w:val="el" w:eastAsia="el"/>
          </w:rPr>
          <w:t>Προσθήκη 4818/2021, Άρθρο 11</w:t>
        </w:r>
      </w:hyperlink>
    </w:p>
  </w:footnote>
  <w:footnote w:id="6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8" w:anchor="art_11" w:history="1">
        <w:r>
          <w:rPr>
            <w:rStyle w:val="Hyperlink"/>
            <w:b/>
            <w:bCs/>
            <w:color w:val="0000EE"/>
            <w:u w:color="0000EE"/>
            <w:lang w:val="el" w:eastAsia="el"/>
          </w:rPr>
          <w:t>Προσθήκη 4818/2021, Άρθρο 11</w:t>
        </w:r>
      </w:hyperlink>
    </w:p>
  </w:footnote>
  <w:footnote w:id="6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9" w:anchor="art_11" w:history="1">
        <w:r>
          <w:rPr>
            <w:rStyle w:val="Hyperlink"/>
            <w:b/>
            <w:bCs/>
            <w:color w:val="0000EE"/>
            <w:u w:color="0000EE"/>
            <w:lang w:val="el" w:eastAsia="el"/>
          </w:rPr>
          <w:t>Προσθήκη 4818/2021, Άρθρο 11</w:t>
        </w:r>
      </w:hyperlink>
    </w:p>
  </w:footnote>
  <w:footnote w:id="6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0" w:anchor="art_11" w:history="1">
        <w:r>
          <w:rPr>
            <w:rStyle w:val="Hyperlink"/>
            <w:b/>
            <w:bCs/>
            <w:color w:val="0000EE"/>
            <w:u w:color="0000EE"/>
            <w:lang w:val="el" w:eastAsia="el"/>
          </w:rPr>
          <w:t>Προσθήκη 4818/2021, Άρθρο 11</w:t>
        </w:r>
      </w:hyperlink>
    </w:p>
  </w:footnote>
  <w:footnote w:id="6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1" w:anchor="art_11" w:history="1">
        <w:r>
          <w:rPr>
            <w:rStyle w:val="Hyperlink"/>
            <w:b/>
            <w:bCs/>
            <w:color w:val="0000EE"/>
            <w:u w:color="0000EE"/>
            <w:lang w:val="el" w:eastAsia="el"/>
          </w:rPr>
          <w:t>Προσθήκη 4818/2021, Άρθρο 11</w:t>
        </w:r>
      </w:hyperlink>
    </w:p>
  </w:footnote>
  <w:footnote w:id="6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2" w:anchor="art_11" w:history="1">
        <w:r>
          <w:rPr>
            <w:rStyle w:val="Hyperlink"/>
            <w:b/>
            <w:bCs/>
            <w:color w:val="0000EE"/>
            <w:u w:color="0000EE"/>
            <w:lang w:val="el" w:eastAsia="el"/>
          </w:rPr>
          <w:t>Προσθήκη 4818/2021, Άρθρο 11</w:t>
        </w:r>
      </w:hyperlink>
    </w:p>
  </w:footnote>
  <w:footnote w:id="6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3" w:anchor="art_11" w:history="1">
        <w:r>
          <w:rPr>
            <w:rStyle w:val="Hyperlink"/>
            <w:b/>
            <w:bCs/>
            <w:color w:val="0000EE"/>
            <w:u w:color="0000EE"/>
            <w:lang w:val="el" w:eastAsia="el"/>
          </w:rPr>
          <w:t>Προσθήκη 4818/2021, Άρθρο 11</w:t>
        </w:r>
      </w:hyperlink>
    </w:p>
  </w:footnote>
  <w:footnote w:id="6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4" w:anchor="art_11" w:history="1">
        <w:r>
          <w:rPr>
            <w:rStyle w:val="Hyperlink"/>
            <w:b/>
            <w:bCs/>
            <w:color w:val="0000EE"/>
            <w:u w:color="0000EE"/>
            <w:lang w:val="el" w:eastAsia="el"/>
          </w:rPr>
          <w:t>Προσθήκη 4818/2021, Άρθρο 11</w:t>
        </w:r>
      </w:hyperlink>
    </w:p>
  </w:footnote>
  <w:footnote w:id="6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5" w:anchor="art_11" w:history="1">
        <w:r>
          <w:rPr>
            <w:rStyle w:val="Hyperlink"/>
            <w:b/>
            <w:bCs/>
            <w:color w:val="0000EE"/>
            <w:u w:color="0000EE"/>
            <w:lang w:val="el" w:eastAsia="el"/>
          </w:rPr>
          <w:t>Προσθήκη 4818/2021, Άρθρο 11</w:t>
        </w:r>
      </w:hyperlink>
    </w:p>
  </w:footnote>
  <w:footnote w:id="6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6" w:anchor="art_12" w:history="1">
        <w:r>
          <w:rPr>
            <w:rStyle w:val="Hyperlink"/>
            <w:b/>
            <w:bCs/>
            <w:color w:val="0000EE"/>
            <w:u w:color="0000EE"/>
            <w:lang w:val="el" w:eastAsia="el"/>
          </w:rPr>
          <w:t>Προσθήκη 4818/2021, Άρθρο 12</w:t>
        </w:r>
      </w:hyperlink>
    </w:p>
  </w:footnote>
  <w:footnote w:id="6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7" w:anchor="art_12" w:history="1">
        <w:r>
          <w:rPr>
            <w:rStyle w:val="Hyperlink"/>
            <w:b/>
            <w:bCs/>
            <w:color w:val="0000EE"/>
            <w:u w:color="0000EE"/>
            <w:lang w:val="el" w:eastAsia="el"/>
          </w:rPr>
          <w:t>Προσθήκη 4818/2021, Άρθρο 12</w:t>
        </w:r>
      </w:hyperlink>
    </w:p>
  </w:footnote>
  <w:footnote w:id="6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8" w:anchor="art_12" w:history="1">
        <w:r>
          <w:rPr>
            <w:rStyle w:val="Hyperlink"/>
            <w:b/>
            <w:bCs/>
            <w:color w:val="0000EE"/>
            <w:u w:color="0000EE"/>
            <w:lang w:val="el" w:eastAsia="el"/>
          </w:rPr>
          <w:t>Προσθήκη 4818/2021, Άρθρο 12</w:t>
        </w:r>
      </w:hyperlink>
    </w:p>
  </w:footnote>
  <w:footnote w:id="6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9" w:anchor="art_12" w:history="1">
        <w:r>
          <w:rPr>
            <w:rStyle w:val="Hyperlink"/>
            <w:b/>
            <w:bCs/>
            <w:color w:val="0000EE"/>
            <w:u w:color="0000EE"/>
            <w:lang w:val="el" w:eastAsia="el"/>
          </w:rPr>
          <w:t>Προσθήκη 4818/2021, Άρθρο 12</w:t>
        </w:r>
      </w:hyperlink>
    </w:p>
  </w:footnote>
  <w:footnote w:id="6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0" w:anchor="art_12" w:history="1">
        <w:r>
          <w:rPr>
            <w:rStyle w:val="Hyperlink"/>
            <w:b/>
            <w:bCs/>
            <w:color w:val="0000EE"/>
            <w:u w:color="0000EE"/>
            <w:lang w:val="el" w:eastAsia="el"/>
          </w:rPr>
          <w:t>Προσθήκη 4818/2021, Άρθρο 12</w:t>
        </w:r>
      </w:hyperlink>
    </w:p>
  </w:footnote>
  <w:footnote w:id="6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1" w:anchor="art_12" w:history="1">
        <w:r>
          <w:rPr>
            <w:rStyle w:val="Hyperlink"/>
            <w:b/>
            <w:bCs/>
            <w:color w:val="0000EE"/>
            <w:u w:color="0000EE"/>
            <w:lang w:val="el" w:eastAsia="el"/>
          </w:rPr>
          <w:t>Προσθήκη 4818/2021, Άρθρο 12</w:t>
        </w:r>
      </w:hyperlink>
    </w:p>
  </w:footnote>
  <w:footnote w:id="6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2" w:anchor="art_12" w:history="1">
        <w:r>
          <w:rPr>
            <w:rStyle w:val="Hyperlink"/>
            <w:b/>
            <w:bCs/>
            <w:color w:val="0000EE"/>
            <w:u w:color="0000EE"/>
            <w:lang w:val="el" w:eastAsia="el"/>
          </w:rPr>
          <w:t>Προσθήκη 4818/2021, Άρθρο 12</w:t>
        </w:r>
      </w:hyperlink>
    </w:p>
  </w:footnote>
  <w:footnote w:id="6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3" w:anchor="art_12" w:history="1">
        <w:r>
          <w:rPr>
            <w:rStyle w:val="Hyperlink"/>
            <w:b/>
            <w:bCs/>
            <w:color w:val="0000EE"/>
            <w:u w:color="0000EE"/>
            <w:lang w:val="el" w:eastAsia="el"/>
          </w:rPr>
          <w:t>Προσθήκη 4818/2021, Άρθρο 12</w:t>
        </w:r>
      </w:hyperlink>
    </w:p>
  </w:footnote>
  <w:footnote w:id="6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4" w:anchor="art_12" w:history="1">
        <w:r>
          <w:rPr>
            <w:rStyle w:val="Hyperlink"/>
            <w:b/>
            <w:bCs/>
            <w:color w:val="0000EE"/>
            <w:u w:color="0000EE"/>
            <w:lang w:val="el" w:eastAsia="el"/>
          </w:rPr>
          <w:t>Προσθήκη 4818/2021, Άρθρο 12</w:t>
        </w:r>
      </w:hyperlink>
    </w:p>
  </w:footnote>
  <w:footnote w:id="6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5" w:anchor="art_12" w:history="1">
        <w:r>
          <w:rPr>
            <w:rStyle w:val="Hyperlink"/>
            <w:b/>
            <w:bCs/>
            <w:color w:val="0000EE"/>
            <w:u w:color="0000EE"/>
            <w:lang w:val="el" w:eastAsia="el"/>
          </w:rPr>
          <w:t>Προσθήκη 4818/2021, Άρθρο 12</w:t>
        </w:r>
      </w:hyperlink>
    </w:p>
  </w:footnote>
  <w:footnote w:id="6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6" w:anchor="art_13" w:history="1">
        <w:r>
          <w:rPr>
            <w:rStyle w:val="Hyperlink"/>
            <w:b/>
            <w:bCs/>
            <w:color w:val="0000EE"/>
            <w:u w:color="0000EE"/>
            <w:lang w:val="el" w:eastAsia="el"/>
          </w:rPr>
          <w:t>Προσθήκη 4818/2021, Άρθρο 13</w:t>
        </w:r>
      </w:hyperlink>
    </w:p>
  </w:footnote>
  <w:footnote w:id="6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7" w:anchor="art_13" w:history="1">
        <w:r>
          <w:rPr>
            <w:rStyle w:val="Hyperlink"/>
            <w:b/>
            <w:bCs/>
            <w:color w:val="0000EE"/>
            <w:u w:color="0000EE"/>
            <w:lang w:val="el" w:eastAsia="el"/>
          </w:rPr>
          <w:t>Προσθήκη 4818/2021, Άρθρο 13</w:t>
        </w:r>
      </w:hyperlink>
    </w:p>
  </w:footnote>
  <w:footnote w:id="6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8" w:anchor="art_13" w:history="1">
        <w:r>
          <w:rPr>
            <w:rStyle w:val="Hyperlink"/>
            <w:b/>
            <w:bCs/>
            <w:color w:val="0000EE"/>
            <w:u w:color="0000EE"/>
            <w:lang w:val="el" w:eastAsia="el"/>
          </w:rPr>
          <w:t>Προσθήκη 4818/2021, Άρθρο 13</w:t>
        </w:r>
      </w:hyperlink>
    </w:p>
  </w:footnote>
  <w:footnote w:id="6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9" w:anchor="art_13" w:history="1">
        <w:r>
          <w:rPr>
            <w:rStyle w:val="Hyperlink"/>
            <w:b/>
            <w:bCs/>
            <w:color w:val="0000EE"/>
            <w:u w:color="0000EE"/>
            <w:lang w:val="el" w:eastAsia="el"/>
          </w:rPr>
          <w:t>Προσθήκη 4818/2021, Άρθρο 13</w:t>
        </w:r>
      </w:hyperlink>
    </w:p>
  </w:footnote>
  <w:footnote w:id="6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0" w:anchor="art_1" w:history="1">
        <w:r>
          <w:rPr>
            <w:rStyle w:val="Hyperlink"/>
            <w:b/>
            <w:bCs/>
            <w:color w:val="0000EE"/>
            <w:u w:color="0000EE"/>
            <w:lang w:val="el" w:eastAsia="el"/>
          </w:rPr>
          <w:t>Προσθήκη 3427/2005, Άρθρο 1</w:t>
        </w:r>
      </w:hyperlink>
    </w:p>
  </w:footnote>
  <w:footnote w:id="6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1" w:anchor="art_8" w:history="1">
        <w:r>
          <w:rPr>
            <w:rStyle w:val="Hyperlink"/>
            <w:b/>
            <w:bCs/>
            <w:color w:val="0000EE"/>
            <w:u w:color="0000EE"/>
            <w:lang w:val="el" w:eastAsia="el"/>
          </w:rPr>
          <w:t>Προσθήκη 3943/2011, Άρθρο 8</w:t>
        </w:r>
      </w:hyperlink>
    </w:p>
  </w:footnote>
  <w:footnote w:id="6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2" w:anchor="art_8" w:history="1">
        <w:r>
          <w:rPr>
            <w:rStyle w:val="Hyperlink"/>
            <w:b/>
            <w:bCs/>
            <w:color w:val="0000EE"/>
            <w:u w:color="0000EE"/>
            <w:lang w:val="el" w:eastAsia="el"/>
          </w:rPr>
          <w:t>Προσθήκη 3943/2011, Άρθρο 8</w:t>
        </w:r>
      </w:hyperlink>
    </w:p>
  </w:footnote>
  <w:footnote w:id="6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3" w:anchor="art_8" w:history="1">
        <w:r>
          <w:rPr>
            <w:rStyle w:val="Hyperlink"/>
            <w:b/>
            <w:bCs/>
            <w:color w:val="0000EE"/>
            <w:u w:color="0000EE"/>
            <w:lang w:val="el" w:eastAsia="el"/>
          </w:rPr>
          <w:t>Προσθήκη 3943/2011, Άρθρο 8</w:t>
        </w:r>
      </w:hyperlink>
    </w:p>
  </w:footnote>
  <w:footnote w:id="6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4" w:anchor="art_16" w:history="1">
        <w:r>
          <w:rPr>
            <w:rStyle w:val="Hyperlink"/>
            <w:b/>
            <w:bCs/>
            <w:color w:val="0000EE"/>
            <w:u w:color="0000EE"/>
            <w:lang w:val="el" w:eastAsia="el"/>
          </w:rPr>
          <w:t>Τροποποίηση 2948/2001, Άρθρο 16</w:t>
        </w:r>
      </w:hyperlink>
    </w:p>
  </w:footnote>
  <w:footnote w:id="6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5" w:anchor="art_8" w:history="1">
        <w:r>
          <w:rPr>
            <w:rStyle w:val="Hyperlink"/>
            <w:b/>
            <w:bCs/>
            <w:color w:val="0000EE"/>
            <w:u w:color="0000EE"/>
            <w:lang w:val="el" w:eastAsia="el"/>
          </w:rPr>
          <w:t>Προσθήκη 3763/2009, Άρθρο 8</w:t>
        </w:r>
      </w:hyperlink>
    </w:p>
  </w:footnote>
  <w:footnote w:id="6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6" w:anchor="art_21" w:history="1">
        <w:r>
          <w:rPr>
            <w:rStyle w:val="Hyperlink"/>
            <w:b/>
            <w:bCs/>
            <w:color w:val="0000EE"/>
            <w:u w:color="0000EE"/>
            <w:lang w:val="el" w:eastAsia="el"/>
          </w:rPr>
          <w:t>Προσθήκη 3610/2007, Άρθρο 21</w:t>
        </w:r>
      </w:hyperlink>
    </w:p>
  </w:footnote>
  <w:footnote w:id="6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7" w:anchor="art_18" w:history="1">
        <w:r>
          <w:rPr>
            <w:rStyle w:val="Hyperlink"/>
            <w:b/>
            <w:bCs/>
            <w:color w:val="0000EE"/>
            <w:u w:color="0000EE"/>
            <w:lang w:val="el" w:eastAsia="el"/>
          </w:rPr>
          <w:t>Αφαίρεση 4321/2015, Άρθρο 18</w:t>
        </w:r>
      </w:hyperlink>
    </w:p>
  </w:footnote>
  <w:footnote w:id="6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8" w:anchor="art_1" w:history="1">
        <w:r>
          <w:rPr>
            <w:rStyle w:val="Hyperlink"/>
            <w:b/>
            <w:bCs/>
            <w:color w:val="0000EE"/>
            <w:u w:color="0000EE"/>
            <w:lang w:val="el" w:eastAsia="el"/>
          </w:rPr>
          <w:t>Τροποποίηση 4152/2013, Άρθρο 1</w:t>
        </w:r>
      </w:hyperlink>
    </w:p>
  </w:footnote>
  <w:footnote w:id="6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9" w:anchor="art_1" w:history="1">
        <w:r>
          <w:rPr>
            <w:rStyle w:val="Hyperlink"/>
            <w:b/>
            <w:bCs/>
            <w:color w:val="0000EE"/>
            <w:u w:color="0000EE"/>
            <w:lang w:val="el" w:eastAsia="el"/>
          </w:rPr>
          <w:t>Τροποποίηση 4152/2013, Άρθρο 1</w:t>
        </w:r>
      </w:hyperlink>
    </w:p>
  </w:footnote>
  <w:footnote w:id="6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0" w:anchor="art_1" w:history="1">
        <w:r>
          <w:rPr>
            <w:rStyle w:val="Hyperlink"/>
            <w:b/>
            <w:bCs/>
            <w:color w:val="0000EE"/>
            <w:u w:color="0000EE"/>
            <w:lang w:val="el" w:eastAsia="el"/>
          </w:rPr>
          <w:t>Τροποποίηση 4152/2013, Άρθρο 1</w:t>
        </w:r>
      </w:hyperlink>
    </w:p>
  </w:footnote>
  <w:footnote w:id="6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1" w:anchor="art_8" w:history="1">
        <w:r>
          <w:rPr>
            <w:rStyle w:val="Hyperlink"/>
            <w:b/>
            <w:bCs/>
            <w:color w:val="0000EE"/>
            <w:u w:color="0000EE"/>
            <w:lang w:val="el" w:eastAsia="el"/>
          </w:rPr>
          <w:t>Αφαίρεση 3763/2009, Άρθρο 8</w:t>
        </w:r>
      </w:hyperlink>
      <w:r>
        <w:rPr>
          <w:b/>
          <w:bCs/>
          <w:lang w:val="el" w:eastAsia="el"/>
        </w:rPr>
        <w:t xml:space="preserve">; </w:t>
      </w:r>
      <w:hyperlink r:id="rId822" w:anchor="art_1" w:history="1">
        <w:r>
          <w:rPr>
            <w:rStyle w:val="Hyperlink"/>
            <w:b/>
            <w:bCs/>
            <w:color w:val="0000EE"/>
            <w:u w:color="0000EE"/>
            <w:lang w:val="el" w:eastAsia="el"/>
          </w:rPr>
          <w:t>Προσθήκη 3427/2005, Άρθρο 1</w:t>
        </w:r>
      </w:hyperlink>
    </w:p>
  </w:footnote>
  <w:footnote w:id="6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3" w:anchor="art_8" w:history="1">
        <w:r>
          <w:rPr>
            <w:rStyle w:val="Hyperlink"/>
            <w:b/>
            <w:bCs/>
            <w:color w:val="0000EE"/>
            <w:u w:color="0000EE"/>
            <w:lang w:val="el" w:eastAsia="el"/>
          </w:rPr>
          <w:t>Προσθήκη 3943/2011, Άρθρο 8</w:t>
        </w:r>
      </w:hyperlink>
    </w:p>
  </w:footnote>
  <w:footnote w:id="6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4" w:anchor="art_8" w:history="1">
        <w:r>
          <w:rPr>
            <w:rStyle w:val="Hyperlink"/>
            <w:b/>
            <w:bCs/>
            <w:color w:val="0000EE"/>
            <w:u w:color="0000EE"/>
            <w:lang w:val="el" w:eastAsia="el"/>
          </w:rPr>
          <w:t>Τροποποίηση 3943/2011, Άρθρο 8</w:t>
        </w:r>
      </w:hyperlink>
    </w:p>
  </w:footnote>
  <w:footnote w:id="6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5" w:anchor="art_8" w:history="1">
        <w:r>
          <w:rPr>
            <w:rStyle w:val="Hyperlink"/>
            <w:b/>
            <w:bCs/>
            <w:color w:val="0000EE"/>
            <w:u w:color="0000EE"/>
            <w:lang w:val="el" w:eastAsia="el"/>
          </w:rPr>
          <w:t>Τροποποίηση 3943/2011, Άρθρο 8</w:t>
        </w:r>
      </w:hyperlink>
    </w:p>
  </w:footnote>
  <w:footnote w:id="6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6" w:anchor="art_8" w:history="1">
        <w:r>
          <w:rPr>
            <w:rStyle w:val="Hyperlink"/>
            <w:b/>
            <w:bCs/>
            <w:color w:val="0000EE"/>
            <w:u w:color="0000EE"/>
            <w:lang w:val="el" w:eastAsia="el"/>
          </w:rPr>
          <w:t>Τροποποίηση 3943/2011, Άρθρο 8</w:t>
        </w:r>
      </w:hyperlink>
    </w:p>
  </w:footnote>
  <w:footnote w:id="6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7" w:anchor="art_2" w:history="1">
        <w:r>
          <w:rPr>
            <w:rStyle w:val="Hyperlink"/>
            <w:b/>
            <w:bCs/>
            <w:color w:val="0000EE"/>
            <w:u w:color="0000EE"/>
            <w:lang w:val="el" w:eastAsia="el"/>
          </w:rPr>
          <w:t>Τροποποίηση 4336/2015, Άρθρο 2</w:t>
        </w:r>
      </w:hyperlink>
      <w:r>
        <w:rPr>
          <w:b/>
          <w:bCs/>
          <w:lang w:val="el" w:eastAsia="el"/>
        </w:rPr>
        <w:t xml:space="preserve">; </w:t>
      </w:r>
      <w:hyperlink r:id="rId828" w:anchor="art_18" w:history="1">
        <w:r>
          <w:rPr>
            <w:rStyle w:val="Hyperlink"/>
            <w:b/>
            <w:bCs/>
            <w:color w:val="0000EE"/>
            <w:u w:color="0000EE"/>
            <w:lang w:val="el" w:eastAsia="el"/>
          </w:rPr>
          <w:t>Αφαίρεση 4321/2015, Άρθρο 18</w:t>
        </w:r>
      </w:hyperlink>
      <w:r>
        <w:rPr>
          <w:b/>
          <w:bCs/>
          <w:lang w:val="el" w:eastAsia="el"/>
        </w:rPr>
        <w:t xml:space="preserve">; </w:t>
      </w:r>
      <w:hyperlink r:id="rId829" w:anchor="art_1" w:history="1">
        <w:r>
          <w:rPr>
            <w:rStyle w:val="Hyperlink"/>
            <w:b/>
            <w:bCs/>
            <w:color w:val="0000EE"/>
            <w:u w:color="0000EE"/>
            <w:lang w:val="el" w:eastAsia="el"/>
          </w:rPr>
          <w:t>Τροποποίηση 4152/2013, Άρθρο 1</w:t>
        </w:r>
      </w:hyperlink>
    </w:p>
  </w:footnote>
  <w:footnote w:id="6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0" w:anchor="art_2" w:history="1">
        <w:r>
          <w:rPr>
            <w:rStyle w:val="Hyperlink"/>
            <w:b/>
            <w:bCs/>
            <w:color w:val="0000EE"/>
            <w:u w:color="0000EE"/>
            <w:lang w:val="el" w:eastAsia="el"/>
          </w:rPr>
          <w:t>Τροποποίηση 4336/2015, Άρθρο 2</w:t>
        </w:r>
      </w:hyperlink>
    </w:p>
  </w:footnote>
  <w:footnote w:id="6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1" w:anchor="art_2" w:history="1">
        <w:r>
          <w:rPr>
            <w:rStyle w:val="Hyperlink"/>
            <w:b/>
            <w:bCs/>
            <w:color w:val="0000EE"/>
            <w:u w:color="0000EE"/>
            <w:lang w:val="el" w:eastAsia="el"/>
          </w:rPr>
          <w:t>Τροποποίηση 4336/2015, Άρθρο 2</w:t>
        </w:r>
      </w:hyperlink>
    </w:p>
  </w:footnote>
  <w:footnote w:id="6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2" w:anchor="art_8" w:history="1">
        <w:r>
          <w:rPr>
            <w:rStyle w:val="Hyperlink"/>
            <w:b/>
            <w:bCs/>
            <w:color w:val="0000EE"/>
            <w:u w:color="0000EE"/>
            <w:lang w:val="el" w:eastAsia="el"/>
          </w:rPr>
          <w:t>Προσθήκη 3763/2009, Άρθρο 8</w:t>
        </w:r>
      </w:hyperlink>
    </w:p>
  </w:footnote>
  <w:footnote w:id="6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3" w:anchor="art_27" w:history="1">
        <w:r>
          <w:rPr>
            <w:rStyle w:val="Hyperlink"/>
            <w:b/>
            <w:bCs/>
            <w:color w:val="0000EE"/>
            <w:u w:color="0000EE"/>
            <w:lang w:val="el" w:eastAsia="el"/>
          </w:rPr>
          <w:t>Τροποποίηση 3943/2011, Άρθρο 27</w:t>
        </w:r>
      </w:hyperlink>
    </w:p>
  </w:footnote>
  <w:footnote w:id="6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4" w:anchor="art_1" w:history="1">
        <w:r>
          <w:rPr>
            <w:rStyle w:val="Hyperlink"/>
            <w:b/>
            <w:bCs/>
            <w:color w:val="0000EE"/>
            <w:u w:color="0000EE"/>
            <w:lang w:val="el" w:eastAsia="el"/>
          </w:rPr>
          <w:t>Τροποποίηση 4152/2013, Άρθρο 1</w:t>
        </w:r>
      </w:hyperlink>
      <w:r>
        <w:rPr>
          <w:b/>
          <w:bCs/>
          <w:lang w:val="el" w:eastAsia="el"/>
        </w:rPr>
        <w:t xml:space="preserve">; </w:t>
      </w:r>
      <w:hyperlink r:id="rId835" w:anchor="art_27" w:history="1">
        <w:r>
          <w:rPr>
            <w:rStyle w:val="Hyperlink"/>
            <w:b/>
            <w:bCs/>
            <w:color w:val="0000EE"/>
            <w:u w:color="0000EE"/>
            <w:lang w:val="el" w:eastAsia="el"/>
          </w:rPr>
          <w:t>Τροποποίηση 3943/2011, Άρθρο 27</w:t>
        </w:r>
      </w:hyperlink>
    </w:p>
  </w:footnote>
  <w:footnote w:id="6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6" w:anchor="art_1" w:history="1">
        <w:r>
          <w:rPr>
            <w:rStyle w:val="Hyperlink"/>
            <w:b/>
            <w:bCs/>
            <w:color w:val="0000EE"/>
            <w:u w:color="0000EE"/>
            <w:lang w:val="el" w:eastAsia="el"/>
          </w:rPr>
          <w:t>Τροποποίηση 4152/2013, Άρθρο 1</w:t>
        </w:r>
      </w:hyperlink>
      <w:r>
        <w:rPr>
          <w:b/>
          <w:bCs/>
          <w:lang w:val="el" w:eastAsia="el"/>
        </w:rPr>
        <w:t xml:space="preserve">; </w:t>
      </w:r>
      <w:hyperlink r:id="rId837" w:anchor="art_27" w:history="1">
        <w:r>
          <w:rPr>
            <w:rStyle w:val="Hyperlink"/>
            <w:b/>
            <w:bCs/>
            <w:color w:val="0000EE"/>
            <w:u w:color="0000EE"/>
            <w:lang w:val="el" w:eastAsia="el"/>
          </w:rPr>
          <w:t>Τροποποίηση 3943/2011, Άρθρο 27</w:t>
        </w:r>
      </w:hyperlink>
    </w:p>
  </w:footnote>
  <w:footnote w:id="6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8" w:anchor="art_1" w:history="1">
        <w:r>
          <w:rPr>
            <w:rStyle w:val="Hyperlink"/>
            <w:b/>
            <w:bCs/>
            <w:color w:val="0000EE"/>
            <w:u w:color="0000EE"/>
            <w:lang w:val="el" w:eastAsia="el"/>
          </w:rPr>
          <w:t>Τροποποίηση 4152/2013, Άρθρο 1</w:t>
        </w:r>
      </w:hyperlink>
      <w:r>
        <w:rPr>
          <w:b/>
          <w:bCs/>
          <w:lang w:val="el" w:eastAsia="el"/>
        </w:rPr>
        <w:t xml:space="preserve">; </w:t>
      </w:r>
      <w:hyperlink r:id="rId839" w:anchor="art_27" w:history="1">
        <w:r>
          <w:rPr>
            <w:rStyle w:val="Hyperlink"/>
            <w:b/>
            <w:bCs/>
            <w:color w:val="0000EE"/>
            <w:u w:color="0000EE"/>
            <w:lang w:val="el" w:eastAsia="el"/>
          </w:rPr>
          <w:t>Τροποποίηση 3943/2011, Άρθρο 27</w:t>
        </w:r>
      </w:hyperlink>
    </w:p>
  </w:footnote>
  <w:footnote w:id="6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0" w:anchor="art_1" w:history="1">
        <w:r>
          <w:rPr>
            <w:rStyle w:val="Hyperlink"/>
            <w:b/>
            <w:bCs/>
            <w:color w:val="0000EE"/>
            <w:u w:color="0000EE"/>
            <w:lang w:val="el" w:eastAsia="el"/>
          </w:rPr>
          <w:t>Αφαίρεση 4152/2013, Άρθρο 1</w:t>
        </w:r>
      </w:hyperlink>
      <w:r>
        <w:rPr>
          <w:b/>
          <w:bCs/>
          <w:lang w:val="el" w:eastAsia="el"/>
        </w:rPr>
        <w:t xml:space="preserve">; </w:t>
      </w:r>
      <w:hyperlink r:id="rId841"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842" w:anchor="art_5" w:history="1">
        <w:r>
          <w:rPr>
            <w:rStyle w:val="Hyperlink"/>
            <w:b/>
            <w:bCs/>
            <w:color w:val="0000EE"/>
            <w:u w:color="0000EE"/>
            <w:lang w:val="el" w:eastAsia="el"/>
          </w:rPr>
          <w:t>Τροποποίηση 3296/2004, Άρθρο 5</w:t>
        </w:r>
      </w:hyperlink>
    </w:p>
  </w:footnote>
  <w:footnote w:id="6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3" w:anchor="art_1" w:history="1">
        <w:r>
          <w:rPr>
            <w:rStyle w:val="Hyperlink"/>
            <w:b/>
            <w:bCs/>
            <w:color w:val="0000EE"/>
            <w:u w:color="0000EE"/>
            <w:lang w:val="el" w:eastAsia="el"/>
          </w:rPr>
          <w:t>Τροποποίηση 4152/2013, Άρθρο 1</w:t>
        </w:r>
      </w:hyperlink>
    </w:p>
  </w:footnote>
  <w:footnote w:id="6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4" w:anchor="art_1" w:history="1">
        <w:r>
          <w:rPr>
            <w:rStyle w:val="Hyperlink"/>
            <w:b/>
            <w:bCs/>
            <w:color w:val="0000EE"/>
            <w:u w:color="0000EE"/>
            <w:lang w:val="el" w:eastAsia="el"/>
          </w:rPr>
          <w:t>Τροποποίηση 4152/2013, Άρθρο 1</w:t>
        </w:r>
      </w:hyperlink>
    </w:p>
  </w:footnote>
  <w:footnote w:id="6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5" w:anchor="art_3" w:history="1">
        <w:r>
          <w:rPr>
            <w:rStyle w:val="Hyperlink"/>
            <w:b/>
            <w:bCs/>
            <w:color w:val="0000EE"/>
            <w:u w:color="0000EE"/>
            <w:lang w:val="el" w:eastAsia="el"/>
          </w:rPr>
          <w:t>Τροποποίηση 4254/2014, Άρθρο 3</w:t>
        </w:r>
      </w:hyperlink>
      <w:r>
        <w:rPr>
          <w:b/>
          <w:bCs/>
          <w:lang w:val="el" w:eastAsia="el"/>
        </w:rPr>
        <w:t xml:space="preserve">; </w:t>
      </w:r>
      <w:hyperlink r:id="rId846" w:anchor="art_27" w:history="1">
        <w:r>
          <w:rPr>
            <w:rStyle w:val="Hyperlink"/>
            <w:b/>
            <w:bCs/>
            <w:color w:val="0000EE"/>
            <w:u w:color="0000EE"/>
            <w:lang w:val="el" w:eastAsia="el"/>
          </w:rPr>
          <w:t>Τροποποίηση 3943/2011, Άρθρο 27</w:t>
        </w:r>
      </w:hyperlink>
    </w:p>
  </w:footnote>
  <w:footnote w:id="6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7" w:anchor="art_92" w:history="1">
        <w:r>
          <w:rPr>
            <w:rStyle w:val="Hyperlink"/>
            <w:b/>
            <w:bCs/>
            <w:color w:val="0000EE"/>
            <w:u w:color="0000EE"/>
            <w:lang w:val="el" w:eastAsia="el"/>
          </w:rPr>
          <w:t>Τροποποίηση 4316/2014, Άρθρο 92</w:t>
        </w:r>
      </w:hyperlink>
      <w:r>
        <w:rPr>
          <w:b/>
          <w:bCs/>
          <w:lang w:val="el" w:eastAsia="el"/>
        </w:rPr>
        <w:t xml:space="preserve">; </w:t>
      </w:r>
      <w:hyperlink r:id="rId848" w:anchor="art_3" w:history="1">
        <w:r>
          <w:rPr>
            <w:rStyle w:val="Hyperlink"/>
            <w:b/>
            <w:bCs/>
            <w:color w:val="0000EE"/>
            <w:u w:color="0000EE"/>
            <w:lang w:val="el" w:eastAsia="el"/>
          </w:rPr>
          <w:t>Τροποποίηση 4254/2014, Άρθρο 3</w:t>
        </w:r>
      </w:hyperlink>
      <w:r>
        <w:rPr>
          <w:b/>
          <w:bCs/>
          <w:lang w:val="el" w:eastAsia="el"/>
        </w:rPr>
        <w:t xml:space="preserve">; </w:t>
      </w:r>
      <w:hyperlink r:id="rId849" w:anchor="art_1" w:history="1">
        <w:r>
          <w:rPr>
            <w:rStyle w:val="Hyperlink"/>
            <w:b/>
            <w:bCs/>
            <w:color w:val="0000EE"/>
            <w:u w:color="0000EE"/>
            <w:lang w:val="el" w:eastAsia="el"/>
          </w:rPr>
          <w:t>Τροποποίηση 4152/2013, Άρθρο 1</w:t>
        </w:r>
      </w:hyperlink>
      <w:r>
        <w:rPr>
          <w:b/>
          <w:bCs/>
          <w:lang w:val="el" w:eastAsia="el"/>
        </w:rPr>
        <w:t xml:space="preserve">; </w:t>
      </w:r>
      <w:hyperlink r:id="rId850"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851" w:anchor="art_11" w:history="1">
        <w:r>
          <w:rPr>
            <w:rStyle w:val="Hyperlink"/>
            <w:b/>
            <w:bCs/>
            <w:color w:val="0000EE"/>
            <w:u w:color="0000EE"/>
            <w:lang w:val="el" w:eastAsia="el"/>
          </w:rPr>
          <w:t>Τροποποίηση 3052/2002, Άρθρο 11</w:t>
        </w:r>
      </w:hyperlink>
    </w:p>
  </w:footnote>
  <w:footnote w:id="6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2" w:anchor="art_18" w:history="1">
        <w:r>
          <w:rPr>
            <w:rStyle w:val="Hyperlink"/>
            <w:b/>
            <w:bCs/>
            <w:color w:val="0000EE"/>
            <w:u w:color="0000EE"/>
            <w:lang w:val="el" w:eastAsia="el"/>
          </w:rPr>
          <w:t>Τροποποίηση 2992/2002, Άρθρο 18</w:t>
        </w:r>
      </w:hyperlink>
    </w:p>
  </w:footnote>
  <w:footnote w:id="6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3" w:anchor="art_20" w:history="1">
        <w:r>
          <w:rPr>
            <w:rStyle w:val="Hyperlink"/>
            <w:b/>
            <w:bCs/>
            <w:color w:val="0000EE"/>
            <w:u w:color="0000EE"/>
            <w:lang w:val="el" w:eastAsia="el"/>
          </w:rPr>
          <w:t>Προσθήκη 3522/2006, Άρθρο 20</w:t>
        </w:r>
      </w:hyperlink>
    </w:p>
  </w:footnote>
  <w:footnote w:id="6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4" w:anchor="art_62" w:history="1">
        <w:r>
          <w:rPr>
            <w:rStyle w:val="Hyperlink"/>
            <w:b/>
            <w:bCs/>
            <w:color w:val="0000EE"/>
            <w:u w:color="0000EE"/>
            <w:lang w:val="el" w:eastAsia="el"/>
          </w:rPr>
          <w:t>Τροποποίηση 3842/2010, Άρθρο 62</w:t>
        </w:r>
      </w:hyperlink>
    </w:p>
  </w:footnote>
  <w:footnote w:id="6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5" w:anchor="art_62" w:history="1">
        <w:r>
          <w:rPr>
            <w:rStyle w:val="Hyperlink"/>
            <w:b/>
            <w:bCs/>
            <w:color w:val="0000EE"/>
            <w:u w:color="0000EE"/>
            <w:lang w:val="el" w:eastAsia="el"/>
          </w:rPr>
          <w:t>Τροποποίηση 3842/2010, Άρθρο 62</w:t>
        </w:r>
      </w:hyperlink>
    </w:p>
  </w:footnote>
  <w:footnote w:id="6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6" w:anchor="art_62" w:history="1">
        <w:r>
          <w:rPr>
            <w:rStyle w:val="Hyperlink"/>
            <w:b/>
            <w:bCs/>
            <w:color w:val="0000EE"/>
            <w:u w:color="0000EE"/>
            <w:lang w:val="el" w:eastAsia="el"/>
          </w:rPr>
          <w:t>Τροποποίηση 3842/2010, Άρθρο 62</w:t>
        </w:r>
      </w:hyperlink>
    </w:p>
  </w:footnote>
  <w:footnote w:id="6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7" w:anchor="art_62" w:history="1">
        <w:r>
          <w:rPr>
            <w:rStyle w:val="Hyperlink"/>
            <w:b/>
            <w:bCs/>
            <w:color w:val="0000EE"/>
            <w:u w:color="0000EE"/>
            <w:lang w:val="el" w:eastAsia="el"/>
          </w:rPr>
          <w:t>Τροποποίηση 3842/2010, Άρθρο 62</w:t>
        </w:r>
      </w:hyperlink>
    </w:p>
  </w:footnote>
  <w:footnote w:id="6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8" w:anchor="art_62" w:history="1">
        <w:r>
          <w:rPr>
            <w:rStyle w:val="Hyperlink"/>
            <w:b/>
            <w:bCs/>
            <w:color w:val="0000EE"/>
            <w:u w:color="0000EE"/>
            <w:lang w:val="el" w:eastAsia="el"/>
          </w:rPr>
          <w:t>Τροποποίηση 3842/2010, Άρθρο 62</w:t>
        </w:r>
      </w:hyperlink>
    </w:p>
  </w:footnote>
  <w:footnote w:id="6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9" w:anchor="art_62" w:history="1">
        <w:r>
          <w:rPr>
            <w:rStyle w:val="Hyperlink"/>
            <w:b/>
            <w:bCs/>
            <w:color w:val="0000EE"/>
            <w:u w:color="0000EE"/>
            <w:lang w:val="el" w:eastAsia="el"/>
          </w:rPr>
          <w:t>Τροποποίηση 3842/2010, Άρθρο 62</w:t>
        </w:r>
      </w:hyperlink>
    </w:p>
  </w:footnote>
  <w:footnote w:id="6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0" w:anchor="art_9" w:history="1">
        <w:r>
          <w:rPr>
            <w:rStyle w:val="Hyperlink"/>
            <w:b/>
            <w:bCs/>
            <w:color w:val="0000EE"/>
            <w:u w:color="0000EE"/>
            <w:lang w:val="el" w:eastAsia="el"/>
          </w:rPr>
          <w:t>Αφαίρεση 4378/2016, Άρθρο 9</w:t>
        </w:r>
      </w:hyperlink>
    </w:p>
  </w:footnote>
  <w:footnote w:id="6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1" w:anchor="art_39" w:history="1">
        <w:r>
          <w:rPr>
            <w:rStyle w:val="Hyperlink"/>
            <w:b/>
            <w:bCs/>
            <w:color w:val="0000EE"/>
            <w:u w:color="0000EE"/>
            <w:lang w:val="el" w:eastAsia="el"/>
          </w:rPr>
          <w:t>Τροποποίηση 3220/2004, Άρθρο 39</w:t>
        </w:r>
      </w:hyperlink>
    </w:p>
  </w:footnote>
  <w:footnote w:id="7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2" w:anchor="art_9" w:history="1">
        <w:r>
          <w:rPr>
            <w:rStyle w:val="Hyperlink"/>
            <w:b/>
            <w:bCs/>
            <w:color w:val="0000EE"/>
            <w:u w:color="0000EE"/>
            <w:lang w:val="el" w:eastAsia="el"/>
          </w:rPr>
          <w:t>Αφαίρεση 4378/2016, Άρθρο 9</w:t>
        </w:r>
      </w:hyperlink>
    </w:p>
  </w:footnote>
  <w:footnote w:id="7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3" w:anchor="art_39" w:history="1">
        <w:r>
          <w:rPr>
            <w:rStyle w:val="Hyperlink"/>
            <w:b/>
            <w:bCs/>
            <w:color w:val="0000EE"/>
            <w:u w:color="0000EE"/>
            <w:lang w:val="el" w:eastAsia="el"/>
          </w:rPr>
          <w:t>Τροποποίηση 3220/2004, Άρθρο 39</w:t>
        </w:r>
      </w:hyperlink>
    </w:p>
  </w:footnote>
  <w:footnote w:id="7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4" w:anchor="art_1" w:history="1">
        <w:r>
          <w:rPr>
            <w:rStyle w:val="Hyperlink"/>
            <w:b/>
            <w:bCs/>
            <w:color w:val="0000EE"/>
            <w:u w:color="0000EE"/>
            <w:lang w:val="el" w:eastAsia="el"/>
          </w:rPr>
          <w:t>Τροποποίηση 3427/2005, Άρθρο 1</w:t>
        </w:r>
      </w:hyperlink>
      <w:r>
        <w:rPr>
          <w:b/>
          <w:bCs/>
          <w:lang w:val="el" w:eastAsia="el"/>
        </w:rPr>
        <w:t xml:space="preserve">; </w:t>
      </w:r>
      <w:hyperlink r:id="rId865" w:anchor="art_9" w:history="1">
        <w:r>
          <w:rPr>
            <w:rStyle w:val="Hyperlink"/>
            <w:b/>
            <w:bCs/>
            <w:color w:val="0000EE"/>
            <w:u w:color="0000EE"/>
            <w:lang w:val="el" w:eastAsia="el"/>
          </w:rPr>
          <w:t>Τροποποίηση 2954/2001, Άρθρο 9</w:t>
        </w:r>
      </w:hyperlink>
    </w:p>
  </w:footnote>
  <w:footnote w:id="7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6" w:anchor="art_61" w:history="1">
        <w:r>
          <w:rPr>
            <w:rStyle w:val="Hyperlink"/>
            <w:b/>
            <w:bCs/>
            <w:color w:val="0000EE"/>
            <w:u w:color="0000EE"/>
            <w:lang w:val="el" w:eastAsia="el"/>
          </w:rPr>
          <w:t>Τροποποίηση 4378/2016, Άρθρο 61</w:t>
        </w:r>
      </w:hyperlink>
    </w:p>
  </w:footnote>
  <w:footnote w:id="7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7" w:anchor="art_61" w:history="1">
        <w:r>
          <w:rPr>
            <w:rStyle w:val="Hyperlink"/>
            <w:b/>
            <w:bCs/>
            <w:color w:val="0000EE"/>
            <w:u w:color="0000EE"/>
            <w:lang w:val="el" w:eastAsia="el"/>
          </w:rPr>
          <w:t>Τροποποίηση 4378/2016, Άρθρο 61</w:t>
        </w:r>
      </w:hyperlink>
    </w:p>
  </w:footnote>
  <w:footnote w:id="7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8" w:anchor="art_65" w:history="1">
        <w:r>
          <w:rPr>
            <w:rStyle w:val="Hyperlink"/>
            <w:b/>
            <w:bCs/>
            <w:color w:val="0000EE"/>
            <w:u w:color="0000EE"/>
            <w:lang w:val="el" w:eastAsia="el"/>
          </w:rPr>
          <w:t>Τροποποίηση 4714/2020, Άρθρο 65</w:t>
        </w:r>
      </w:hyperlink>
    </w:p>
  </w:footnote>
  <w:footnote w:id="7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9" w:anchor="art_65" w:history="1">
        <w:r>
          <w:rPr>
            <w:rStyle w:val="Hyperlink"/>
            <w:b/>
            <w:bCs/>
            <w:color w:val="0000EE"/>
            <w:u w:color="0000EE"/>
            <w:lang w:val="el" w:eastAsia="el"/>
          </w:rPr>
          <w:t>Τροποποίηση 4714/2020, Άρθρο 65</w:t>
        </w:r>
      </w:hyperlink>
    </w:p>
  </w:footnote>
  <w:footnote w:id="7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0" w:anchor="art_65" w:history="1">
        <w:r>
          <w:rPr>
            <w:rStyle w:val="Hyperlink"/>
            <w:b/>
            <w:bCs/>
            <w:color w:val="0000EE"/>
            <w:u w:color="0000EE"/>
            <w:lang w:val="el" w:eastAsia="el"/>
          </w:rPr>
          <w:t>Τροποποίηση 4714/2020, Άρθρο 65</w:t>
        </w:r>
      </w:hyperlink>
    </w:p>
  </w:footnote>
  <w:footnote w:id="7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1" w:anchor="art_61" w:history="1">
        <w:r>
          <w:rPr>
            <w:rStyle w:val="Hyperlink"/>
            <w:b/>
            <w:bCs/>
            <w:color w:val="0000EE"/>
            <w:u w:color="0000EE"/>
            <w:lang w:val="el" w:eastAsia="el"/>
          </w:rPr>
          <w:t>Τροποποίηση 4378/2016, Άρθρο 61</w:t>
        </w:r>
      </w:hyperlink>
    </w:p>
  </w:footnote>
  <w:footnote w:id="7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2" w:anchor="art_61" w:history="1">
        <w:r>
          <w:rPr>
            <w:rStyle w:val="Hyperlink"/>
            <w:b/>
            <w:bCs/>
            <w:color w:val="0000EE"/>
            <w:u w:color="0000EE"/>
            <w:lang w:val="el" w:eastAsia="el"/>
          </w:rPr>
          <w:t>Τροποποίηση 4378/2016, Άρθρο 61</w:t>
        </w:r>
      </w:hyperlink>
    </w:p>
  </w:footnote>
  <w:footnote w:id="7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3" w:anchor="art_61" w:history="1">
        <w:r>
          <w:rPr>
            <w:rStyle w:val="Hyperlink"/>
            <w:b/>
            <w:bCs/>
            <w:color w:val="0000EE"/>
            <w:u w:color="0000EE"/>
            <w:lang w:val="el" w:eastAsia="el"/>
          </w:rPr>
          <w:t>Τροποποίηση 4378/2016, Άρθρο 61</w:t>
        </w:r>
      </w:hyperlink>
    </w:p>
  </w:footnote>
  <w:footnote w:id="7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7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76" w:anchor="art_1" w:history="1">
        <w:r>
          <w:rPr>
            <w:rStyle w:val="Hyperlink"/>
            <w:b/>
            <w:bCs/>
            <w:color w:val="0000EE"/>
            <w:u w:color="0000EE"/>
            <w:lang w:val="el" w:eastAsia="el"/>
          </w:rPr>
          <w:t>Τροποποίηση 4334/2015, Άρθρο 1</w:t>
        </w:r>
      </w:hyperlink>
      <w:r>
        <w:rPr>
          <w:b/>
          <w:bCs/>
          <w:lang w:val="el" w:eastAsia="el"/>
        </w:rPr>
        <w:t xml:space="preserve">; </w:t>
      </w:r>
      <w:hyperlink r:id="rId877" w:anchor="art_4" w:history="1">
        <w:r>
          <w:rPr>
            <w:rStyle w:val="Hyperlink"/>
            <w:b/>
            <w:bCs/>
            <w:color w:val="0000EE"/>
            <w:u w:color="0000EE"/>
            <w:lang w:val="el" w:eastAsia="el"/>
          </w:rPr>
          <w:t>Τροποποίηση 3899/2010, Άρθρο 4</w:t>
        </w:r>
      </w:hyperlink>
      <w:r>
        <w:rPr>
          <w:b/>
          <w:bCs/>
          <w:lang w:val="el" w:eastAsia="el"/>
        </w:rPr>
        <w:t xml:space="preserve">; </w:t>
      </w:r>
      <w:hyperlink r:id="rId878" w:anchor="art_62" w:history="1">
        <w:r>
          <w:rPr>
            <w:rStyle w:val="Hyperlink"/>
            <w:b/>
            <w:bCs/>
            <w:color w:val="0000EE"/>
            <w:u w:color="0000EE"/>
            <w:lang w:val="el" w:eastAsia="el"/>
          </w:rPr>
          <w:t>Τροποποίηση 3842/2010, Άρθρο 62</w:t>
        </w:r>
      </w:hyperlink>
    </w:p>
  </w:footnote>
  <w:footnote w:id="7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8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81" w:anchor="art_1" w:history="1">
        <w:r>
          <w:rPr>
            <w:rStyle w:val="Hyperlink"/>
            <w:b/>
            <w:bCs/>
            <w:color w:val="0000EE"/>
            <w:u w:color="0000EE"/>
            <w:lang w:val="el" w:eastAsia="el"/>
          </w:rPr>
          <w:t>Τροποποίηση 4334/2015, Άρθρο 1</w:t>
        </w:r>
      </w:hyperlink>
    </w:p>
  </w:footnote>
  <w:footnote w:id="7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8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84" w:anchor="art_1" w:history="1">
        <w:r>
          <w:rPr>
            <w:rStyle w:val="Hyperlink"/>
            <w:b/>
            <w:bCs/>
            <w:color w:val="0000EE"/>
            <w:u w:color="0000EE"/>
            <w:lang w:val="el" w:eastAsia="el"/>
          </w:rPr>
          <w:t>Τροποποίηση 4334/2015, Άρθρο 1</w:t>
        </w:r>
      </w:hyperlink>
    </w:p>
  </w:footnote>
  <w:footnote w:id="7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8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87" w:anchor="art_2" w:history="1">
        <w:r>
          <w:rPr>
            <w:rStyle w:val="Hyperlink"/>
            <w:b/>
            <w:bCs/>
            <w:color w:val="0000EE"/>
            <w:u w:color="0000EE"/>
            <w:lang w:val="el" w:eastAsia="el"/>
          </w:rPr>
          <w:t>Προσθήκη 4336/2015, Άρθρο 2</w:t>
        </w:r>
      </w:hyperlink>
      <w:r>
        <w:rPr>
          <w:b/>
          <w:bCs/>
          <w:lang w:val="el" w:eastAsia="el"/>
        </w:rPr>
        <w:t xml:space="preserve">; </w:t>
      </w:r>
      <w:hyperlink r:id="rId888" w:anchor="art_1" w:history="1">
        <w:r>
          <w:rPr>
            <w:rStyle w:val="Hyperlink"/>
            <w:b/>
            <w:bCs/>
            <w:color w:val="0000EE"/>
            <w:u w:color="0000EE"/>
            <w:lang w:val="el" w:eastAsia="el"/>
          </w:rPr>
          <w:t>Τροποποίηση 4334/2015, Άρθρο 1</w:t>
        </w:r>
      </w:hyperlink>
    </w:p>
  </w:footnote>
  <w:footnote w:id="7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9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91" w:anchor="art_1" w:history="1">
        <w:r>
          <w:rPr>
            <w:rStyle w:val="Hyperlink"/>
            <w:b/>
            <w:bCs/>
            <w:color w:val="0000EE"/>
            <w:u w:color="0000EE"/>
            <w:lang w:val="el" w:eastAsia="el"/>
          </w:rPr>
          <w:t>Τροποποίηση 4334/2015, Άρθρο 1</w:t>
        </w:r>
      </w:hyperlink>
    </w:p>
  </w:footnote>
  <w:footnote w:id="7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9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94" w:anchor="art_2" w:history="1">
        <w:r>
          <w:rPr>
            <w:rStyle w:val="Hyperlink"/>
            <w:b/>
            <w:bCs/>
            <w:color w:val="0000EE"/>
            <w:u w:color="0000EE"/>
            <w:lang w:val="el" w:eastAsia="el"/>
          </w:rPr>
          <w:t>Προσθήκη 4336/2015, Άρθρο 2</w:t>
        </w:r>
      </w:hyperlink>
      <w:r>
        <w:rPr>
          <w:b/>
          <w:bCs/>
          <w:lang w:val="el" w:eastAsia="el"/>
        </w:rPr>
        <w:t xml:space="preserve">; </w:t>
      </w:r>
      <w:hyperlink r:id="rId895" w:anchor="art_1" w:history="1">
        <w:r>
          <w:rPr>
            <w:rStyle w:val="Hyperlink"/>
            <w:b/>
            <w:bCs/>
            <w:color w:val="0000EE"/>
            <w:u w:color="0000EE"/>
            <w:lang w:val="el" w:eastAsia="el"/>
          </w:rPr>
          <w:t>Τροποποίηση 4334/2015, Άρθρο 1</w:t>
        </w:r>
      </w:hyperlink>
    </w:p>
  </w:footnote>
  <w:footnote w:id="7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9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98" w:anchor="art_1" w:history="1">
        <w:r>
          <w:rPr>
            <w:rStyle w:val="Hyperlink"/>
            <w:b/>
            <w:bCs/>
            <w:color w:val="0000EE"/>
            <w:u w:color="0000EE"/>
            <w:lang w:val="el" w:eastAsia="el"/>
          </w:rPr>
          <w:t>Τροποποίηση 4334/2015, Άρθρο 1</w:t>
        </w:r>
      </w:hyperlink>
    </w:p>
  </w:footnote>
  <w:footnote w:id="7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0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01" w:anchor="art_1" w:history="1">
        <w:r>
          <w:rPr>
            <w:rStyle w:val="Hyperlink"/>
            <w:b/>
            <w:bCs/>
            <w:color w:val="0000EE"/>
            <w:u w:color="0000EE"/>
            <w:lang w:val="el" w:eastAsia="el"/>
          </w:rPr>
          <w:t>Τροποποίηση 4334/2015, Άρθρο 1</w:t>
        </w:r>
      </w:hyperlink>
    </w:p>
  </w:footnote>
  <w:footnote w:id="7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03" w:anchor="art_1" w:history="1">
        <w:r>
          <w:rPr>
            <w:rStyle w:val="Hyperlink"/>
            <w:b/>
            <w:bCs/>
            <w:color w:val="0000EE"/>
            <w:u w:color="0000EE"/>
            <w:lang w:val="el" w:eastAsia="el"/>
          </w:rPr>
          <w:t>Τροποποίηση 4334/2015, Άρθρο 1</w:t>
        </w:r>
      </w:hyperlink>
      <w:r>
        <w:rPr>
          <w:b/>
          <w:bCs/>
          <w:lang w:val="el" w:eastAsia="el"/>
        </w:rPr>
        <w:t xml:space="preserve">; </w:t>
      </w:r>
      <w:hyperlink r:id="rId90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05" w:anchor="art_1" w:history="1">
        <w:r>
          <w:rPr>
            <w:rStyle w:val="Hyperlink"/>
            <w:b/>
            <w:bCs/>
            <w:color w:val="0000EE"/>
            <w:u w:color="0000EE"/>
            <w:lang w:val="el" w:eastAsia="el"/>
          </w:rPr>
          <w:t>Τροποποίηση 4334/2015, Άρθρο 1</w:t>
        </w:r>
      </w:hyperlink>
    </w:p>
  </w:footnote>
  <w:footnote w:id="7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0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08" w:anchor="art_1" w:history="1">
        <w:r>
          <w:rPr>
            <w:rStyle w:val="Hyperlink"/>
            <w:b/>
            <w:bCs/>
            <w:color w:val="0000EE"/>
            <w:u w:color="0000EE"/>
            <w:lang w:val="el" w:eastAsia="el"/>
          </w:rPr>
          <w:t>Τροποποίηση 4334/2015, Άρθρο 1</w:t>
        </w:r>
      </w:hyperlink>
    </w:p>
  </w:footnote>
  <w:footnote w:id="7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1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11" w:anchor="art_1" w:history="1">
        <w:r>
          <w:rPr>
            <w:rStyle w:val="Hyperlink"/>
            <w:b/>
            <w:bCs/>
            <w:color w:val="0000EE"/>
            <w:u w:color="0000EE"/>
            <w:lang w:val="el" w:eastAsia="el"/>
          </w:rPr>
          <w:t>Τροποποίηση 4334/2015, Άρθρο 1</w:t>
        </w:r>
      </w:hyperlink>
    </w:p>
  </w:footnote>
  <w:footnote w:id="7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1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14" w:anchor="art_1" w:history="1">
        <w:r>
          <w:rPr>
            <w:rStyle w:val="Hyperlink"/>
            <w:b/>
            <w:bCs/>
            <w:color w:val="0000EE"/>
            <w:u w:color="0000EE"/>
            <w:lang w:val="el" w:eastAsia="el"/>
          </w:rPr>
          <w:t>Τροποποίηση 4334/2015, Άρθρο 1</w:t>
        </w:r>
      </w:hyperlink>
    </w:p>
  </w:footnote>
  <w:footnote w:id="7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1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17" w:anchor="art_1" w:history="1">
        <w:r>
          <w:rPr>
            <w:rStyle w:val="Hyperlink"/>
            <w:b/>
            <w:bCs/>
            <w:color w:val="0000EE"/>
            <w:u w:color="0000EE"/>
            <w:lang w:val="el" w:eastAsia="el"/>
          </w:rPr>
          <w:t>Τροποποίηση 4334/2015, Άρθρο 1</w:t>
        </w:r>
      </w:hyperlink>
    </w:p>
  </w:footnote>
  <w:footnote w:id="7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1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20" w:anchor="art_1" w:history="1">
        <w:r>
          <w:rPr>
            <w:rStyle w:val="Hyperlink"/>
            <w:b/>
            <w:bCs/>
            <w:color w:val="0000EE"/>
            <w:u w:color="0000EE"/>
            <w:lang w:val="el" w:eastAsia="el"/>
          </w:rPr>
          <w:t>Τροποποίηση 4334/2015, Άρθρο 1</w:t>
        </w:r>
      </w:hyperlink>
    </w:p>
  </w:footnote>
  <w:footnote w:id="7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2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23" w:anchor="art_1" w:history="1">
        <w:r>
          <w:rPr>
            <w:rStyle w:val="Hyperlink"/>
            <w:b/>
            <w:bCs/>
            <w:color w:val="0000EE"/>
            <w:u w:color="0000EE"/>
            <w:lang w:val="el" w:eastAsia="el"/>
          </w:rPr>
          <w:t>Τροποποίηση 4334/2015, Άρθρο 1</w:t>
        </w:r>
      </w:hyperlink>
    </w:p>
  </w:footnote>
  <w:footnote w:id="7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2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26" w:anchor="art_1" w:history="1">
        <w:r>
          <w:rPr>
            <w:rStyle w:val="Hyperlink"/>
            <w:b/>
            <w:bCs/>
            <w:color w:val="0000EE"/>
            <w:u w:color="0000EE"/>
            <w:lang w:val="el" w:eastAsia="el"/>
          </w:rPr>
          <w:t>Τροποποίηση 4334/2015, Άρθρο 1</w:t>
        </w:r>
      </w:hyperlink>
    </w:p>
  </w:footnote>
  <w:footnote w:id="7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2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29" w:anchor="art_1" w:history="1">
        <w:r>
          <w:rPr>
            <w:rStyle w:val="Hyperlink"/>
            <w:b/>
            <w:bCs/>
            <w:color w:val="0000EE"/>
            <w:u w:color="0000EE"/>
            <w:lang w:val="el" w:eastAsia="el"/>
          </w:rPr>
          <w:t>Τροποποίηση 4334/2015, Άρθρο 1</w:t>
        </w:r>
      </w:hyperlink>
    </w:p>
  </w:footnote>
  <w:footnote w:id="7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3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32" w:anchor="art_1" w:history="1">
        <w:r>
          <w:rPr>
            <w:rStyle w:val="Hyperlink"/>
            <w:b/>
            <w:bCs/>
            <w:color w:val="0000EE"/>
            <w:u w:color="0000EE"/>
            <w:lang w:val="el" w:eastAsia="el"/>
          </w:rPr>
          <w:t>Τροποποίηση 4334/2015, Άρθρο 1</w:t>
        </w:r>
      </w:hyperlink>
    </w:p>
  </w:footnote>
  <w:footnote w:id="7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3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35" w:anchor="art_2" w:history="1">
        <w:r>
          <w:rPr>
            <w:rStyle w:val="Hyperlink"/>
            <w:b/>
            <w:bCs/>
            <w:color w:val="0000EE"/>
            <w:u w:color="0000EE"/>
            <w:lang w:val="el" w:eastAsia="el"/>
          </w:rPr>
          <w:t>Προσθήκη 4336/2015, Άρθρο 2</w:t>
        </w:r>
      </w:hyperlink>
      <w:r>
        <w:rPr>
          <w:b/>
          <w:bCs/>
          <w:lang w:val="el" w:eastAsia="el"/>
        </w:rPr>
        <w:t xml:space="preserve">; </w:t>
      </w:r>
      <w:hyperlink r:id="rId936" w:anchor="art_1" w:history="1">
        <w:r>
          <w:rPr>
            <w:rStyle w:val="Hyperlink"/>
            <w:b/>
            <w:bCs/>
            <w:color w:val="0000EE"/>
            <w:u w:color="0000EE"/>
            <w:lang w:val="el" w:eastAsia="el"/>
          </w:rPr>
          <w:t>Τροποποίηση 4334/2015, Άρθρο 1</w:t>
        </w:r>
      </w:hyperlink>
    </w:p>
  </w:footnote>
  <w:footnote w:id="7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7" w:anchor="art_55" w:history="1">
        <w:r>
          <w:rPr>
            <w:rStyle w:val="Hyperlink"/>
            <w:b/>
            <w:bCs/>
            <w:color w:val="0000EE"/>
            <w:u w:color="0000EE"/>
            <w:lang w:val="el" w:eastAsia="el"/>
          </w:rPr>
          <w:t>Προσθήκη 4839/2021, Άρθρο 55</w:t>
        </w:r>
      </w:hyperlink>
      <w:r>
        <w:rPr>
          <w:b/>
          <w:bCs/>
          <w:lang w:val="el" w:eastAsia="el"/>
        </w:rPr>
        <w:t xml:space="preserve">; </w:t>
      </w:r>
      <w:hyperlink r:id="rId93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3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40" w:anchor="art_2" w:history="1">
        <w:r>
          <w:rPr>
            <w:rStyle w:val="Hyperlink"/>
            <w:b/>
            <w:bCs/>
            <w:color w:val="0000EE"/>
            <w:u w:color="0000EE"/>
            <w:lang w:val="el" w:eastAsia="el"/>
          </w:rPr>
          <w:t>Προσθήκη 4336/2015, Άρθρο 2</w:t>
        </w:r>
      </w:hyperlink>
      <w:r>
        <w:rPr>
          <w:b/>
          <w:bCs/>
          <w:lang w:val="el" w:eastAsia="el"/>
        </w:rPr>
        <w:t xml:space="preserve">; </w:t>
      </w:r>
      <w:hyperlink r:id="rId941" w:anchor="art_1" w:history="1">
        <w:r>
          <w:rPr>
            <w:rStyle w:val="Hyperlink"/>
            <w:b/>
            <w:bCs/>
            <w:color w:val="0000EE"/>
            <w:u w:color="0000EE"/>
            <w:lang w:val="el" w:eastAsia="el"/>
          </w:rPr>
          <w:t>Τροποποίηση 4334/2015, Άρθρο 1</w:t>
        </w:r>
      </w:hyperlink>
    </w:p>
  </w:footnote>
  <w:footnote w:id="7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4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44" w:anchor="art_1" w:history="1">
        <w:r>
          <w:rPr>
            <w:rStyle w:val="Hyperlink"/>
            <w:b/>
            <w:bCs/>
            <w:color w:val="0000EE"/>
            <w:u w:color="0000EE"/>
            <w:lang w:val="el" w:eastAsia="el"/>
          </w:rPr>
          <w:t>Τροποποίηση 4334/2015, Άρθρο 1</w:t>
        </w:r>
      </w:hyperlink>
    </w:p>
  </w:footnote>
  <w:footnote w:id="7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4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47" w:anchor="art_1Sub" w:history="1">
        <w:r>
          <w:rPr>
            <w:rStyle w:val="Hyperlink"/>
            <w:b/>
            <w:bCs/>
            <w:color w:val="0000EE"/>
            <w:u w:color="0000EE"/>
            <w:lang w:val="el" w:eastAsia="el"/>
          </w:rPr>
          <w:t>Τροποποίηση 4334/2015, Άρθρο 1Sub</w:t>
        </w:r>
      </w:hyperlink>
      <w:r>
        <w:rPr>
          <w:b/>
          <w:bCs/>
          <w:lang w:val="el" w:eastAsia="el"/>
        </w:rPr>
        <w:t xml:space="preserve">; </w:t>
      </w:r>
      <w:hyperlink r:id="rId948" w:anchor="art_2" w:history="1">
        <w:r>
          <w:rPr>
            <w:rStyle w:val="Hyperlink"/>
            <w:b/>
            <w:bCs/>
            <w:color w:val="0000EE"/>
            <w:u w:color="0000EE"/>
            <w:lang w:val="el" w:eastAsia="el"/>
          </w:rPr>
          <w:t>Προσθήκη 4336/2015, Άρθρο 2</w:t>
        </w:r>
      </w:hyperlink>
      <w:r>
        <w:rPr>
          <w:b/>
          <w:bCs/>
          <w:lang w:val="el" w:eastAsia="el"/>
        </w:rPr>
        <w:t xml:space="preserve">; </w:t>
      </w:r>
      <w:hyperlink r:id="rId949" w:anchor="art_1" w:history="1">
        <w:r>
          <w:rPr>
            <w:rStyle w:val="Hyperlink"/>
            <w:b/>
            <w:bCs/>
            <w:color w:val="0000EE"/>
            <w:u w:color="0000EE"/>
            <w:lang w:val="el" w:eastAsia="el"/>
          </w:rPr>
          <w:t>Τροποποίηση 4334/2015, Άρθρο 1</w:t>
        </w:r>
      </w:hyperlink>
    </w:p>
  </w:footnote>
  <w:footnote w:id="7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5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52" w:anchor="art_2" w:history="1">
        <w:r>
          <w:rPr>
            <w:rStyle w:val="Hyperlink"/>
            <w:b/>
            <w:bCs/>
            <w:color w:val="0000EE"/>
            <w:u w:color="0000EE"/>
            <w:lang w:val="el" w:eastAsia="el"/>
          </w:rPr>
          <w:t>Προσθήκη 4336/2015, Άρθρο 2</w:t>
        </w:r>
      </w:hyperlink>
      <w:r>
        <w:rPr>
          <w:b/>
          <w:bCs/>
          <w:lang w:val="el" w:eastAsia="el"/>
        </w:rPr>
        <w:t xml:space="preserve">; </w:t>
      </w:r>
      <w:hyperlink r:id="rId953" w:anchor="art_1" w:history="1">
        <w:r>
          <w:rPr>
            <w:rStyle w:val="Hyperlink"/>
            <w:b/>
            <w:bCs/>
            <w:color w:val="0000EE"/>
            <w:u w:color="0000EE"/>
            <w:lang w:val="el" w:eastAsia="el"/>
          </w:rPr>
          <w:t>Τροποποίηση 4334/2015, Άρθρο 1</w:t>
        </w:r>
      </w:hyperlink>
    </w:p>
  </w:footnote>
  <w:footnote w:id="7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5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56" w:anchor="art_2" w:history="1">
        <w:r>
          <w:rPr>
            <w:rStyle w:val="Hyperlink"/>
            <w:b/>
            <w:bCs/>
            <w:color w:val="0000EE"/>
            <w:u w:color="0000EE"/>
            <w:lang w:val="el" w:eastAsia="el"/>
          </w:rPr>
          <w:t>Προσθήκη 4336/2015, Άρθρο 2</w:t>
        </w:r>
      </w:hyperlink>
      <w:r>
        <w:rPr>
          <w:b/>
          <w:bCs/>
          <w:lang w:val="el" w:eastAsia="el"/>
        </w:rPr>
        <w:t xml:space="preserve">; </w:t>
      </w:r>
      <w:hyperlink r:id="rId957" w:anchor="art_1" w:history="1">
        <w:r>
          <w:rPr>
            <w:rStyle w:val="Hyperlink"/>
            <w:b/>
            <w:bCs/>
            <w:color w:val="0000EE"/>
            <w:u w:color="0000EE"/>
            <w:lang w:val="el" w:eastAsia="el"/>
          </w:rPr>
          <w:t>Τροποποίηση 4334/2015, Άρθρο 1</w:t>
        </w:r>
      </w:hyperlink>
    </w:p>
  </w:footnote>
  <w:footnote w:id="7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59" w:anchor="art_70" w:history="1">
        <w:r>
          <w:rPr>
            <w:rStyle w:val="Hyperlink"/>
            <w:b/>
            <w:bCs/>
            <w:color w:val="0000EE"/>
            <w:u w:color="0000EE"/>
            <w:lang w:val="el" w:eastAsia="el"/>
          </w:rPr>
          <w:t>Προσθήκη 4472/2017, Άρθρο 70</w:t>
        </w:r>
      </w:hyperlink>
    </w:p>
  </w:footnote>
  <w:footnote w:id="7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61" w:anchor="art_70" w:history="1">
        <w:r>
          <w:rPr>
            <w:rStyle w:val="Hyperlink"/>
            <w:b/>
            <w:bCs/>
            <w:color w:val="0000EE"/>
            <w:u w:color="0000EE"/>
            <w:lang w:val="el" w:eastAsia="el"/>
          </w:rPr>
          <w:t>Προσθήκη 4472/2017, Άρθρο 70</w:t>
        </w:r>
      </w:hyperlink>
    </w:p>
  </w:footnote>
  <w:footnote w:id="7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63" w:anchor="art_70" w:history="1">
        <w:r>
          <w:rPr>
            <w:rStyle w:val="Hyperlink"/>
            <w:b/>
            <w:bCs/>
            <w:color w:val="0000EE"/>
            <w:u w:color="0000EE"/>
            <w:lang w:val="el" w:eastAsia="el"/>
          </w:rPr>
          <w:t>Προσθήκη 4472/2017, Άρθρο 70</w:t>
        </w:r>
      </w:hyperlink>
    </w:p>
  </w:footnote>
  <w:footnote w:id="7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4" w:anchor="art_40" w:history="1">
        <w:r>
          <w:rPr>
            <w:rStyle w:val="Hyperlink"/>
            <w:b/>
            <w:bCs/>
            <w:color w:val="0000EE"/>
            <w:u w:color="0000EE"/>
            <w:lang w:val="el" w:eastAsia="el"/>
          </w:rPr>
          <w:t>Τροποποίηση 4646/2019, Άρθρο 40</w:t>
        </w:r>
      </w:hyperlink>
      <w:r>
        <w:rPr>
          <w:b/>
          <w:bCs/>
          <w:lang w:val="el" w:eastAsia="el"/>
        </w:rPr>
        <w:t xml:space="preserve">; </w:t>
      </w:r>
      <w:hyperlink r:id="rId96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66" w:anchor="art_70" w:history="1">
        <w:r>
          <w:rPr>
            <w:rStyle w:val="Hyperlink"/>
            <w:b/>
            <w:bCs/>
            <w:color w:val="0000EE"/>
            <w:u w:color="0000EE"/>
            <w:lang w:val="el" w:eastAsia="el"/>
          </w:rPr>
          <w:t>Προσθήκη 4472/2017, Άρθρο 70</w:t>
        </w:r>
      </w:hyperlink>
    </w:p>
  </w:footnote>
  <w:footnote w:id="7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68" w:anchor="art_70" w:history="1">
        <w:r>
          <w:rPr>
            <w:rStyle w:val="Hyperlink"/>
            <w:b/>
            <w:bCs/>
            <w:color w:val="0000EE"/>
            <w:u w:color="0000EE"/>
            <w:lang w:val="el" w:eastAsia="el"/>
          </w:rPr>
          <w:t>Προσθήκη 4472/2017, Άρθρο 70</w:t>
        </w:r>
      </w:hyperlink>
    </w:p>
  </w:footnote>
  <w:footnote w:id="7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9" w:anchor="art_64" w:history="1">
        <w:r>
          <w:rPr>
            <w:rStyle w:val="Hyperlink"/>
            <w:b/>
            <w:bCs/>
            <w:color w:val="0000EE"/>
            <w:u w:color="0000EE"/>
            <w:lang w:val="el" w:eastAsia="el"/>
          </w:rPr>
          <w:t>Τροποποίηση 4758/2020, Άρθρο 64</w:t>
        </w:r>
      </w:hyperlink>
      <w:r>
        <w:rPr>
          <w:b/>
          <w:bCs/>
          <w:lang w:val="el" w:eastAsia="el"/>
        </w:rPr>
        <w:t xml:space="preserve">; </w:t>
      </w:r>
      <w:hyperlink r:id="rId97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71" w:anchor="art_70" w:history="1">
        <w:r>
          <w:rPr>
            <w:rStyle w:val="Hyperlink"/>
            <w:b/>
            <w:bCs/>
            <w:color w:val="0000EE"/>
            <w:u w:color="0000EE"/>
            <w:lang w:val="el" w:eastAsia="el"/>
          </w:rPr>
          <w:t>Προσθήκη 4472/2017, Άρθρο 70</w:t>
        </w:r>
      </w:hyperlink>
    </w:p>
  </w:footnote>
  <w:footnote w:id="7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73" w:anchor="art_70" w:history="1">
        <w:r>
          <w:rPr>
            <w:rStyle w:val="Hyperlink"/>
            <w:b/>
            <w:bCs/>
            <w:color w:val="0000EE"/>
            <w:u w:color="0000EE"/>
            <w:lang w:val="el" w:eastAsia="el"/>
          </w:rPr>
          <w:t>Προσθήκη 4472/2017, Άρθρο 70</w:t>
        </w:r>
      </w:hyperlink>
    </w:p>
  </w:footnote>
  <w:footnote w:id="7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75" w:anchor="art_58" w:history="1">
        <w:r>
          <w:rPr>
            <w:rStyle w:val="Hyperlink"/>
            <w:b/>
            <w:bCs/>
            <w:color w:val="0000EE"/>
            <w:u w:color="0000EE"/>
            <w:lang w:val="el" w:eastAsia="el"/>
          </w:rPr>
          <w:t>Τροποποίηση 4583/2018, Άρθρο 58</w:t>
        </w:r>
      </w:hyperlink>
      <w:r>
        <w:rPr>
          <w:b/>
          <w:bCs/>
          <w:lang w:val="el" w:eastAsia="el"/>
        </w:rPr>
        <w:t xml:space="preserve">; </w:t>
      </w:r>
      <w:hyperlink r:id="rId976" w:anchor="art_70" w:history="1">
        <w:r>
          <w:rPr>
            <w:rStyle w:val="Hyperlink"/>
            <w:b/>
            <w:bCs/>
            <w:color w:val="0000EE"/>
            <w:u w:color="0000EE"/>
            <w:lang w:val="el" w:eastAsia="el"/>
          </w:rPr>
          <w:t>Προσθήκη 4472/2017, Άρθρο 70</w:t>
        </w:r>
      </w:hyperlink>
    </w:p>
  </w:footnote>
  <w:footnote w:id="7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7" w:anchor="art_55" w:history="1">
        <w:r>
          <w:rPr>
            <w:rStyle w:val="Hyperlink"/>
            <w:b/>
            <w:bCs/>
            <w:color w:val="0000EE"/>
            <w:u w:color="0000EE"/>
            <w:lang w:val="el" w:eastAsia="el"/>
          </w:rPr>
          <w:t>Προσθήκη 4839/2021, Άρθρο 55</w:t>
        </w:r>
      </w:hyperlink>
      <w:r>
        <w:rPr>
          <w:b/>
          <w:bCs/>
          <w:lang w:val="el" w:eastAsia="el"/>
        </w:rPr>
        <w:t xml:space="preserve">; </w:t>
      </w:r>
      <w:hyperlink r:id="rId97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79" w:anchor="art_58" w:history="1">
        <w:r>
          <w:rPr>
            <w:rStyle w:val="Hyperlink"/>
            <w:b/>
            <w:bCs/>
            <w:color w:val="0000EE"/>
            <w:u w:color="0000EE"/>
            <w:lang w:val="el" w:eastAsia="el"/>
          </w:rPr>
          <w:t>Τροποποίηση 4583/2018, Άρθρο 58</w:t>
        </w:r>
      </w:hyperlink>
      <w:r>
        <w:rPr>
          <w:b/>
          <w:bCs/>
          <w:lang w:val="el" w:eastAsia="el"/>
        </w:rPr>
        <w:t xml:space="preserve">; </w:t>
      </w:r>
      <w:hyperlink r:id="rId980" w:anchor="art_70" w:history="1">
        <w:r>
          <w:rPr>
            <w:rStyle w:val="Hyperlink"/>
            <w:b/>
            <w:bCs/>
            <w:color w:val="0000EE"/>
            <w:u w:color="0000EE"/>
            <w:lang w:val="el" w:eastAsia="el"/>
          </w:rPr>
          <w:t>Προσθήκη 4472/2017, Άρθρο 70</w:t>
        </w:r>
      </w:hyperlink>
    </w:p>
  </w:footnote>
  <w:footnote w:id="7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1" w:anchor="art_121" w:history="1">
        <w:r>
          <w:rPr>
            <w:rStyle w:val="Hyperlink"/>
            <w:b/>
            <w:bCs/>
            <w:color w:val="0000EE"/>
            <w:u w:color="0000EE"/>
            <w:lang w:val="el" w:eastAsia="el"/>
          </w:rPr>
          <w:t>Προσθήκη 4611/2019, Άρθρο 121</w:t>
        </w:r>
      </w:hyperlink>
    </w:p>
  </w:footnote>
  <w:footnote w:id="7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2" w:anchor="art_121" w:history="1">
        <w:r>
          <w:rPr>
            <w:rStyle w:val="Hyperlink"/>
            <w:b/>
            <w:bCs/>
            <w:color w:val="0000EE"/>
            <w:u w:color="0000EE"/>
            <w:lang w:val="el" w:eastAsia="el"/>
          </w:rPr>
          <w:t>Προσθήκη 4611/2019, Άρθρο 121</w:t>
        </w:r>
      </w:hyperlink>
    </w:p>
  </w:footnote>
  <w:footnote w:id="7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3" w:anchor="art_121" w:history="1">
        <w:r>
          <w:rPr>
            <w:rStyle w:val="Hyperlink"/>
            <w:b/>
            <w:bCs/>
            <w:color w:val="0000EE"/>
            <w:u w:color="0000EE"/>
            <w:lang w:val="el" w:eastAsia="el"/>
          </w:rPr>
          <w:t>Προσθήκη 4611/2019, Άρθρο 121</w:t>
        </w:r>
      </w:hyperlink>
    </w:p>
  </w:footnote>
  <w:footnote w:id="7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4" w:anchor="art_121" w:history="1">
        <w:r>
          <w:rPr>
            <w:rStyle w:val="Hyperlink"/>
            <w:b/>
            <w:bCs/>
            <w:color w:val="0000EE"/>
            <w:u w:color="0000EE"/>
            <w:lang w:val="el" w:eastAsia="el"/>
          </w:rPr>
          <w:t>Προσθήκη 4611/2019, Άρθρο 121</w:t>
        </w:r>
      </w:hyperlink>
    </w:p>
  </w:footnote>
  <w:footnote w:id="7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5" w:anchor="art_10" w:history="1">
        <w:r>
          <w:rPr>
            <w:rStyle w:val="Hyperlink"/>
            <w:b/>
            <w:bCs/>
            <w:color w:val="0000EE"/>
            <w:u w:color="0000EE"/>
            <w:lang w:val="el" w:eastAsia="el"/>
          </w:rPr>
          <w:t>Τροποποίηση 4664/2020, Άρθρο 10</w:t>
        </w:r>
      </w:hyperlink>
      <w:r>
        <w:rPr>
          <w:b/>
          <w:bCs/>
          <w:lang w:val="el" w:eastAsia="el"/>
        </w:rPr>
        <w:t xml:space="preserve">; </w:t>
      </w:r>
      <w:hyperlink r:id="rId986" w:anchor="art_121" w:history="1">
        <w:r>
          <w:rPr>
            <w:rStyle w:val="Hyperlink"/>
            <w:b/>
            <w:bCs/>
            <w:color w:val="0000EE"/>
            <w:u w:color="0000EE"/>
            <w:lang w:val="el" w:eastAsia="el"/>
          </w:rPr>
          <w:t>Προσθήκη 4611/2019, Άρθρο 121</w:t>
        </w:r>
      </w:hyperlink>
    </w:p>
  </w:footnote>
  <w:footnote w:id="7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7" w:anchor="art_121" w:history="1">
        <w:r>
          <w:rPr>
            <w:rStyle w:val="Hyperlink"/>
            <w:b/>
            <w:bCs/>
            <w:color w:val="0000EE"/>
            <w:u w:color="0000EE"/>
            <w:lang w:val="el" w:eastAsia="el"/>
          </w:rPr>
          <w:t>Προσθήκη 4611/2019, Άρθρο 121</w:t>
        </w:r>
      </w:hyperlink>
    </w:p>
  </w:footnote>
  <w:footnote w:id="7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8" w:anchor="art_121" w:history="1">
        <w:r>
          <w:rPr>
            <w:rStyle w:val="Hyperlink"/>
            <w:b/>
            <w:bCs/>
            <w:color w:val="0000EE"/>
            <w:u w:color="0000EE"/>
            <w:lang w:val="el" w:eastAsia="el"/>
          </w:rPr>
          <w:t>Προσθήκη 4611/2019, Άρθρο 121</w:t>
        </w:r>
      </w:hyperlink>
    </w:p>
  </w:footnote>
  <w:footnote w:id="7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9" w:anchor="art_46" w:history="1">
        <w:r>
          <w:rPr>
            <w:rStyle w:val="Hyperlink"/>
            <w:b/>
            <w:bCs/>
            <w:color w:val="0000EE"/>
            <w:u w:color="0000EE"/>
            <w:lang w:val="el" w:eastAsia="el"/>
          </w:rPr>
          <w:t>Τροποποίηση 4818/2021, Άρθρο 46</w:t>
        </w:r>
      </w:hyperlink>
      <w:r>
        <w:rPr>
          <w:b/>
          <w:bCs/>
          <w:lang w:val="el" w:eastAsia="el"/>
        </w:rPr>
        <w:t xml:space="preserve">; </w:t>
      </w:r>
      <w:hyperlink r:id="rId990" w:anchor="art_11" w:history="1">
        <w:r>
          <w:rPr>
            <w:rStyle w:val="Hyperlink"/>
            <w:b/>
            <w:bCs/>
            <w:color w:val="0000EE"/>
            <w:u w:color="0000EE"/>
            <w:lang w:val="el" w:eastAsia="el"/>
          </w:rPr>
          <w:t>Τροποποίηση 4714/2020, Άρθρο 11</w:t>
        </w:r>
      </w:hyperlink>
      <w:r>
        <w:rPr>
          <w:b/>
          <w:bCs/>
          <w:lang w:val="el" w:eastAsia="el"/>
        </w:rPr>
        <w:t xml:space="preserve">; </w:t>
      </w:r>
      <w:hyperlink r:id="rId991" w:anchor="art_121" w:history="1">
        <w:r>
          <w:rPr>
            <w:rStyle w:val="Hyperlink"/>
            <w:b/>
            <w:bCs/>
            <w:color w:val="0000EE"/>
            <w:u w:color="0000EE"/>
            <w:lang w:val="el" w:eastAsia="el"/>
          </w:rPr>
          <w:t>Προσθήκη 4611/2019, Άρθρο 121</w:t>
        </w:r>
      </w:hyperlink>
    </w:p>
  </w:footnote>
  <w:footnote w:id="7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2" w:anchor="art_121" w:history="1">
        <w:r>
          <w:rPr>
            <w:rStyle w:val="Hyperlink"/>
            <w:b/>
            <w:bCs/>
            <w:color w:val="0000EE"/>
            <w:u w:color="0000EE"/>
            <w:lang w:val="el" w:eastAsia="el"/>
          </w:rPr>
          <w:t>Προσθήκη 4611/2019, Άρθρο 121</w:t>
        </w:r>
      </w:hyperlink>
    </w:p>
  </w:footnote>
  <w:footnote w:id="7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3" w:anchor="art_121" w:history="1">
        <w:r>
          <w:rPr>
            <w:rStyle w:val="Hyperlink"/>
            <w:b/>
            <w:bCs/>
            <w:color w:val="0000EE"/>
            <w:u w:color="0000EE"/>
            <w:lang w:val="el" w:eastAsia="el"/>
          </w:rPr>
          <w:t>Προσθήκη 4611/2019, Άρθρο 121</w:t>
        </w:r>
      </w:hyperlink>
    </w:p>
  </w:footnote>
  <w:footnote w:id="7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4" w:anchor="art_121" w:history="1">
        <w:r>
          <w:rPr>
            <w:rStyle w:val="Hyperlink"/>
            <w:b/>
            <w:bCs/>
            <w:color w:val="0000EE"/>
            <w:u w:color="0000EE"/>
            <w:lang w:val="el" w:eastAsia="el"/>
          </w:rPr>
          <w:t>Προσθήκη 4611/2019, Άρθρο 121</w:t>
        </w:r>
      </w:hyperlink>
    </w:p>
  </w:footnote>
  <w:footnote w:id="7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5" w:anchor="art_121" w:history="1">
        <w:r>
          <w:rPr>
            <w:rStyle w:val="Hyperlink"/>
            <w:b/>
            <w:bCs/>
            <w:color w:val="0000EE"/>
            <w:u w:color="0000EE"/>
            <w:lang w:val="el" w:eastAsia="el"/>
          </w:rPr>
          <w:t>Προσθήκη 4611/2019, Άρθρο 121</w:t>
        </w:r>
      </w:hyperlink>
    </w:p>
  </w:footnote>
  <w:footnote w:id="7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6" w:anchor="art_121" w:history="1">
        <w:r>
          <w:rPr>
            <w:rStyle w:val="Hyperlink"/>
            <w:b/>
            <w:bCs/>
            <w:color w:val="0000EE"/>
            <w:u w:color="0000EE"/>
            <w:lang w:val="el" w:eastAsia="el"/>
          </w:rPr>
          <w:t>Προσθήκη 4611/2019, Άρθρο 121</w:t>
        </w:r>
      </w:hyperlink>
    </w:p>
  </w:footnote>
  <w:footnote w:id="7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7" w:anchor="art_75" w:history="1">
        <w:r>
          <w:rPr>
            <w:rStyle w:val="Hyperlink"/>
            <w:b/>
            <w:bCs/>
            <w:color w:val="0000EE"/>
            <w:u w:color="0000EE"/>
            <w:lang w:val="el" w:eastAsia="el"/>
          </w:rPr>
          <w:t>Τροποποίηση 4764/2020, Άρθρο 75</w:t>
        </w:r>
      </w:hyperlink>
      <w:r>
        <w:rPr>
          <w:b/>
          <w:bCs/>
          <w:lang w:val="el" w:eastAsia="el"/>
        </w:rPr>
        <w:t xml:space="preserve">; </w:t>
      </w:r>
      <w:hyperlink r:id="rId998" w:anchor="art_121" w:history="1">
        <w:r>
          <w:rPr>
            <w:rStyle w:val="Hyperlink"/>
            <w:b/>
            <w:bCs/>
            <w:color w:val="0000EE"/>
            <w:u w:color="0000EE"/>
            <w:lang w:val="el" w:eastAsia="el"/>
          </w:rPr>
          <w:t>Προσθήκη 4611/2019, Άρθρο 121</w:t>
        </w:r>
      </w:hyperlink>
    </w:p>
  </w:footnote>
  <w:footnote w:id="7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9" w:anchor="art_75" w:history="1">
        <w:r>
          <w:rPr>
            <w:rStyle w:val="Hyperlink"/>
            <w:b/>
            <w:bCs/>
            <w:color w:val="0000EE"/>
            <w:u w:color="0000EE"/>
            <w:lang w:val="el" w:eastAsia="el"/>
          </w:rPr>
          <w:t>Τροποποίηση 4764/2020, Άρθρο 75</w:t>
        </w:r>
      </w:hyperlink>
      <w:r>
        <w:rPr>
          <w:b/>
          <w:bCs/>
          <w:lang w:val="el" w:eastAsia="el"/>
        </w:rPr>
        <w:t xml:space="preserve">; </w:t>
      </w:r>
      <w:hyperlink r:id="rId1000" w:anchor="art_121" w:history="1">
        <w:r>
          <w:rPr>
            <w:rStyle w:val="Hyperlink"/>
            <w:b/>
            <w:bCs/>
            <w:color w:val="0000EE"/>
            <w:u w:color="0000EE"/>
            <w:lang w:val="el" w:eastAsia="el"/>
          </w:rPr>
          <w:t>Προσθήκη 4611/2019, Άρθρο 121</w:t>
        </w:r>
      </w:hyperlink>
    </w:p>
  </w:footnote>
  <w:footnote w:id="7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1" w:anchor="art_27" w:history="1">
        <w:r>
          <w:rPr>
            <w:rStyle w:val="Hyperlink"/>
            <w:b/>
            <w:bCs/>
            <w:color w:val="0000EE"/>
            <w:u w:color="0000EE"/>
            <w:lang w:val="el" w:eastAsia="el"/>
          </w:rPr>
          <w:t>Προσθήκη 4797/2021, Άρθρο 27</w:t>
        </w:r>
      </w:hyperlink>
      <w:r>
        <w:rPr>
          <w:b/>
          <w:bCs/>
          <w:lang w:val="el" w:eastAsia="el"/>
        </w:rPr>
        <w:t xml:space="preserve">; </w:t>
      </w:r>
      <w:hyperlink r:id="rId1002" w:anchor="art_75" w:history="1">
        <w:r>
          <w:rPr>
            <w:rStyle w:val="Hyperlink"/>
            <w:b/>
            <w:bCs/>
            <w:color w:val="0000EE"/>
            <w:u w:color="0000EE"/>
            <w:lang w:val="el" w:eastAsia="el"/>
          </w:rPr>
          <w:t>Τροποποίηση 4764/2020, Άρθρο 75</w:t>
        </w:r>
      </w:hyperlink>
      <w:r>
        <w:rPr>
          <w:b/>
          <w:bCs/>
          <w:lang w:val="el" w:eastAsia="el"/>
        </w:rPr>
        <w:t xml:space="preserve">; </w:t>
      </w:r>
      <w:hyperlink r:id="rId1003" w:anchor="art_121" w:history="1">
        <w:r>
          <w:rPr>
            <w:rStyle w:val="Hyperlink"/>
            <w:b/>
            <w:bCs/>
            <w:color w:val="0000EE"/>
            <w:u w:color="0000EE"/>
            <w:lang w:val="el" w:eastAsia="el"/>
          </w:rPr>
          <w:t>Προσθήκη 4611/2019, Άρθρο 121</w:t>
        </w:r>
      </w:hyperlink>
    </w:p>
  </w:footnote>
  <w:footnote w:id="7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4" w:anchor="art_40" w:history="1">
        <w:r>
          <w:rPr>
            <w:rStyle w:val="Hyperlink"/>
            <w:b/>
            <w:bCs/>
            <w:color w:val="0000EE"/>
            <w:u w:color="0000EE"/>
            <w:lang w:val="el" w:eastAsia="el"/>
          </w:rPr>
          <w:t>Προσθήκη 4646/2019, Άρθρο 40</w:t>
        </w:r>
      </w:hyperlink>
    </w:p>
  </w:footnote>
  <w:footnote w:id="7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5" w:anchor="art_40" w:history="1">
        <w:r>
          <w:rPr>
            <w:rStyle w:val="Hyperlink"/>
            <w:b/>
            <w:bCs/>
            <w:color w:val="0000EE"/>
            <w:u w:color="0000EE"/>
            <w:lang w:val="el" w:eastAsia="el"/>
          </w:rPr>
          <w:t>Προσθήκη 4646/2019, Άρθρο 40</w:t>
        </w:r>
      </w:hyperlink>
    </w:p>
  </w:footnote>
  <w:footnote w:id="7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PNP/20.03.2020, Άρθρο 1</w:t>
      </w:r>
    </w:p>
  </w:footnote>
  <w:footnote w:id="7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6" w:anchor="art_11" w:history="1">
        <w:r>
          <w:rPr>
            <w:rStyle w:val="Hyperlink"/>
            <w:b/>
            <w:bCs/>
            <w:color w:val="0000EE"/>
            <w:u w:color="0000EE"/>
            <w:lang w:val="el" w:eastAsia="el"/>
          </w:rPr>
          <w:t>Προσθήκη 4690/2020, Άρθρο 11</w:t>
        </w:r>
      </w:hyperlink>
    </w:p>
  </w:footnote>
  <w:footnote w:id="7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7" w:anchor="art_299" w:history="1">
        <w:r>
          <w:rPr>
            <w:rStyle w:val="Hyperlink"/>
            <w:b/>
            <w:bCs/>
            <w:color w:val="0000EE"/>
            <w:u w:color="0000EE"/>
            <w:lang w:val="el" w:eastAsia="el"/>
          </w:rPr>
          <w:t>Προσθήκη 4738/2020, Άρθρο 299</w:t>
        </w:r>
      </w:hyperlink>
    </w:p>
  </w:footnote>
  <w:footnote w:id="7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8" w:anchor="art_299" w:history="1">
        <w:r>
          <w:rPr>
            <w:rStyle w:val="Hyperlink"/>
            <w:b/>
            <w:bCs/>
            <w:color w:val="0000EE"/>
            <w:u w:color="0000EE"/>
            <w:lang w:val="el" w:eastAsia="el"/>
          </w:rPr>
          <w:t>Προσθήκη 4738/2020, Άρθρο 299</w:t>
        </w:r>
      </w:hyperlink>
    </w:p>
  </w:footnote>
  <w:footnote w:id="7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9" w:anchor="art_80" w:history="1">
        <w:r>
          <w:rPr>
            <w:rStyle w:val="Hyperlink"/>
            <w:b/>
            <w:bCs/>
            <w:color w:val="0000EE"/>
            <w:u w:color="0000EE"/>
            <w:lang w:val="el" w:eastAsia="el"/>
          </w:rPr>
          <w:t>Προσθήκη 4821/2021, Άρθρο 80</w:t>
        </w:r>
      </w:hyperlink>
    </w:p>
  </w:footnote>
  <w:footnote w:id="7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0" w:anchor="art_80" w:history="1">
        <w:r>
          <w:rPr>
            <w:rStyle w:val="Hyperlink"/>
            <w:b/>
            <w:bCs/>
            <w:color w:val="0000EE"/>
            <w:u w:color="0000EE"/>
            <w:lang w:val="el" w:eastAsia="el"/>
          </w:rPr>
          <w:t>Προσθήκη 4821/2021, Άρθρο 80</w:t>
        </w:r>
      </w:hyperlink>
    </w:p>
  </w:footnote>
  <w:footnote w:id="7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1" w:anchor="art_11" w:history="1">
        <w:r>
          <w:rPr>
            <w:rStyle w:val="Hyperlink"/>
            <w:b/>
            <w:bCs/>
            <w:color w:val="0000EE"/>
            <w:u w:color="0000EE"/>
            <w:lang w:val="el" w:eastAsia="el"/>
          </w:rPr>
          <w:t>Τροποποίηση 4690/2020, Άρθρο 11</w:t>
        </w:r>
      </w:hyperlink>
      <w:r>
        <w:rPr>
          <w:b/>
          <w:bCs/>
          <w:lang w:val="el" w:eastAsia="el"/>
        </w:rPr>
        <w:t xml:space="preserve">; </w:t>
      </w:r>
      <w:hyperlink r:id="rId1012" w:anchor="art_58" w:history="1">
        <w:r>
          <w:rPr>
            <w:rStyle w:val="Hyperlink"/>
            <w:b/>
            <w:bCs/>
            <w:color w:val="0000EE"/>
            <w:u w:color="0000EE"/>
            <w:lang w:val="el" w:eastAsia="el"/>
          </w:rPr>
          <w:t>Τροποποίηση 4587/2018, Άρθρο 58</w:t>
        </w:r>
      </w:hyperlink>
      <w:r>
        <w:rPr>
          <w:b/>
          <w:bCs/>
          <w:lang w:val="el" w:eastAsia="el"/>
        </w:rPr>
        <w:t xml:space="preserve">; </w:t>
      </w:r>
      <w:hyperlink r:id="rId101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1014" w:anchor="art_1" w:history="1">
        <w:r>
          <w:rPr>
            <w:rStyle w:val="Hyperlink"/>
            <w:b/>
            <w:bCs/>
            <w:color w:val="0000EE"/>
            <w:u w:color="0000EE"/>
            <w:lang w:val="el" w:eastAsia="el"/>
          </w:rPr>
          <w:t>Τροποποίηση 4334/2015, Άρθρο 1</w:t>
        </w:r>
      </w:hyperlink>
    </w:p>
  </w:footnote>
  <w:footnote w:id="7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5" w:anchor="art_11" w:history="1">
        <w:r>
          <w:rPr>
            <w:rStyle w:val="Hyperlink"/>
            <w:b/>
            <w:bCs/>
            <w:color w:val="0000EE"/>
            <w:u w:color="0000EE"/>
            <w:lang w:val="el" w:eastAsia="el"/>
          </w:rPr>
          <w:t>Προσθήκη 4690/2020, Άρθρο 11</w:t>
        </w:r>
      </w:hyperlink>
    </w:p>
  </w:footnote>
  <w:footnote w:id="7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6" w:anchor="art_81" w:history="1">
        <w:r>
          <w:rPr>
            <w:rStyle w:val="Hyperlink"/>
            <w:b/>
            <w:bCs/>
            <w:color w:val="0000EE"/>
            <w:u w:color="0000EE"/>
            <w:lang w:val="el" w:eastAsia="el"/>
          </w:rPr>
          <w:t>Τροποποίηση 4821/2021, Άρθρο 81</w:t>
        </w:r>
      </w:hyperlink>
      <w:r>
        <w:rPr>
          <w:b/>
          <w:bCs/>
          <w:lang w:val="el" w:eastAsia="el"/>
        </w:rPr>
        <w:t xml:space="preserve">; </w:t>
      </w:r>
      <w:hyperlink r:id="rId1017" w:anchor="art_12" w:history="1">
        <w:r>
          <w:rPr>
            <w:rStyle w:val="Hyperlink"/>
            <w:b/>
            <w:bCs/>
            <w:color w:val="0000EE"/>
            <w:u w:color="0000EE"/>
            <w:lang w:val="el" w:eastAsia="el"/>
          </w:rPr>
          <w:t>Προσθήκη 4714/2020, Άρθρο 12</w:t>
        </w:r>
      </w:hyperlink>
    </w:p>
  </w:footnote>
  <w:footnote w:id="7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8" w:anchor="art_36" w:history="1">
        <w:r>
          <w:rPr>
            <w:rStyle w:val="Hyperlink"/>
            <w:b/>
            <w:bCs/>
            <w:color w:val="0000EE"/>
            <w:u w:color="0000EE"/>
            <w:lang w:val="el" w:eastAsia="el"/>
          </w:rPr>
          <w:t>Προσθήκη 4772/2021, Άρθρο 36</w:t>
        </w:r>
      </w:hyperlink>
    </w:p>
  </w:footnote>
  <w:footnote w:id="7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2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21" w:anchor="art_70" w:history="1">
        <w:r>
          <w:rPr>
            <w:rStyle w:val="Hyperlink"/>
            <w:b/>
            <w:bCs/>
            <w:color w:val="0000EE"/>
            <w:u w:color="0000EE"/>
            <w:lang w:val="el" w:eastAsia="el"/>
          </w:rPr>
          <w:t>Τροποποίηση 4472/2017, Άρθρο 70</w:t>
        </w:r>
      </w:hyperlink>
      <w:r>
        <w:rPr>
          <w:b/>
          <w:bCs/>
          <w:lang w:val="el" w:eastAsia="el"/>
        </w:rPr>
        <w:t xml:space="preserve">; Προσθήκη PNP/18.07.2015, Άρθρο 2; </w:t>
      </w:r>
      <w:hyperlink r:id="rId1022" w:anchor="art_1" w:history="1">
        <w:r>
          <w:rPr>
            <w:rStyle w:val="Hyperlink"/>
            <w:b/>
            <w:bCs/>
            <w:color w:val="0000EE"/>
            <w:u w:color="0000EE"/>
            <w:lang w:val="el" w:eastAsia="el"/>
          </w:rPr>
          <w:t>Τροποποίηση 4334/2015, Άρθρο 1</w:t>
        </w:r>
      </w:hyperlink>
    </w:p>
  </w:footnote>
  <w:footnote w:id="7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2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1025" w:anchor="art_1" w:history="1">
        <w:r>
          <w:rPr>
            <w:rStyle w:val="Hyperlink"/>
            <w:b/>
            <w:bCs/>
            <w:color w:val="0000EE"/>
            <w:u w:color="0000EE"/>
            <w:lang w:val="el" w:eastAsia="el"/>
          </w:rPr>
          <w:t>Τροποποίηση 4334/2015, Άρθρο 1</w:t>
        </w:r>
      </w:hyperlink>
    </w:p>
  </w:footnote>
  <w:footnote w:id="7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27" w:anchor="art_70" w:history="1">
        <w:r>
          <w:rPr>
            <w:rStyle w:val="Hyperlink"/>
            <w:b/>
            <w:bCs/>
            <w:color w:val="0000EE"/>
            <w:u w:color="0000EE"/>
            <w:lang w:val="el" w:eastAsia="el"/>
          </w:rPr>
          <w:t>Προσθήκη 4472/2017, Άρθρο 70</w:t>
        </w:r>
      </w:hyperlink>
    </w:p>
  </w:footnote>
  <w:footnote w:id="7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29" w:anchor="art_74" w:history="1">
        <w:r>
          <w:rPr>
            <w:rStyle w:val="Hyperlink"/>
            <w:b/>
            <w:bCs/>
            <w:color w:val="0000EE"/>
            <w:u w:color="0000EE"/>
            <w:lang w:val="el" w:eastAsia="el"/>
          </w:rPr>
          <w:t>Προσθήκη 4509/2017, Άρθρο 74</w:t>
        </w:r>
      </w:hyperlink>
    </w:p>
  </w:footnote>
  <w:footnote w:id="7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0" w:anchor="art_11" w:history="1">
        <w:r>
          <w:rPr>
            <w:rStyle w:val="Hyperlink"/>
            <w:b/>
            <w:bCs/>
            <w:color w:val="0000EE"/>
            <w:u w:color="0000EE"/>
            <w:lang w:val="el" w:eastAsia="el"/>
          </w:rPr>
          <w:t>Τροποποίηση 4690/2020, Άρθρο 11</w:t>
        </w:r>
      </w:hyperlink>
      <w:r>
        <w:rPr>
          <w:b/>
          <w:bCs/>
          <w:lang w:val="el" w:eastAsia="el"/>
        </w:rPr>
        <w:t xml:space="preserve">; </w:t>
      </w:r>
      <w:hyperlink r:id="rId1031" w:anchor="art_121" w:history="1">
        <w:r>
          <w:rPr>
            <w:rStyle w:val="Hyperlink"/>
            <w:b/>
            <w:bCs/>
            <w:color w:val="0000EE"/>
            <w:u w:color="0000EE"/>
            <w:lang w:val="el" w:eastAsia="el"/>
          </w:rPr>
          <w:t>Προσθήκη 4611/2019, Άρθρο 121</w:t>
        </w:r>
      </w:hyperlink>
    </w:p>
  </w:footnote>
  <w:footnote w:id="7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2" w:anchor="art_10" w:history="1">
        <w:r>
          <w:rPr>
            <w:rStyle w:val="Hyperlink"/>
            <w:b/>
            <w:bCs/>
            <w:color w:val="0000EE"/>
            <w:u w:color="0000EE"/>
            <w:lang w:val="el" w:eastAsia="el"/>
          </w:rPr>
          <w:t>Τροποποίηση 4664/2020, Άρθρο 10</w:t>
        </w:r>
      </w:hyperlink>
    </w:p>
  </w:footnote>
  <w:footnote w:id="7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3" w:anchor="art_46" w:history="1">
        <w:r>
          <w:rPr>
            <w:rStyle w:val="Hyperlink"/>
            <w:b/>
            <w:bCs/>
            <w:color w:val="0000EE"/>
            <w:u w:color="0000EE"/>
            <w:lang w:val="el" w:eastAsia="el"/>
          </w:rPr>
          <w:t>Προσθήκη 4818/2021, Άρθρο 46</w:t>
        </w:r>
      </w:hyperlink>
    </w:p>
  </w:footnote>
  <w:footnote w:id="7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4" w:anchor="art_55" w:history="1">
        <w:r>
          <w:rPr>
            <w:rStyle w:val="Hyperlink"/>
            <w:b/>
            <w:bCs/>
            <w:color w:val="0000EE"/>
            <w:u w:color="0000EE"/>
            <w:lang w:val="el" w:eastAsia="el"/>
          </w:rPr>
          <w:t>Προσθήκη 4839/2021, Άρθρο 55</w:t>
        </w:r>
      </w:hyperlink>
    </w:p>
  </w:footnote>
  <w:footnote w:id="7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5" w:anchor="art_55" w:history="1">
        <w:r>
          <w:rPr>
            <w:rStyle w:val="Hyperlink"/>
            <w:b/>
            <w:bCs/>
            <w:color w:val="0000EE"/>
            <w:u w:color="0000EE"/>
            <w:lang w:val="el" w:eastAsia="el"/>
          </w:rPr>
          <w:t>Προσθήκη 4839/2021, Άρθρο 55</w:t>
        </w:r>
      </w:hyperlink>
    </w:p>
  </w:footnote>
  <w:footnote w:id="7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3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1038" w:anchor="art_1" w:history="1">
        <w:r>
          <w:rPr>
            <w:rStyle w:val="Hyperlink"/>
            <w:b/>
            <w:bCs/>
            <w:color w:val="0000EE"/>
            <w:u w:color="0000EE"/>
            <w:lang w:val="el" w:eastAsia="el"/>
          </w:rPr>
          <w:t>Τροποποίηση 4334/2015, Άρθρο 1</w:t>
        </w:r>
      </w:hyperlink>
    </w:p>
  </w:footnote>
  <w:footnote w:id="7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9" w:anchor="art_62" w:history="1">
        <w:r>
          <w:rPr>
            <w:rStyle w:val="Hyperlink"/>
            <w:b/>
            <w:bCs/>
            <w:color w:val="0000EE"/>
            <w:u w:color="0000EE"/>
            <w:lang w:val="el" w:eastAsia="el"/>
          </w:rPr>
          <w:t>Τροποποίηση 3842/2010, Άρθρο 62</w:t>
        </w:r>
      </w:hyperlink>
    </w:p>
  </w:footnote>
  <w:footnote w:id="7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0"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1041" w:anchor="art_6" w:history="1">
        <w:r>
          <w:rPr>
            <w:rStyle w:val="Hyperlink"/>
            <w:b/>
            <w:bCs/>
            <w:color w:val="0000EE"/>
            <w:u w:color="0000EE"/>
            <w:lang w:val="el" w:eastAsia="el"/>
          </w:rPr>
          <w:t>Τροποποίηση 3554/2007, Άρθρο 6</w:t>
        </w:r>
      </w:hyperlink>
    </w:p>
  </w:footnote>
  <w:footnote w:id="7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2" w:anchor="art_10" w:history="1">
        <w:r>
          <w:rPr>
            <w:rStyle w:val="Hyperlink"/>
            <w:b/>
            <w:bCs/>
            <w:color w:val="0000EE"/>
            <w:u w:color="0000EE"/>
            <w:lang w:val="el" w:eastAsia="el"/>
          </w:rPr>
          <w:t>Προσθήκη 4484/2017, Άρθρο 10</w:t>
        </w:r>
      </w:hyperlink>
    </w:p>
  </w:footnote>
  <w:footnote w:id="7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3" w:anchor="art_10" w:history="1">
        <w:r>
          <w:rPr>
            <w:rStyle w:val="Hyperlink"/>
            <w:b/>
            <w:bCs/>
            <w:color w:val="0000EE"/>
            <w:u w:color="0000EE"/>
            <w:lang w:val="el" w:eastAsia="el"/>
          </w:rPr>
          <w:t>Προσθήκη 4484/2017, Άρθρο 10</w:t>
        </w:r>
      </w:hyperlink>
    </w:p>
  </w:footnote>
  <w:footnote w:id="7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4" w:anchor="art_10" w:history="1">
        <w:r>
          <w:rPr>
            <w:rStyle w:val="Hyperlink"/>
            <w:b/>
            <w:bCs/>
            <w:color w:val="0000EE"/>
            <w:u w:color="0000EE"/>
            <w:lang w:val="el" w:eastAsia="el"/>
          </w:rPr>
          <w:t>Προσθήκη 4484/2017, Άρθρο 10</w:t>
        </w:r>
      </w:hyperlink>
    </w:p>
  </w:footnote>
  <w:footnote w:id="7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5"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1046" w:anchor="art_6" w:history="1">
        <w:r>
          <w:rPr>
            <w:rStyle w:val="Hyperlink"/>
            <w:b/>
            <w:bCs/>
            <w:color w:val="0000EE"/>
            <w:u w:color="0000EE"/>
            <w:lang w:val="el" w:eastAsia="el"/>
          </w:rPr>
          <w:t>Τροποποίηση 3554/2007, Άρθρο 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article_links(600032,'71%CE%97')" TargetMode="External" /><Relationship Id="rId6" Type="http://schemas.openxmlformats.org/officeDocument/2006/relationships/hyperlink" Target="javascript:open_links('787348,600032')" TargetMode="External" /><Relationship Id="rId7" Type="http://schemas.openxmlformats.org/officeDocument/2006/relationships/hyperlink" Target="javascript:open_fek_links('%CE%91','167','2013')" TargetMode="Externa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2/16/3312" TargetMode="External" /><Relationship Id="rId10" Type="http://schemas.openxmlformats.org/officeDocument/2006/relationships/hyperlink" Target="http://data.aade.gr/eli/pri/law/2008/09/25/3697" TargetMode="External" /><Relationship Id="rId100" Type="http://schemas.openxmlformats.org/officeDocument/2006/relationships/hyperlink" Target="http://data.aade.gr/eli/pri/law/2019/04/24/4607" TargetMode="External" /><Relationship Id="rId1000" Type="http://schemas.openxmlformats.org/officeDocument/2006/relationships/hyperlink" Target="http://data.aade.gr/eli/pri/law/2019/05/17/4611" TargetMode="External" /><Relationship Id="rId1001" Type="http://schemas.openxmlformats.org/officeDocument/2006/relationships/hyperlink" Target="http://data.aade.gr/eli/pri/law/2021/04/23/4797" TargetMode="External" /><Relationship Id="rId1002" Type="http://schemas.openxmlformats.org/officeDocument/2006/relationships/hyperlink" Target="http://data.aade.gr/eli/pri/law/2020/12/23/4764" TargetMode="External" /><Relationship Id="rId1003" Type="http://schemas.openxmlformats.org/officeDocument/2006/relationships/hyperlink" Target="http://data.aade.gr/eli/pri/law/2019/05/17/4611" TargetMode="External" /><Relationship Id="rId1004" Type="http://schemas.openxmlformats.org/officeDocument/2006/relationships/hyperlink" Target="http://data.aade.gr/eli/pri/law/2019/12/12/4646" TargetMode="External" /><Relationship Id="rId1005" Type="http://schemas.openxmlformats.org/officeDocument/2006/relationships/hyperlink" Target="http://data.aade.gr/eli/pri/law/2019/12/12/4646" TargetMode="External" /><Relationship Id="rId1006" Type="http://schemas.openxmlformats.org/officeDocument/2006/relationships/hyperlink" Target="http://data.aade.gr/eli/pri/law/2020/05/30/4690" TargetMode="External" /><Relationship Id="rId1007" Type="http://schemas.openxmlformats.org/officeDocument/2006/relationships/hyperlink" Target="http://data.aade.gr/eli/pri/law/2020/10/27/4738" TargetMode="External" /><Relationship Id="rId1008" Type="http://schemas.openxmlformats.org/officeDocument/2006/relationships/hyperlink" Target="http://data.aade.gr/eli/pri/law/2020/10/27/4738" TargetMode="External" /><Relationship Id="rId1009" Type="http://schemas.openxmlformats.org/officeDocument/2006/relationships/hyperlink" Target="http://data.aade.gr/eli/pri/law/2021/07/31/4821" TargetMode="External" /><Relationship Id="rId101" Type="http://schemas.openxmlformats.org/officeDocument/2006/relationships/hyperlink" Target="http://data.aade.gr/eli/pri/law/2019/04/24/4607" TargetMode="External" /><Relationship Id="rId1010" Type="http://schemas.openxmlformats.org/officeDocument/2006/relationships/hyperlink" Target="http://data.aade.gr/eli/pri/law/2021/07/31/4821" TargetMode="External" /><Relationship Id="rId1011" Type="http://schemas.openxmlformats.org/officeDocument/2006/relationships/hyperlink" Target="http://data.aade.gr/eli/pri/law/2020/05/30/4690" TargetMode="External" /><Relationship Id="rId1012" Type="http://schemas.openxmlformats.org/officeDocument/2006/relationships/hyperlink" Target="http://data.aade.gr/eli/pri/law/2018/12/24/4587" TargetMode="External" /><Relationship Id="rId1013" Type="http://schemas.openxmlformats.org/officeDocument/2006/relationships/hyperlink" Target="http://data.aade.gr/eli/pri/law/2017/05/19/4472" TargetMode="External" /><Relationship Id="rId1014" Type="http://schemas.openxmlformats.org/officeDocument/2006/relationships/hyperlink" Target="http://data.aade.gr/eli/pri/law/2015/07/16/4334" TargetMode="External" /><Relationship Id="rId1015" Type="http://schemas.openxmlformats.org/officeDocument/2006/relationships/hyperlink" Target="http://data.aade.gr/eli/pri/law/2020/05/30/4690" TargetMode="External" /><Relationship Id="rId1016" Type="http://schemas.openxmlformats.org/officeDocument/2006/relationships/hyperlink" Target="http://data.aade.gr/eli/pri/law/2021/07/31/4821" TargetMode="External" /><Relationship Id="rId1017" Type="http://schemas.openxmlformats.org/officeDocument/2006/relationships/hyperlink" Target="http://data.aade.gr/eli/pri/law/2020/07/31/4714" TargetMode="External" /><Relationship Id="rId1018" Type="http://schemas.openxmlformats.org/officeDocument/2006/relationships/hyperlink" Target="http://data.aade.gr/eli/pri/law/2021/02/05/4772" TargetMode="External" /><Relationship Id="rId1019" Type="http://schemas.openxmlformats.org/officeDocument/2006/relationships/hyperlink" Target="http://data.aade.gr/eli/pri/law/2019/05/17/4611" TargetMode="External" /><Relationship Id="rId102" Type="http://schemas.openxmlformats.org/officeDocument/2006/relationships/hyperlink" Target="http://data.aade.gr/eli/pri/law/2019/04/24/4607" TargetMode="External" /><Relationship Id="rId1020" Type="http://schemas.openxmlformats.org/officeDocument/2006/relationships/hyperlink" Target="http://data.aade.gr/eli/pri/law/2019/05/17/4611" TargetMode="External" /><Relationship Id="rId1021" Type="http://schemas.openxmlformats.org/officeDocument/2006/relationships/hyperlink" Target="http://data.aade.gr/eli/pri/law/2017/05/19/4472" TargetMode="External" /><Relationship Id="rId1022" Type="http://schemas.openxmlformats.org/officeDocument/2006/relationships/hyperlink" Target="http://data.aade.gr/eli/pri/law/2015/07/16/4334" TargetMode="External" /><Relationship Id="rId1023" Type="http://schemas.openxmlformats.org/officeDocument/2006/relationships/hyperlink" Target="http://data.aade.gr/eli/pri/law/2019/05/17/4611" TargetMode="External" /><Relationship Id="rId1024" Type="http://schemas.openxmlformats.org/officeDocument/2006/relationships/hyperlink" Target="http://data.aade.gr/eli/pri/law/2017/05/19/4472" TargetMode="External" /><Relationship Id="rId1025" Type="http://schemas.openxmlformats.org/officeDocument/2006/relationships/hyperlink" Target="http://data.aade.gr/eli/pri/law/2015/07/16/4334" TargetMode="External" /><Relationship Id="rId1026" Type="http://schemas.openxmlformats.org/officeDocument/2006/relationships/hyperlink" Target="http://data.aade.gr/eli/pri/law/2019/05/17/4611" TargetMode="External" /><Relationship Id="rId1027" Type="http://schemas.openxmlformats.org/officeDocument/2006/relationships/hyperlink" Target="http://data.aade.gr/eli/pri/law/2017/05/19/4472" TargetMode="External" /><Relationship Id="rId1028" Type="http://schemas.openxmlformats.org/officeDocument/2006/relationships/hyperlink" Target="http://data.aade.gr/eli/pri/law/2019/05/17/4611" TargetMode="External" /><Relationship Id="rId1029" Type="http://schemas.openxmlformats.org/officeDocument/2006/relationships/hyperlink" Target="http://data.aade.gr/eli/pri/law/2017/12/22/4509" TargetMode="External" /><Relationship Id="rId103" Type="http://schemas.openxmlformats.org/officeDocument/2006/relationships/hyperlink" Target="http://data.aade.gr/eli/pri/law/2019/04/24/4607" TargetMode="External" /><Relationship Id="rId1030" Type="http://schemas.openxmlformats.org/officeDocument/2006/relationships/hyperlink" Target="http://data.aade.gr/eli/pri/law/2020/05/30/4690" TargetMode="External" /><Relationship Id="rId1031" Type="http://schemas.openxmlformats.org/officeDocument/2006/relationships/hyperlink" Target="http://data.aade.gr/eli/pri/law/2019/05/17/4611" TargetMode="External" /><Relationship Id="rId1032" Type="http://schemas.openxmlformats.org/officeDocument/2006/relationships/hyperlink" Target="http://data.aade.gr/eli/pri/law/2020/02/14/4664" TargetMode="External" /><Relationship Id="rId1033" Type="http://schemas.openxmlformats.org/officeDocument/2006/relationships/hyperlink" Target="http://data.aade.gr/eli/pri/law/2021/07/18/4818" TargetMode="External" /><Relationship Id="rId1034" Type="http://schemas.openxmlformats.org/officeDocument/2006/relationships/hyperlink" Target="http://data.aade.gr/eli/pri/law/2021/10/02/4839" TargetMode="External" /><Relationship Id="rId1035" Type="http://schemas.openxmlformats.org/officeDocument/2006/relationships/hyperlink" Target="http://data.aade.gr/eli/pri/law/2021/10/02/4839" TargetMode="External" /><Relationship Id="rId1036" Type="http://schemas.openxmlformats.org/officeDocument/2006/relationships/hyperlink" Target="http://data.aade.gr/eli/pri/law/2019/05/17/4611" TargetMode="External" /><Relationship Id="rId1037" Type="http://schemas.openxmlformats.org/officeDocument/2006/relationships/hyperlink" Target="http://data.aade.gr/eli/pri/law/2017/05/19/4472" TargetMode="External" /><Relationship Id="rId1038" Type="http://schemas.openxmlformats.org/officeDocument/2006/relationships/hyperlink" Target="http://data.aade.gr/eli/pri/law/2015/07/16/4334" TargetMode="External" /><Relationship Id="rId1039" Type="http://schemas.openxmlformats.org/officeDocument/2006/relationships/hyperlink" Target="http://data.aade.gr/eli/pri/law/2010/04/23/3842" TargetMode="External" /><Relationship Id="rId104" Type="http://schemas.openxmlformats.org/officeDocument/2006/relationships/hyperlink" Target="http://data.aade.gr/eli/pri/law/2019/04/24/4607" TargetMode="External" /><Relationship Id="rId1040" Type="http://schemas.openxmlformats.org/officeDocument/2006/relationships/hyperlink" Target="http://data.aade.gr/eli/pri/law/2010/04/23/3842" TargetMode="External" /><Relationship Id="rId1041" Type="http://schemas.openxmlformats.org/officeDocument/2006/relationships/hyperlink" Target="http://data.aade.gr/eli/pri/law/2007/04/16/3554" TargetMode="External" /><Relationship Id="rId1042" Type="http://schemas.openxmlformats.org/officeDocument/2006/relationships/hyperlink" Target="http://data.aade.gr/eli/pri/law/2017/08/01/4484" TargetMode="External" /><Relationship Id="rId1043" Type="http://schemas.openxmlformats.org/officeDocument/2006/relationships/hyperlink" Target="http://data.aade.gr/eli/pri/law/2017/08/01/4484" TargetMode="External" /><Relationship Id="rId1044" Type="http://schemas.openxmlformats.org/officeDocument/2006/relationships/hyperlink" Target="http://data.aade.gr/eli/pri/law/2017/08/01/4484" TargetMode="External" /><Relationship Id="rId1045" Type="http://schemas.openxmlformats.org/officeDocument/2006/relationships/hyperlink" Target="http://data.aade.gr/eli/pri/law/2010/04/23/3842" TargetMode="External" /><Relationship Id="rId1046" Type="http://schemas.openxmlformats.org/officeDocument/2006/relationships/hyperlink" Target="http://data.aade.gr/eli/pri/law/2007/04/16/3554" TargetMode="External" /><Relationship Id="rId105" Type="http://schemas.openxmlformats.org/officeDocument/2006/relationships/hyperlink" Target="http://data.aade.gr/eli/pri/law/2019/04/24/4607" TargetMode="External" /><Relationship Id="rId106" Type="http://schemas.openxmlformats.org/officeDocument/2006/relationships/hyperlink" Target="http://data.aade.gr/eli/pri/law/2019/04/24/4607" TargetMode="External" /><Relationship Id="rId107" Type="http://schemas.openxmlformats.org/officeDocument/2006/relationships/hyperlink" Target="http://data.aade.gr/eli/pri/law/2011/03/31/3943" TargetMode="External" /><Relationship Id="rId108" Type="http://schemas.openxmlformats.org/officeDocument/2006/relationships/hyperlink" Target="http://data.aade.gr/eli/pri/law/2011/03/31/3943" TargetMode="External" /><Relationship Id="rId109" Type="http://schemas.openxmlformats.org/officeDocument/2006/relationships/hyperlink" Target="http://data.aade.gr/eli/pri/law/2005/02/16/3312" TargetMode="External" /><Relationship Id="rId11" Type="http://schemas.openxmlformats.org/officeDocument/2006/relationships/hyperlink" Target="http://data.aade.gr/eli/pri/law/2011/03/31/3943" TargetMode="External" /><Relationship Id="rId110" Type="http://schemas.openxmlformats.org/officeDocument/2006/relationships/hyperlink" Target="http://data.aade.gr/eli/pri/law/2013/04/05/4141" TargetMode="External" /><Relationship Id="rId111" Type="http://schemas.openxmlformats.org/officeDocument/2006/relationships/hyperlink" Target="http://data.aade.gr/eli/pri/law/2005/02/16/3312" TargetMode="External" /><Relationship Id="rId112" Type="http://schemas.openxmlformats.org/officeDocument/2006/relationships/hyperlink" Target="http://data.aade.gr/eli/pri/law/2001/10/19/2948" TargetMode="External" /><Relationship Id="rId113" Type="http://schemas.openxmlformats.org/officeDocument/2006/relationships/hyperlink" Target="http://data.aade.gr/eli/pri/law/2021/07/18/4818" TargetMode="External" /><Relationship Id="rId114" Type="http://schemas.openxmlformats.org/officeDocument/2006/relationships/hyperlink" Target="http://data.aade.gr/eli/pri/law/2021/07/18/4818" TargetMode="External" /><Relationship Id="rId115" Type="http://schemas.openxmlformats.org/officeDocument/2006/relationships/hyperlink" Target="http://data.aade.gr/eli/pri/law/2021/07/18/4818" TargetMode="External" /><Relationship Id="rId116" Type="http://schemas.openxmlformats.org/officeDocument/2006/relationships/hyperlink" Target="http://data.aade.gr/eli/pri/law/2005/02/16/3312" TargetMode="External" /><Relationship Id="rId117" Type="http://schemas.openxmlformats.org/officeDocument/2006/relationships/hyperlink" Target="http://data.aade.gr/eli/pri/law/2001/10/19/2948" TargetMode="External" /><Relationship Id="rId118" Type="http://schemas.openxmlformats.org/officeDocument/2006/relationships/hyperlink" Target="http://data.aade.gr/eli/pri/law/2021/07/18/4818" TargetMode="External" /><Relationship Id="rId119" Type="http://schemas.openxmlformats.org/officeDocument/2006/relationships/hyperlink" Target="http://data.aade.gr/eli/pri/law/2021/07/18/4818" TargetMode="External" /><Relationship Id="rId12" Type="http://schemas.openxmlformats.org/officeDocument/2006/relationships/hyperlink" Target="http://data.aade.gr/eli/pri/law/2021/07/18/4818" TargetMode="External" /><Relationship Id="rId120" Type="http://schemas.openxmlformats.org/officeDocument/2006/relationships/hyperlink" Target="http://data.aade.gr/eli/pri/law/2021/07/18/4818" TargetMode="External" /><Relationship Id="rId121" Type="http://schemas.openxmlformats.org/officeDocument/2006/relationships/hyperlink" Target="http://data.aade.gr/eli/pri/law/2021/07/18/4818" TargetMode="External" /><Relationship Id="rId122" Type="http://schemas.openxmlformats.org/officeDocument/2006/relationships/hyperlink" Target="http://data.aade.gr/eli/pri/law/2005/02/16/3312" TargetMode="External" /><Relationship Id="rId123" Type="http://schemas.openxmlformats.org/officeDocument/2006/relationships/hyperlink" Target="http://data.aade.gr/eli/pri/law/2021/07/18/4818" TargetMode="External" /><Relationship Id="rId124" Type="http://schemas.openxmlformats.org/officeDocument/2006/relationships/hyperlink" Target="http://data.aade.gr/eli/pri/law/2020/07/31/4714" TargetMode="External" /><Relationship Id="rId125" Type="http://schemas.openxmlformats.org/officeDocument/2006/relationships/hyperlink" Target="http://data.aade.gr/eli/pri/law/2021/07/18/4818" TargetMode="External" /><Relationship Id="rId126" Type="http://schemas.openxmlformats.org/officeDocument/2006/relationships/hyperlink" Target="http://data.aade.gr/eli/pri/law/2005/02/16/3312" TargetMode="External" /><Relationship Id="rId127" Type="http://schemas.openxmlformats.org/officeDocument/2006/relationships/hyperlink" Target="http://data.aade.gr/eli/pri/law/2005/02/16/3312" TargetMode="External" /><Relationship Id="rId128" Type="http://schemas.openxmlformats.org/officeDocument/2006/relationships/hyperlink" Target="http://data.aade.gr/eli/pri/law/2011/03/31/3943" TargetMode="External" /><Relationship Id="rId129" Type="http://schemas.openxmlformats.org/officeDocument/2006/relationships/hyperlink" Target="http://data.aade.gr/eli/pri/law/2003/11/20/3193" TargetMode="External" /><Relationship Id="rId13" Type="http://schemas.openxmlformats.org/officeDocument/2006/relationships/hyperlink" Target="http://data.aade.gr/eli/pri/law/2021/07/18/4818" TargetMode="External" /><Relationship Id="rId130" Type="http://schemas.openxmlformats.org/officeDocument/2006/relationships/hyperlink" Target="http://data.aade.gr/eli/pri/law/2003/11/20/3193" TargetMode="External" /><Relationship Id="rId131" Type="http://schemas.openxmlformats.org/officeDocument/2006/relationships/hyperlink" Target="http://data.aade.gr/eli/pri/law/2005/02/16/3312" TargetMode="External" /><Relationship Id="rId132" Type="http://schemas.openxmlformats.org/officeDocument/2006/relationships/hyperlink" Target="http://data.aade.gr/eli/pri/law/2004/01/28/3220" TargetMode="External" /><Relationship Id="rId133" Type="http://schemas.openxmlformats.org/officeDocument/2006/relationships/hyperlink" Target="http://data.aade.gr/eli/pri/law/2005/02/16/3312" TargetMode="External" /><Relationship Id="rId134" Type="http://schemas.openxmlformats.org/officeDocument/2006/relationships/hyperlink" Target="http://data.aade.gr/eli/pri/law/2004/01/28/3220" TargetMode="External" /><Relationship Id="rId135" Type="http://schemas.openxmlformats.org/officeDocument/2006/relationships/hyperlink" Target="http://data.aade.gr/eli/pri/law/2010/04/23/3842" TargetMode="External" /><Relationship Id="rId136" Type="http://schemas.openxmlformats.org/officeDocument/2006/relationships/hyperlink" Target="http://data.aade.gr/eli/pri/law/2010/04/23/3842" TargetMode="External" /><Relationship Id="rId137" Type="http://schemas.openxmlformats.org/officeDocument/2006/relationships/hyperlink" Target="http://data.aade.gr/eli/pri/law/2010/04/23/3842" TargetMode="External" /><Relationship Id="rId138" Type="http://schemas.openxmlformats.org/officeDocument/2006/relationships/hyperlink" Target="http://data.aade.gr/eli/pri/law/2010/04/23/3842" TargetMode="External" /><Relationship Id="rId139" Type="http://schemas.openxmlformats.org/officeDocument/2006/relationships/hyperlink" Target="http://data.aade.gr/eli/pri/law/2010/04/23/3842" TargetMode="External" /><Relationship Id="rId14" Type="http://schemas.openxmlformats.org/officeDocument/2006/relationships/hyperlink" Target="http://data.aade.gr/eli/pri/law/2021/07/18/4818" TargetMode="External" /><Relationship Id="rId140" Type="http://schemas.openxmlformats.org/officeDocument/2006/relationships/hyperlink" Target="http://data.aade.gr/eli/pri/law/2010/04/23/3842" TargetMode="External" /><Relationship Id="rId141" Type="http://schemas.openxmlformats.org/officeDocument/2006/relationships/hyperlink" Target="http://data.aade.gr/eli/pri/law/2010/04/23/3842" TargetMode="External" /><Relationship Id="rId142" Type="http://schemas.openxmlformats.org/officeDocument/2006/relationships/hyperlink" Target="http://data.aade.gr/eli/pri/law/2010/04/23/3842" TargetMode="External" /><Relationship Id="rId143" Type="http://schemas.openxmlformats.org/officeDocument/2006/relationships/hyperlink" Target="http://data.aade.gr/eli/pri/law/2010/04/23/3842" TargetMode="External" /><Relationship Id="rId144" Type="http://schemas.openxmlformats.org/officeDocument/2006/relationships/hyperlink" Target="http://data.aade.gr/eli/pri/law/2010/04/23/3842" TargetMode="External" /><Relationship Id="rId145" Type="http://schemas.openxmlformats.org/officeDocument/2006/relationships/hyperlink" Target="http://data.aade.gr/eli/pri/law/2010/04/23/3842" TargetMode="External" /><Relationship Id="rId146" Type="http://schemas.openxmlformats.org/officeDocument/2006/relationships/hyperlink" Target="http://data.aade.gr/eli/pri/law/2010/04/23/3842" TargetMode="External" /><Relationship Id="rId147" Type="http://schemas.openxmlformats.org/officeDocument/2006/relationships/hyperlink" Target="http://data.aade.gr/eli/pri/law/2010/04/23/3842" TargetMode="External" /><Relationship Id="rId148" Type="http://schemas.openxmlformats.org/officeDocument/2006/relationships/hyperlink" Target="http://data.aade.gr/eli/pri/law/2010/04/23/3842" TargetMode="External" /><Relationship Id="rId149" Type="http://schemas.openxmlformats.org/officeDocument/2006/relationships/hyperlink" Target="http://data.aade.gr/eli/pri/law/2010/04/23/3842" TargetMode="External" /><Relationship Id="rId15" Type="http://schemas.openxmlformats.org/officeDocument/2006/relationships/hyperlink" Target="http://data.aade.gr/eli/pri/law/2021/07/18/4818" TargetMode="External" /><Relationship Id="rId150" Type="http://schemas.openxmlformats.org/officeDocument/2006/relationships/hyperlink" Target="http://data.aade.gr/eli/pri/law/2010/04/23/3842" TargetMode="External" /><Relationship Id="rId151" Type="http://schemas.openxmlformats.org/officeDocument/2006/relationships/hyperlink" Target="http://data.aade.gr/eli/pri/law/2010/04/23/3842" TargetMode="External" /><Relationship Id="rId152" Type="http://schemas.openxmlformats.org/officeDocument/2006/relationships/hyperlink" Target="http://data.aade.gr/eli/pri/law/2013/04/05/4141" TargetMode="External" /><Relationship Id="rId153" Type="http://schemas.openxmlformats.org/officeDocument/2006/relationships/hyperlink" Target="http://data.aade.gr/eli/pri/law/2013/04/05/4141" TargetMode="External" /><Relationship Id="rId154" Type="http://schemas.openxmlformats.org/officeDocument/2006/relationships/hyperlink" Target="http://data.aade.gr/eli/pri/law/2013/04/05/4141" TargetMode="External" /><Relationship Id="rId155" Type="http://schemas.openxmlformats.org/officeDocument/2006/relationships/hyperlink" Target="http://data.aade.gr/eli/pri/law/2013/04/05/4141" TargetMode="External" /><Relationship Id="rId156" Type="http://schemas.openxmlformats.org/officeDocument/2006/relationships/hyperlink" Target="http://data.aade.gr/eli/pri/law/2013/04/05/4141" TargetMode="External" /><Relationship Id="rId157" Type="http://schemas.openxmlformats.org/officeDocument/2006/relationships/hyperlink" Target="http://data.aade.gr/eli/pri/law/2013/04/05/4141" TargetMode="External" /><Relationship Id="rId158" Type="http://schemas.openxmlformats.org/officeDocument/2006/relationships/hyperlink" Target="http://data.aade.gr/eli/pri/law/2013/04/05/4141" TargetMode="External" /><Relationship Id="rId159" Type="http://schemas.openxmlformats.org/officeDocument/2006/relationships/hyperlink" Target="http://data.aade.gr/eli/pri/law/2013/04/05/4141" TargetMode="External" /><Relationship Id="rId16" Type="http://schemas.openxmlformats.org/officeDocument/2006/relationships/hyperlink" Target="http://data.aade.gr/eli/pri/law/2021/07/18/4818" TargetMode="External" /><Relationship Id="rId160" Type="http://schemas.openxmlformats.org/officeDocument/2006/relationships/hyperlink" Target="http://data.aade.gr/eli/pri/law/2019/02/12/4591" TargetMode="External" /><Relationship Id="rId161" Type="http://schemas.openxmlformats.org/officeDocument/2006/relationships/hyperlink" Target="http://data.aade.gr/eli/pri/law/2019/02/12/4591" TargetMode="External" /><Relationship Id="rId162" Type="http://schemas.openxmlformats.org/officeDocument/2006/relationships/hyperlink" Target="http://data.aade.gr/eli/pri/law/2019/02/12/4591" TargetMode="External" /><Relationship Id="rId163" Type="http://schemas.openxmlformats.org/officeDocument/2006/relationships/hyperlink" Target="http://data.aade.gr/eli/pri/law/2019/02/12/4591" TargetMode="External" /><Relationship Id="rId164" Type="http://schemas.openxmlformats.org/officeDocument/2006/relationships/hyperlink" Target="http://data.aade.gr/eli/pri/law/2019/02/12/4591" TargetMode="External" /><Relationship Id="rId165" Type="http://schemas.openxmlformats.org/officeDocument/2006/relationships/hyperlink" Target="http://data.aade.gr/eli/pri/law/2019/02/12/4591" TargetMode="External" /><Relationship Id="rId166" Type="http://schemas.openxmlformats.org/officeDocument/2006/relationships/hyperlink" Target="http://data.aade.gr/eli/pri/law/2019/02/12/4591" TargetMode="External" /><Relationship Id="rId167" Type="http://schemas.openxmlformats.org/officeDocument/2006/relationships/hyperlink" Target="http://data.aade.gr/eli/pri/law/2019/02/12/4591" TargetMode="External" /><Relationship Id="rId168" Type="http://schemas.openxmlformats.org/officeDocument/2006/relationships/hyperlink" Target="http://data.aade.gr/eli/pri/law/2019/02/12/4591" TargetMode="External" /><Relationship Id="rId169" Type="http://schemas.openxmlformats.org/officeDocument/2006/relationships/hyperlink" Target="http://data.aade.gr/eli/pri/law/2019/02/12/4591" TargetMode="External" /><Relationship Id="rId17" Type="http://schemas.openxmlformats.org/officeDocument/2006/relationships/hyperlink" Target="http://data.aade.gr/eli/pri/law/2021/07/18/4818" TargetMode="External" /><Relationship Id="rId170" Type="http://schemas.openxmlformats.org/officeDocument/2006/relationships/hyperlink" Target="http://data.aade.gr/eli/pri/law/2019/02/12/4591" TargetMode="External" /><Relationship Id="rId171" Type="http://schemas.openxmlformats.org/officeDocument/2006/relationships/hyperlink" Target="http://data.aade.gr/eli/pri/law/2014/12/24/4316" TargetMode="External" /><Relationship Id="rId172" Type="http://schemas.openxmlformats.org/officeDocument/2006/relationships/hyperlink" Target="http://data.aade.gr/eli/pri/law/2021/07/18/4818" TargetMode="External" /><Relationship Id="rId173" Type="http://schemas.openxmlformats.org/officeDocument/2006/relationships/hyperlink" Target="http://data.aade.gr/eli/pri/law/2021/07/18/4818" TargetMode="External" /><Relationship Id="rId174" Type="http://schemas.openxmlformats.org/officeDocument/2006/relationships/hyperlink" Target="http://data.aade.gr/eli/pri/law/2021/07/18/4818" TargetMode="External" /><Relationship Id="rId175" Type="http://schemas.openxmlformats.org/officeDocument/2006/relationships/hyperlink" Target="http://data.aade.gr/eli/pri/law/2014/12/24/4316" TargetMode="External" /><Relationship Id="rId176" Type="http://schemas.openxmlformats.org/officeDocument/2006/relationships/hyperlink" Target="http://data.aade.gr/eli/pri/law/2014/12/24/4316" TargetMode="External" /><Relationship Id="rId177" Type="http://schemas.openxmlformats.org/officeDocument/2006/relationships/hyperlink" Target="http://data.aade.gr/eli/pri/law/2014/12/24/4316" TargetMode="External" /><Relationship Id="rId178" Type="http://schemas.openxmlformats.org/officeDocument/2006/relationships/hyperlink" Target="http://data.aade.gr/eli/pri/law/2014/12/24/4316" TargetMode="External" /><Relationship Id="rId179" Type="http://schemas.openxmlformats.org/officeDocument/2006/relationships/hyperlink" Target="http://data.aade.gr/eli/pri/law/2019/04/24/4607" TargetMode="External" /><Relationship Id="rId18" Type="http://schemas.openxmlformats.org/officeDocument/2006/relationships/hyperlink" Target="http://data.aade.gr/eli/pri/law/2021/07/18/4818" TargetMode="External" /><Relationship Id="rId180" Type="http://schemas.openxmlformats.org/officeDocument/2006/relationships/hyperlink" Target="http://data.aade.gr/eli/pri/law/2014/12/24/4316" TargetMode="External" /><Relationship Id="rId181" Type="http://schemas.openxmlformats.org/officeDocument/2006/relationships/hyperlink" Target="http://data.aade.gr/eli/pri/law/2019/04/24/4607" TargetMode="External" /><Relationship Id="rId182" Type="http://schemas.openxmlformats.org/officeDocument/2006/relationships/hyperlink" Target="http://data.aade.gr/eli/pri/law/2019/04/24/4607" TargetMode="External" /><Relationship Id="rId183" Type="http://schemas.openxmlformats.org/officeDocument/2006/relationships/hyperlink" Target="http://data.aade.gr/eli/pri/law/2014/12/24/4316" TargetMode="External" /><Relationship Id="rId184" Type="http://schemas.openxmlformats.org/officeDocument/2006/relationships/hyperlink" Target="http://data.aade.gr/eli/pri/law/2021/07/18/4818" TargetMode="External" /><Relationship Id="rId185" Type="http://schemas.openxmlformats.org/officeDocument/2006/relationships/hyperlink" Target="http://data.aade.gr/eli/pri/law/2021/07/18/4818" TargetMode="External" /><Relationship Id="rId186" Type="http://schemas.openxmlformats.org/officeDocument/2006/relationships/hyperlink" Target="http://data.aade.gr/eli/pri/law/2021/07/18/4818" TargetMode="External" /><Relationship Id="rId187" Type="http://schemas.openxmlformats.org/officeDocument/2006/relationships/hyperlink" Target="http://data.aade.gr/eli/pri/law/2021/07/18/4818" TargetMode="External" /><Relationship Id="rId188" Type="http://schemas.openxmlformats.org/officeDocument/2006/relationships/hyperlink" Target="http://data.aade.gr/eli/pri/law/2021/07/18/4818" TargetMode="External" /><Relationship Id="rId189" Type="http://schemas.openxmlformats.org/officeDocument/2006/relationships/hyperlink" Target="http://data.aade.gr/eli/pri/law/2021/07/18/4818" TargetMode="External" /><Relationship Id="rId19" Type="http://schemas.openxmlformats.org/officeDocument/2006/relationships/hyperlink" Target="http://data.aade.gr/eli/pri/law/2021/07/18/4818" TargetMode="External" /><Relationship Id="rId190" Type="http://schemas.openxmlformats.org/officeDocument/2006/relationships/hyperlink" Target="http://data.aade.gr/eli/pri/law/2021/07/18/4818" TargetMode="External" /><Relationship Id="rId191" Type="http://schemas.openxmlformats.org/officeDocument/2006/relationships/hyperlink" Target="http://data.aade.gr/eli/pri/law/2021/07/18/4818" TargetMode="External" /><Relationship Id="rId192" Type="http://schemas.openxmlformats.org/officeDocument/2006/relationships/hyperlink" Target="http://data.aade.gr/eli/pri/law/2021/07/18/4818" TargetMode="External" /><Relationship Id="rId193" Type="http://schemas.openxmlformats.org/officeDocument/2006/relationships/hyperlink" Target="http://data.aade.gr/eli/pri/law/2020/07/31/4714" TargetMode="External" /><Relationship Id="rId194" Type="http://schemas.openxmlformats.org/officeDocument/2006/relationships/hyperlink" Target="http://data.aade.gr/eli/pri/law/2020/07/31/4714" TargetMode="External" /><Relationship Id="rId195" Type="http://schemas.openxmlformats.org/officeDocument/2006/relationships/hyperlink" Target="http://data.aade.gr/eli/pri/law/2020/07/31/4714" TargetMode="External" /><Relationship Id="rId196" Type="http://schemas.openxmlformats.org/officeDocument/2006/relationships/hyperlink" Target="http://data.aade.gr/eli/pri/law/2002/12/24/3091" TargetMode="External" /><Relationship Id="rId197" Type="http://schemas.openxmlformats.org/officeDocument/2006/relationships/hyperlink" Target="http://data.aade.gr/eli/pri/law/2010/04/23/3842" TargetMode="External" /><Relationship Id="rId198" Type="http://schemas.openxmlformats.org/officeDocument/2006/relationships/hyperlink" Target="http://data.aade.gr/eli/pri/law/2010/04/23/3842" TargetMode="External" /><Relationship Id="rId199" Type="http://schemas.openxmlformats.org/officeDocument/2006/relationships/hyperlink" Target="http://data.aade.gr/eli/pri/law/2010/04/23/3842"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21/07/18/4818" TargetMode="External" /><Relationship Id="rId200" Type="http://schemas.openxmlformats.org/officeDocument/2006/relationships/hyperlink" Target="http://data.aade.gr/eli/pri/law/2010/04/23/3842" TargetMode="External" /><Relationship Id="rId201" Type="http://schemas.openxmlformats.org/officeDocument/2006/relationships/hyperlink" Target="http://data.aade.gr/eli/pri/law/2013/04/05/4141" TargetMode="External" /><Relationship Id="rId202" Type="http://schemas.openxmlformats.org/officeDocument/2006/relationships/hyperlink" Target="http://data.aade.gr/eli/pri/law/2010/04/23/3842" TargetMode="External" /><Relationship Id="rId203" Type="http://schemas.openxmlformats.org/officeDocument/2006/relationships/hyperlink" Target="http://data.aade.gr/eli/pri/law/2010/04/23/3842" TargetMode="External" /><Relationship Id="rId204" Type="http://schemas.openxmlformats.org/officeDocument/2006/relationships/hyperlink" Target="http://data.aade.gr/eli/pri/law/2010/04/23/3842" TargetMode="External" /><Relationship Id="rId205" Type="http://schemas.openxmlformats.org/officeDocument/2006/relationships/hyperlink" Target="http://data.aade.gr/eli/pri/law/2010/04/23/3842" TargetMode="External" /><Relationship Id="rId206" Type="http://schemas.openxmlformats.org/officeDocument/2006/relationships/hyperlink" Target="http://data.aade.gr/eli/pri/law/2021/07/18/4818" TargetMode="External" /><Relationship Id="rId207" Type="http://schemas.openxmlformats.org/officeDocument/2006/relationships/hyperlink" Target="http://data.aade.gr/eli/pri/law/2005/12/27/3427" TargetMode="External" /><Relationship Id="rId208" Type="http://schemas.openxmlformats.org/officeDocument/2006/relationships/hyperlink" Target="http://data.aade.gr/eli/pri/law/2006/12/22/3522" TargetMode="External" /><Relationship Id="rId209" Type="http://schemas.openxmlformats.org/officeDocument/2006/relationships/hyperlink" Target="http://data.aade.gr/eli/pri/law/2005/12/27/3427" TargetMode="External" /><Relationship Id="rId21" Type="http://schemas.openxmlformats.org/officeDocument/2006/relationships/hyperlink" Target="http://data.aade.gr/eli/pri/law/2021/07/18/4818" TargetMode="External" /><Relationship Id="rId210" Type="http://schemas.openxmlformats.org/officeDocument/2006/relationships/hyperlink" Target="http://data.aade.gr/eli/pri/law/2005/12/27/3427" TargetMode="External" /><Relationship Id="rId211" Type="http://schemas.openxmlformats.org/officeDocument/2006/relationships/hyperlink" Target="http://data.aade.gr/eli/pri/law/2018/06/14/4549" TargetMode="External" /><Relationship Id="rId212" Type="http://schemas.openxmlformats.org/officeDocument/2006/relationships/hyperlink" Target="http://data.aade.gr/eli/pri/law/2018/06/14/4549" TargetMode="External" /><Relationship Id="rId213" Type="http://schemas.openxmlformats.org/officeDocument/2006/relationships/hyperlink" Target="http://data.aade.gr/eli/pri/law/2018/06/14/4549" TargetMode="External" /><Relationship Id="rId214" Type="http://schemas.openxmlformats.org/officeDocument/2006/relationships/hyperlink" Target="http://data.aade.gr/eli/pri/law/2018/06/14/4549" TargetMode="External" /><Relationship Id="rId215" Type="http://schemas.openxmlformats.org/officeDocument/2006/relationships/hyperlink" Target="http://data.aade.gr/eli/pri/law/2009/05/27/3763" TargetMode="External" /><Relationship Id="rId216" Type="http://schemas.openxmlformats.org/officeDocument/2006/relationships/hyperlink" Target="http://data.aade.gr/eli/pri/law/2020/07/31/4714" TargetMode="External" /><Relationship Id="rId217" Type="http://schemas.openxmlformats.org/officeDocument/2006/relationships/hyperlink" Target="http://data.aade.gr/eli/pri/law/2020/07/31/4714" TargetMode="External" /><Relationship Id="rId218" Type="http://schemas.openxmlformats.org/officeDocument/2006/relationships/hyperlink" Target="http://data.aade.gr/eli/pri/law/2020/07/31/4714" TargetMode="External" /><Relationship Id="rId219" Type="http://schemas.openxmlformats.org/officeDocument/2006/relationships/hyperlink" Target="http://data.aade.gr/eli/pri/law/2020/07/31/4714" TargetMode="External" /><Relationship Id="rId22" Type="http://schemas.openxmlformats.org/officeDocument/2006/relationships/hyperlink" Target="http://data.aade.gr/eli/pri/law/2014/12/24/4316" TargetMode="External" /><Relationship Id="rId220" Type="http://schemas.openxmlformats.org/officeDocument/2006/relationships/hyperlink" Target="http://data.aade.gr/eli/pri/law/2020/07/31/4714" TargetMode="External" /><Relationship Id="rId221" Type="http://schemas.openxmlformats.org/officeDocument/2006/relationships/hyperlink" Target="http://data.aade.gr/eli/pri/law/2018/06/14/4549" TargetMode="External" /><Relationship Id="rId222" Type="http://schemas.openxmlformats.org/officeDocument/2006/relationships/hyperlink" Target="http://data.aade.gr/eli/pri/law/2006/12/22/3522" TargetMode="External" /><Relationship Id="rId223" Type="http://schemas.openxmlformats.org/officeDocument/2006/relationships/hyperlink" Target="http://data.aade.gr/eli/pri/law/2005/12/27/3427" TargetMode="External" /><Relationship Id="rId224" Type="http://schemas.openxmlformats.org/officeDocument/2006/relationships/hyperlink" Target="http://data.aade.gr/eli/pri/law/2018/06/14/4549" TargetMode="External" /><Relationship Id="rId225" Type="http://schemas.openxmlformats.org/officeDocument/2006/relationships/hyperlink" Target="http://data.aade.gr/eli/pri/law/2018/06/14/4549" TargetMode="External" /><Relationship Id="rId226" Type="http://schemas.openxmlformats.org/officeDocument/2006/relationships/hyperlink" Target="http://data.aade.gr/eli/pri/law/2001/10/19/2948" TargetMode="External" /><Relationship Id="rId227" Type="http://schemas.openxmlformats.org/officeDocument/2006/relationships/hyperlink" Target="http://data.aade.gr/eli/pri/law/2002/12/24/3091" TargetMode="External" /><Relationship Id="rId228" Type="http://schemas.openxmlformats.org/officeDocument/2006/relationships/hyperlink" Target="http://data.aade.gr/eli/pri/law/2006/12/22/3522" TargetMode="External" /><Relationship Id="rId229" Type="http://schemas.openxmlformats.org/officeDocument/2006/relationships/hyperlink" Target="http://data.aade.gr/eli/pri/law/2010/04/23/3842" TargetMode="External" /><Relationship Id="rId23" Type="http://schemas.openxmlformats.org/officeDocument/2006/relationships/hyperlink" Target="http://data.aade.gr/eli/pri/law/2013/12/31/4223" TargetMode="External" /><Relationship Id="rId230" Type="http://schemas.openxmlformats.org/officeDocument/2006/relationships/hyperlink" Target="http://data.aade.gr/eli/pri/law/2019/04/24/4607" TargetMode="External" /><Relationship Id="rId231" Type="http://schemas.openxmlformats.org/officeDocument/2006/relationships/hyperlink" Target="http://data.aade.gr/eli/pri/law/2002/12/24/3091" TargetMode="External" /><Relationship Id="rId232" Type="http://schemas.openxmlformats.org/officeDocument/2006/relationships/hyperlink" Target="http://data.aade.gr/eli/pri/law/2001/10/19/2948" TargetMode="External" /><Relationship Id="rId233" Type="http://schemas.openxmlformats.org/officeDocument/2006/relationships/hyperlink" Target="http://data.aade.gr/eli/pri/law/2021/07/18/4818" TargetMode="External" /><Relationship Id="rId234" Type="http://schemas.openxmlformats.org/officeDocument/2006/relationships/hyperlink" Target="http://data.aade.gr/eli/pri/law/2016/05/27/4389" TargetMode="External" /><Relationship Id="rId235" Type="http://schemas.openxmlformats.org/officeDocument/2006/relationships/hyperlink" Target="http://data.aade.gr/eli/pri/law/2015/07/16/4334" TargetMode="External" /><Relationship Id="rId236" Type="http://schemas.openxmlformats.org/officeDocument/2006/relationships/hyperlink" Target="http://data.aade.gr/eli/pri/law/2010/12/17/3899" TargetMode="External" /><Relationship Id="rId237" Type="http://schemas.openxmlformats.org/officeDocument/2006/relationships/hyperlink" Target="http://data.aade.gr/eli/pri/law/2010/05/06/3845" TargetMode="External" /><Relationship Id="rId238" Type="http://schemas.openxmlformats.org/officeDocument/2006/relationships/hyperlink" Target="http://data.aade.gr/eli/pri/law/2010/03/15/3833" TargetMode="External" /><Relationship Id="rId239" Type="http://schemas.openxmlformats.org/officeDocument/2006/relationships/hyperlink" Target="http://data.aade.gr/eli/pri/law/2005/04/20/3336" TargetMode="External" /><Relationship Id="rId24" Type="http://schemas.openxmlformats.org/officeDocument/2006/relationships/hyperlink" Target="http://data.aade.gr/eli/pri/law/2011/03/31/3943" TargetMode="External" /><Relationship Id="rId240" Type="http://schemas.openxmlformats.org/officeDocument/2006/relationships/hyperlink" Target="http://data.aade.gr/eli/pri/law/2003/11/20/3193" TargetMode="External" /><Relationship Id="rId241" Type="http://schemas.openxmlformats.org/officeDocument/2006/relationships/hyperlink" Target="http://data.aade.gr/eli/pri/law/2020/12/23/4764" TargetMode="External" /><Relationship Id="rId242" Type="http://schemas.openxmlformats.org/officeDocument/2006/relationships/hyperlink" Target="http://data.aade.gr/eli/pri/law/2021/06/26/4811" TargetMode="External" /><Relationship Id="rId243" Type="http://schemas.openxmlformats.org/officeDocument/2006/relationships/hyperlink" Target="http://data.aade.gr/eli/pri/law/2017/12/22/4509" TargetMode="External" /><Relationship Id="rId244" Type="http://schemas.openxmlformats.org/officeDocument/2006/relationships/hyperlink" Target="http://data.aade.gr/eli/pri/law/2016/12/22/4446" TargetMode="External" /><Relationship Id="rId245" Type="http://schemas.openxmlformats.org/officeDocument/2006/relationships/hyperlink" Target="http://data.aade.gr/eli/pri/law/2021/06/26/4811" TargetMode="External" /><Relationship Id="rId246" Type="http://schemas.openxmlformats.org/officeDocument/2006/relationships/hyperlink" Target="http://data.aade.gr/eli/pri/law/2021/06/26/4811" TargetMode="External" /><Relationship Id="rId247" Type="http://schemas.openxmlformats.org/officeDocument/2006/relationships/hyperlink" Target="http://data.aade.gr/eli/pri/law/2017/12/22/4509" TargetMode="External" /><Relationship Id="rId248" Type="http://schemas.openxmlformats.org/officeDocument/2006/relationships/hyperlink" Target="http://data.aade.gr/eli/pri/law/2016/12/22/4446" TargetMode="External" /><Relationship Id="rId249" Type="http://schemas.openxmlformats.org/officeDocument/2006/relationships/hyperlink" Target="http://data.aade.gr/eli/pri/law/2021/06/26/4811" TargetMode="External" /><Relationship Id="rId25" Type="http://schemas.openxmlformats.org/officeDocument/2006/relationships/hyperlink" Target="http://data.aade.gr/eli/pri/law/2012/11/08/4092" TargetMode="External" /><Relationship Id="rId250" Type="http://schemas.openxmlformats.org/officeDocument/2006/relationships/hyperlink" Target="http://data.aade.gr/eli/pri/law/2021/06/26/4811" TargetMode="External" /><Relationship Id="rId251" Type="http://schemas.openxmlformats.org/officeDocument/2006/relationships/hyperlink" Target="http://data.aade.gr/eli/pri/law/2021/06/26/4811" TargetMode="External" /><Relationship Id="rId252" Type="http://schemas.openxmlformats.org/officeDocument/2006/relationships/hyperlink" Target="http://data.aade.gr/eli/pri/law/2021/06/26/4811" TargetMode="External" /><Relationship Id="rId253" Type="http://schemas.openxmlformats.org/officeDocument/2006/relationships/hyperlink" Target="http://data.aade.gr/eli/pri/law/2021/06/26/4811" TargetMode="External" /><Relationship Id="rId254" Type="http://schemas.openxmlformats.org/officeDocument/2006/relationships/hyperlink" Target="http://data.aade.gr/eli/pri/law/2017/12/22/4509" TargetMode="External" /><Relationship Id="rId255" Type="http://schemas.openxmlformats.org/officeDocument/2006/relationships/hyperlink" Target="http://data.aade.gr/eli/pri/law/2016/12/22/4446" TargetMode="External" /><Relationship Id="rId256" Type="http://schemas.openxmlformats.org/officeDocument/2006/relationships/hyperlink" Target="http://data.aade.gr/eli/pri/law/2010/04/23/3842" TargetMode="External" /><Relationship Id="rId257" Type="http://schemas.openxmlformats.org/officeDocument/2006/relationships/hyperlink" Target="http://data.aade.gr/eli/pri/law/2016/05/27/4389" TargetMode="External" /><Relationship Id="rId258" Type="http://schemas.openxmlformats.org/officeDocument/2006/relationships/hyperlink" Target="http://data.aade.gr/eli/pri/law/2011/08/22/4002" TargetMode="External" /><Relationship Id="rId259" Type="http://schemas.openxmlformats.org/officeDocument/2006/relationships/hyperlink" Target="http://data.aade.gr/eli/pri/law/2004/01/28/3220" TargetMode="External" /><Relationship Id="rId26" Type="http://schemas.openxmlformats.org/officeDocument/2006/relationships/hyperlink" Target="http://data.aade.gr/eli/pri/law/2006/12/22/3522" TargetMode="External" /><Relationship Id="rId260" Type="http://schemas.openxmlformats.org/officeDocument/2006/relationships/hyperlink" Target="http://data.aade.gr/eli/pri/law/2004/01/28/3220" TargetMode="External" /><Relationship Id="rId261" Type="http://schemas.openxmlformats.org/officeDocument/2006/relationships/hyperlink" Target="http://data.aade.gr/eli/pri/law/2010/04/23/3842" TargetMode="External" /><Relationship Id="rId262" Type="http://schemas.openxmlformats.org/officeDocument/2006/relationships/hyperlink" Target="http://data.aade.gr/eli/pri/law/2010/04/23/3842" TargetMode="External" /><Relationship Id="rId263" Type="http://schemas.openxmlformats.org/officeDocument/2006/relationships/hyperlink" Target="http://data.aade.gr/eli/pri/law/2010/04/23/3842" TargetMode="External" /><Relationship Id="rId264" Type="http://schemas.openxmlformats.org/officeDocument/2006/relationships/hyperlink" Target="http://data.aade.gr/eli/pri/law/2010/04/23/3842" TargetMode="External" /><Relationship Id="rId265" Type="http://schemas.openxmlformats.org/officeDocument/2006/relationships/hyperlink" Target="http://data.aade.gr/eli/pri/law/2010/04/23/3842" TargetMode="External" /><Relationship Id="rId266" Type="http://schemas.openxmlformats.org/officeDocument/2006/relationships/hyperlink" Target="http://data.aade.gr/eli/pri/law/2000/12/28/2873" TargetMode="External" /><Relationship Id="rId267" Type="http://schemas.openxmlformats.org/officeDocument/2006/relationships/hyperlink" Target="http://data.aade.gr/eli/pri/law/2010/04/23/3842" TargetMode="External" /><Relationship Id="rId268" Type="http://schemas.openxmlformats.org/officeDocument/2006/relationships/hyperlink" Target="http://data.aade.gr/eli/pri/law/2015/11/20/4346" TargetMode="External" /><Relationship Id="rId269" Type="http://schemas.openxmlformats.org/officeDocument/2006/relationships/hyperlink" Target="http://data.aade.gr/eli/pri/law/2015/07/16/4334" TargetMode="External" /><Relationship Id="rId27" Type="http://schemas.openxmlformats.org/officeDocument/2006/relationships/hyperlink" Target="http://data.aade.gr/eli/pri/law/2019/12/12/4646" TargetMode="External" /><Relationship Id="rId270" Type="http://schemas.openxmlformats.org/officeDocument/2006/relationships/hyperlink" Target="http://data.aade.gr/eli/pri/law/2001/11/02/2954" TargetMode="External" /><Relationship Id="rId271" Type="http://schemas.openxmlformats.org/officeDocument/2006/relationships/hyperlink" Target="http://data.aade.gr/eli/pri/law/2015/08/14/4336" TargetMode="External" /><Relationship Id="rId272" Type="http://schemas.openxmlformats.org/officeDocument/2006/relationships/hyperlink" Target="http://data.aade.gr/eli/pri/law/2015/08/14/4336" TargetMode="External" /><Relationship Id="rId273" Type="http://schemas.openxmlformats.org/officeDocument/2006/relationships/hyperlink" Target="http://data.aade.gr/eli/pri/law/2015/08/14/4336" TargetMode="External" /><Relationship Id="rId274" Type="http://schemas.openxmlformats.org/officeDocument/2006/relationships/hyperlink" Target="http://data.aade.gr/eli/pri/law/2015/08/14/4336" TargetMode="External" /><Relationship Id="rId275" Type="http://schemas.openxmlformats.org/officeDocument/2006/relationships/hyperlink" Target="http://data.aade.gr/eli/pri/law/2015/08/14/4336" TargetMode="External" /><Relationship Id="rId276" Type="http://schemas.openxmlformats.org/officeDocument/2006/relationships/hyperlink" Target="http://data.aade.gr/eli/pri/law/2015/11/09/4342" TargetMode="External" /><Relationship Id="rId277" Type="http://schemas.openxmlformats.org/officeDocument/2006/relationships/hyperlink" Target="http://data.aade.gr/eli/pri/law/2006/10/05/3492" TargetMode="External" /><Relationship Id="rId278" Type="http://schemas.openxmlformats.org/officeDocument/2006/relationships/hyperlink" Target="http://data.aade.gr/eli/pri/law/2012/12/20/4099" TargetMode="External" /><Relationship Id="rId279" Type="http://schemas.openxmlformats.org/officeDocument/2006/relationships/hyperlink" Target="http://data.aade.gr/eli/pri/law/2006/12/22/3522" TargetMode="External" /><Relationship Id="rId28" Type="http://schemas.openxmlformats.org/officeDocument/2006/relationships/hyperlink" Target="http://data.aade.gr/eli/pri/law/2005/12/27/3427" TargetMode="External" /><Relationship Id="rId280" Type="http://schemas.openxmlformats.org/officeDocument/2006/relationships/hyperlink" Target="http://data.aade.gr/eli/pri/law/2002/12/24/3091" TargetMode="External" /><Relationship Id="rId281" Type="http://schemas.openxmlformats.org/officeDocument/2006/relationships/hyperlink" Target="http://data.aade.gr/eli/pri/law/2006/12/22/3522" TargetMode="External" /><Relationship Id="rId282" Type="http://schemas.openxmlformats.org/officeDocument/2006/relationships/hyperlink" Target="http://data.aade.gr/eli/pri/law/2005/12/27/3427" TargetMode="External" /><Relationship Id="rId283" Type="http://schemas.openxmlformats.org/officeDocument/2006/relationships/hyperlink" Target="http://data.aade.gr/eli/pri/law/2010/04/23/3842" TargetMode="External" /><Relationship Id="rId284" Type="http://schemas.openxmlformats.org/officeDocument/2006/relationships/hyperlink" Target="http://data.aade.gr/eli/pri/law/2021/07/18/4818" TargetMode="External" /><Relationship Id="rId285" Type="http://schemas.openxmlformats.org/officeDocument/2006/relationships/hyperlink" Target="http://data.aade.gr/eli/pri/law/2011/03/31/3943" TargetMode="External" /><Relationship Id="rId286" Type="http://schemas.openxmlformats.org/officeDocument/2006/relationships/hyperlink" Target="http://data.aade.gr/eli/pri/law/2011/03/31/3943" TargetMode="External" /><Relationship Id="rId287" Type="http://schemas.openxmlformats.org/officeDocument/2006/relationships/hyperlink" Target="http://data.aade.gr/eli/pri/law/2011/03/31/3943" TargetMode="External" /><Relationship Id="rId288" Type="http://schemas.openxmlformats.org/officeDocument/2006/relationships/hyperlink" Target="http://data.aade.gr/eli/pri/law/2011/03/31/3943" TargetMode="External" /><Relationship Id="rId289" Type="http://schemas.openxmlformats.org/officeDocument/2006/relationships/hyperlink" Target="http://data.aade.gr/eli/pri/law/2011/03/31/3943" TargetMode="External" /><Relationship Id="rId29" Type="http://schemas.openxmlformats.org/officeDocument/2006/relationships/hyperlink" Target="http://data.aade.gr/eli/pri/law/2005/12/27/3427" TargetMode="External" /><Relationship Id="rId290" Type="http://schemas.openxmlformats.org/officeDocument/2006/relationships/hyperlink" Target="http://data.aade.gr/eli/pri/law/2005/02/16/3312" TargetMode="External" /><Relationship Id="rId291" Type="http://schemas.openxmlformats.org/officeDocument/2006/relationships/hyperlink" Target="http://data.aade.gr/eli/pri/law/2021/07/18/4818" TargetMode="External" /><Relationship Id="rId292" Type="http://schemas.openxmlformats.org/officeDocument/2006/relationships/hyperlink" Target="http://data.aade.gr/eli/pri/law/2001/10/19/2948" TargetMode="External" /><Relationship Id="rId293" Type="http://schemas.openxmlformats.org/officeDocument/2006/relationships/hyperlink" Target="http://data.aade.gr/eli/pri/law/2011/03/31/3943" TargetMode="External" /><Relationship Id="rId294" Type="http://schemas.openxmlformats.org/officeDocument/2006/relationships/hyperlink" Target="http://data.aade.gr/eli/pri/law/2004/01/28/3220" TargetMode="External" /><Relationship Id="rId295" Type="http://schemas.openxmlformats.org/officeDocument/2006/relationships/hyperlink" Target="http://data.aade.gr/eli/pri/law/2004/01/28/3220" TargetMode="External" /><Relationship Id="rId296" Type="http://schemas.openxmlformats.org/officeDocument/2006/relationships/hyperlink" Target="http://data.aade.gr/eli/pri/law/2004/01/28/3220" TargetMode="External" /><Relationship Id="rId297" Type="http://schemas.openxmlformats.org/officeDocument/2006/relationships/hyperlink" Target="http://data.aade.gr/eli/pri/law/2000/12/28/2873" TargetMode="External" /><Relationship Id="rId298" Type="http://schemas.openxmlformats.org/officeDocument/2006/relationships/hyperlink" Target="http://data.aade.gr/eli/pri/law/2018/01/30/4514" TargetMode="External" /><Relationship Id="rId299" Type="http://schemas.openxmlformats.org/officeDocument/2006/relationships/hyperlink" Target="http://data.aade.gr/eli/pri/law/2018/01/30/4514" TargetMode="External" /><Relationship Id="rId3" Type="http://schemas.openxmlformats.org/officeDocument/2006/relationships/hyperlink" Target="http://data.aade.gr/eli/pri/law/2021/05/07/4778" TargetMode="External" /><Relationship Id="rId30" Type="http://schemas.openxmlformats.org/officeDocument/2006/relationships/hyperlink" Target="http://data.aade.gr/eli/pri/law/2001/11/02/2954" TargetMode="External" /><Relationship Id="rId300" Type="http://schemas.openxmlformats.org/officeDocument/2006/relationships/hyperlink" Target="http://data.aade.gr/eli/pri/law/2018/01/30/4514" TargetMode="External" /><Relationship Id="rId301" Type="http://schemas.openxmlformats.org/officeDocument/2006/relationships/hyperlink" Target="http://data.aade.gr/eli/pri/law/2018/01/30/4514" TargetMode="External" /><Relationship Id="rId302" Type="http://schemas.openxmlformats.org/officeDocument/2006/relationships/hyperlink" Target="http://data.aade.gr/eli/pri/law/2018/01/30/4514" TargetMode="External" /><Relationship Id="rId303" Type="http://schemas.openxmlformats.org/officeDocument/2006/relationships/hyperlink" Target="http://data.aade.gr/eli/pri/law/2018/01/30/4514" TargetMode="External" /><Relationship Id="rId304" Type="http://schemas.openxmlformats.org/officeDocument/2006/relationships/hyperlink" Target="http://data.aade.gr/eli/pri/law/2018/01/30/4514" TargetMode="External" /><Relationship Id="rId305" Type="http://schemas.openxmlformats.org/officeDocument/2006/relationships/hyperlink" Target="http://data.aade.gr/eli/pri/law/2018/01/30/4514" TargetMode="External" /><Relationship Id="rId306" Type="http://schemas.openxmlformats.org/officeDocument/2006/relationships/hyperlink" Target="http://data.aade.gr/eli/pri/law/2014/04/07/4254" TargetMode="External" /><Relationship Id="rId307" Type="http://schemas.openxmlformats.org/officeDocument/2006/relationships/hyperlink" Target="http://data.aade.gr/eli/pri/law/2002/12/24/3091" TargetMode="External" /><Relationship Id="rId308" Type="http://schemas.openxmlformats.org/officeDocument/2006/relationships/hyperlink" Target="http://data.aade.gr/eli/pri/law/2009/05/27/3763" TargetMode="External" /><Relationship Id="rId309" Type="http://schemas.openxmlformats.org/officeDocument/2006/relationships/hyperlink" Target="http://data.aade.gr/eli/pri/law/2002/12/24/3091" TargetMode="External" /><Relationship Id="rId31" Type="http://schemas.openxmlformats.org/officeDocument/2006/relationships/hyperlink" Target="http://data.aade.gr/eli/pri/law/2021/07/31/4821" TargetMode="External" /><Relationship Id="rId310" Type="http://schemas.openxmlformats.org/officeDocument/2006/relationships/hyperlink" Target="http://data.aade.gr/eli/pri/law/2009/05/27/3763" TargetMode="External" /><Relationship Id="rId311" Type="http://schemas.openxmlformats.org/officeDocument/2006/relationships/hyperlink" Target="http://data.aade.gr/eli/pri/law/2011/03/31/3943" TargetMode="External" /><Relationship Id="rId312" Type="http://schemas.openxmlformats.org/officeDocument/2006/relationships/hyperlink" Target="http://data.aade.gr/eli/pri/law/2011/03/31/3943" TargetMode="External" /><Relationship Id="rId313" Type="http://schemas.openxmlformats.org/officeDocument/2006/relationships/hyperlink" Target="http://data.aade.gr/eli/pri/law/2018/01/30/4514" TargetMode="External" /><Relationship Id="rId314" Type="http://schemas.openxmlformats.org/officeDocument/2006/relationships/hyperlink" Target="http://data.aade.gr/eli/pri/law/2016/04/03/4375" TargetMode="External" /><Relationship Id="rId315" Type="http://schemas.openxmlformats.org/officeDocument/2006/relationships/hyperlink" Target="http://data.aade.gr/eli/pri/law/2016/04/03/4375" TargetMode="External" /><Relationship Id="rId316" Type="http://schemas.openxmlformats.org/officeDocument/2006/relationships/hyperlink" Target="http://data.aade.gr/eli/pri/law/2016/08/03/4410" TargetMode="External" /><Relationship Id="rId317" Type="http://schemas.openxmlformats.org/officeDocument/2006/relationships/hyperlink" Target="http://data.aade.gr/eli/pri/law/2020/02/14/4664" TargetMode="External" /><Relationship Id="rId318" Type="http://schemas.openxmlformats.org/officeDocument/2006/relationships/hyperlink" Target="http://data.aade.gr/eli/pri/law/2021/03/31/4790" TargetMode="External" /><Relationship Id="rId319" Type="http://schemas.openxmlformats.org/officeDocument/2006/relationships/hyperlink" Target="http://data.aade.gr/eli/pri/law/2020/02/14/4664" TargetMode="External" /><Relationship Id="rId32" Type="http://schemas.openxmlformats.org/officeDocument/2006/relationships/hyperlink" Target="http://data.aade.gr/eli/pri/law/2020/06/30/4701" TargetMode="External" /><Relationship Id="rId320" Type="http://schemas.openxmlformats.org/officeDocument/2006/relationships/hyperlink" Target="http://data.aade.gr/eli/pri/law/2020/07/31/4714" TargetMode="External" /><Relationship Id="rId321" Type="http://schemas.openxmlformats.org/officeDocument/2006/relationships/hyperlink" Target="http://data.aade.gr/eli/pri/law/2020/07/31/4714" TargetMode="External" /><Relationship Id="rId322" Type="http://schemas.openxmlformats.org/officeDocument/2006/relationships/hyperlink" Target="http://data.aade.gr/eli/pri/law/2001/10/19/2948" TargetMode="External" /><Relationship Id="rId323" Type="http://schemas.openxmlformats.org/officeDocument/2006/relationships/hyperlink" Target="http://data.aade.gr/eli/pri/law/2020/07/31/4714" TargetMode="External" /><Relationship Id="rId324" Type="http://schemas.openxmlformats.org/officeDocument/2006/relationships/hyperlink" Target="http://data.aade.gr/eli/pri/law/2019/12/12/4646" TargetMode="External" /><Relationship Id="rId325" Type="http://schemas.openxmlformats.org/officeDocument/2006/relationships/hyperlink" Target="http://data.aade.gr/eli/pri/law/2011/03/31/3943" TargetMode="External" /><Relationship Id="rId326" Type="http://schemas.openxmlformats.org/officeDocument/2006/relationships/hyperlink" Target="http://data.aade.gr/eli/pri/law/2014/12/24/4316" TargetMode="External" /><Relationship Id="rId327" Type="http://schemas.openxmlformats.org/officeDocument/2006/relationships/hyperlink" Target="http://data.aade.gr/eli/pri/law/2021/07/18/4818" TargetMode="External" /><Relationship Id="rId328" Type="http://schemas.openxmlformats.org/officeDocument/2006/relationships/hyperlink" Target="http://data.aade.gr/eli/pri/law/2014/12/24/4316" TargetMode="External" /><Relationship Id="rId329" Type="http://schemas.openxmlformats.org/officeDocument/2006/relationships/hyperlink" Target="http://data.aade.gr/eli/pri/law/2021/07/18/4818" TargetMode="External" /><Relationship Id="rId33" Type="http://schemas.openxmlformats.org/officeDocument/2006/relationships/hyperlink" Target="http://data.aade.gr/eli/pri/law/2019/12/12/4646" TargetMode="External" /><Relationship Id="rId330" Type="http://schemas.openxmlformats.org/officeDocument/2006/relationships/hyperlink" Target="http://data.aade.gr/eli/pri/law/2014/12/24/4316" TargetMode="External" /><Relationship Id="rId331" Type="http://schemas.openxmlformats.org/officeDocument/2006/relationships/hyperlink" Target="http://data.aade.gr/eli/pri/law/2021/07/18/4818" TargetMode="External" /><Relationship Id="rId332" Type="http://schemas.openxmlformats.org/officeDocument/2006/relationships/hyperlink" Target="http://data.aade.gr/eli/pri/law/2021/07/18/4818" TargetMode="External" /><Relationship Id="rId333" Type="http://schemas.openxmlformats.org/officeDocument/2006/relationships/hyperlink" Target="http://data.aade.gr/eli/pri/law/2002/12/24/3091" TargetMode="External" /><Relationship Id="rId334" Type="http://schemas.openxmlformats.org/officeDocument/2006/relationships/hyperlink" Target="http://data.aade.gr/eli/pri/law/2001/10/19/2948" TargetMode="External" /><Relationship Id="rId335" Type="http://schemas.openxmlformats.org/officeDocument/2006/relationships/hyperlink" Target="http://data.aade.gr/eli/pri/law/2002/12/24/3091" TargetMode="External" /><Relationship Id="rId336" Type="http://schemas.openxmlformats.org/officeDocument/2006/relationships/hyperlink" Target="http://data.aade.gr/eli/pri/law/2006/12/22/3522" TargetMode="External" /><Relationship Id="rId337" Type="http://schemas.openxmlformats.org/officeDocument/2006/relationships/hyperlink" Target="http://data.aade.gr/eli/pri/law/2006/12/22/3522" TargetMode="External" /><Relationship Id="rId338" Type="http://schemas.openxmlformats.org/officeDocument/2006/relationships/hyperlink" Target="http://data.aade.gr/eli/pri/law/2001/11/02/2954" TargetMode="External" /><Relationship Id="rId339" Type="http://schemas.openxmlformats.org/officeDocument/2006/relationships/hyperlink" Target="http://data.aade.gr/eli/pri/law/2001/11/02/2954" TargetMode="External" /><Relationship Id="rId34" Type="http://schemas.openxmlformats.org/officeDocument/2006/relationships/hyperlink" Target="http://data.aade.gr/eli/pri/law/2019/12/12/4646" TargetMode="External" /><Relationship Id="rId340" Type="http://schemas.openxmlformats.org/officeDocument/2006/relationships/hyperlink" Target="http://data.aade.gr/eli/pri/law/2005/12/27/3427" TargetMode="External" /><Relationship Id="rId341" Type="http://schemas.openxmlformats.org/officeDocument/2006/relationships/hyperlink" Target="http://data.aade.gr/eli/pri/law/2005/12/27/3427" TargetMode="External" /><Relationship Id="rId342" Type="http://schemas.openxmlformats.org/officeDocument/2006/relationships/hyperlink" Target="http://data.aade.gr/eli/pri/law/2005/12/27/3427" TargetMode="External" /><Relationship Id="rId343" Type="http://schemas.openxmlformats.org/officeDocument/2006/relationships/hyperlink" Target="http://data.aade.gr/eli/pri/law/2006/12/22/3522" TargetMode="External" /><Relationship Id="rId344" Type="http://schemas.openxmlformats.org/officeDocument/2006/relationships/hyperlink" Target="http://data.aade.gr/eli/pri/law/2002/12/24/3091" TargetMode="External" /><Relationship Id="rId345" Type="http://schemas.openxmlformats.org/officeDocument/2006/relationships/hyperlink" Target="http://data.aade.gr/eli/pri/law/2014/08/08/4281" TargetMode="External" /><Relationship Id="rId346" Type="http://schemas.openxmlformats.org/officeDocument/2006/relationships/hyperlink" Target="http://data.aade.gr/eli/pri/law/2014/08/08/4281" TargetMode="External" /><Relationship Id="rId347" Type="http://schemas.openxmlformats.org/officeDocument/2006/relationships/hyperlink" Target="http://data.aade.gr/eli/pri/law/2014/08/08/4281" TargetMode="External" /><Relationship Id="rId348" Type="http://schemas.openxmlformats.org/officeDocument/2006/relationships/hyperlink" Target="http://data.aade.gr/eli/pri/law/2014/08/08/4281" TargetMode="External" /><Relationship Id="rId349" Type="http://schemas.openxmlformats.org/officeDocument/2006/relationships/hyperlink" Target="http://data.aade.gr/eli/pri/law/2019/12/12/4646" TargetMode="External" /><Relationship Id="rId35" Type="http://schemas.openxmlformats.org/officeDocument/2006/relationships/hyperlink" Target="http://data.aade.gr/eli/pri/law/2005/12/27/3427" TargetMode="External" /><Relationship Id="rId350" Type="http://schemas.openxmlformats.org/officeDocument/2006/relationships/hyperlink" Target="http://data.aade.gr/eli/pri/law/2015/08/14/4336" TargetMode="External" /><Relationship Id="rId351" Type="http://schemas.openxmlformats.org/officeDocument/2006/relationships/hyperlink" Target="http://data.aade.gr/eli/pri/law/2015/03/21/4321" TargetMode="External" /><Relationship Id="rId352" Type="http://schemas.openxmlformats.org/officeDocument/2006/relationships/hyperlink" Target="http://data.aade.gr/eli/pri/law/2014/08/08/4281" TargetMode="External" /><Relationship Id="rId353" Type="http://schemas.openxmlformats.org/officeDocument/2006/relationships/hyperlink" Target="http://data.aade.gr/eli/pri/law/2014/08/08/4281" TargetMode="External" /><Relationship Id="rId354" Type="http://schemas.openxmlformats.org/officeDocument/2006/relationships/hyperlink" Target="http://data.aade.gr/eli/pri/law/2011/03/31/3943" TargetMode="External" /><Relationship Id="rId355" Type="http://schemas.openxmlformats.org/officeDocument/2006/relationships/hyperlink" Target="http://data.aade.gr/eli/pri/law/2006/12/22/3522" TargetMode="External" /><Relationship Id="rId356" Type="http://schemas.openxmlformats.org/officeDocument/2006/relationships/hyperlink" Target="http://data.aade.gr/eli/pri/law/2013/01/23/4110" TargetMode="External" /><Relationship Id="rId357" Type="http://schemas.openxmlformats.org/officeDocument/2006/relationships/hyperlink" Target="http://data.aade.gr/eli/pri/law/2013/01/23/4110" TargetMode="External" /><Relationship Id="rId358" Type="http://schemas.openxmlformats.org/officeDocument/2006/relationships/hyperlink" Target="http://data.aade.gr/eli/pri/law/2014/08/08/4281" TargetMode="External" /><Relationship Id="rId359" Type="http://schemas.openxmlformats.org/officeDocument/2006/relationships/hyperlink" Target="http://data.aade.gr/eli/pri/law/2013/01/23/4110" TargetMode="External" /><Relationship Id="rId36" Type="http://schemas.openxmlformats.org/officeDocument/2006/relationships/hyperlink" Target="http://data.aade.gr/eli/pri/law/2021/07/23/4819" TargetMode="External" /><Relationship Id="rId360" Type="http://schemas.openxmlformats.org/officeDocument/2006/relationships/hyperlink" Target="http://data.aade.gr/eli/pri/law/2013/01/23/4110" TargetMode="External" /><Relationship Id="rId361" Type="http://schemas.openxmlformats.org/officeDocument/2006/relationships/hyperlink" Target="http://data.aade.gr/eli/pri/law/2013/01/23/4110" TargetMode="External" /><Relationship Id="rId362" Type="http://schemas.openxmlformats.org/officeDocument/2006/relationships/hyperlink" Target="http://data.aade.gr/eli/pri/law/2004/01/28/3220" TargetMode="External" /><Relationship Id="rId363" Type="http://schemas.openxmlformats.org/officeDocument/2006/relationships/hyperlink" Target="http://data.aade.gr/eli/pri/law/2010/06/04/3851" TargetMode="External" /><Relationship Id="rId364" Type="http://schemas.openxmlformats.org/officeDocument/2006/relationships/hyperlink" Target="http://data.aade.gr/eli/pri/law/2013/01/23/4110" TargetMode="External" /><Relationship Id="rId365" Type="http://schemas.openxmlformats.org/officeDocument/2006/relationships/hyperlink" Target="http://data.aade.gr/eli/pri/law/2010/06/04/3851" TargetMode="External" /><Relationship Id="rId366" Type="http://schemas.openxmlformats.org/officeDocument/2006/relationships/hyperlink" Target="http://data.aade.gr/eli/pri/law/2001/10/19/2948" TargetMode="External" /><Relationship Id="rId367" Type="http://schemas.openxmlformats.org/officeDocument/2006/relationships/hyperlink" Target="http://data.aade.gr/eli/pri/law/2010/04/23/3842" TargetMode="External" /><Relationship Id="rId368" Type="http://schemas.openxmlformats.org/officeDocument/2006/relationships/hyperlink" Target="http://data.aade.gr/eli/pri/law/2010/04/23/3842" TargetMode="External" /><Relationship Id="rId369" Type="http://schemas.openxmlformats.org/officeDocument/2006/relationships/hyperlink" Target="http://data.aade.gr/eli/pri/law/2010/04/23/3842" TargetMode="External" /><Relationship Id="rId37" Type="http://schemas.openxmlformats.org/officeDocument/2006/relationships/hyperlink" Target="http://data.aade.gr/eli/pri/law/2017/06/07/4474" TargetMode="External" /><Relationship Id="rId370" Type="http://schemas.openxmlformats.org/officeDocument/2006/relationships/hyperlink" Target="http://data.aade.gr/eli/pri/law/2014/08/08/4281" TargetMode="External" /><Relationship Id="rId371" Type="http://schemas.openxmlformats.org/officeDocument/2006/relationships/hyperlink" Target="http://data.aade.gr/eli/pri/law/2010/04/23/3842" TargetMode="External" /><Relationship Id="rId372" Type="http://schemas.openxmlformats.org/officeDocument/2006/relationships/hyperlink" Target="http://data.aade.gr/eli/pri/law/2010/04/23/3842" TargetMode="External" /><Relationship Id="rId373" Type="http://schemas.openxmlformats.org/officeDocument/2006/relationships/hyperlink" Target="http://data.aade.gr/eli/pri/law/2010/04/23/3842" TargetMode="External" /><Relationship Id="rId374" Type="http://schemas.openxmlformats.org/officeDocument/2006/relationships/hyperlink" Target="http://data.aade.gr/eli/pri/law/2002/12/24/3091" TargetMode="External" /><Relationship Id="rId375" Type="http://schemas.openxmlformats.org/officeDocument/2006/relationships/hyperlink" Target="http://data.aade.gr/eli/pri/law/2002/12/24/3091" TargetMode="External" /><Relationship Id="rId376" Type="http://schemas.openxmlformats.org/officeDocument/2006/relationships/hyperlink" Target="http://data.aade.gr/eli/pri/law/2009/05/27/3763" TargetMode="External" /><Relationship Id="rId377" Type="http://schemas.openxmlformats.org/officeDocument/2006/relationships/hyperlink" Target="http://data.aade.gr/eli/pri/law/2009/05/27/3763" TargetMode="External" /><Relationship Id="rId378" Type="http://schemas.openxmlformats.org/officeDocument/2006/relationships/hyperlink" Target="http://data.aade.gr/eli/pri/law/2009/05/27/3763" TargetMode="External" /><Relationship Id="rId379" Type="http://schemas.openxmlformats.org/officeDocument/2006/relationships/hyperlink" Target="http://data.aade.gr/eli/pri/law/2009/05/27/3763" TargetMode="External" /><Relationship Id="rId38" Type="http://schemas.openxmlformats.org/officeDocument/2006/relationships/hyperlink" Target="http://data.aade.gr/eli/pri/law/2021/07/23/4819" TargetMode="External" /><Relationship Id="rId380" Type="http://schemas.openxmlformats.org/officeDocument/2006/relationships/hyperlink" Target="http://data.aade.gr/eli/pri/law/2009/05/27/3763" TargetMode="External" /><Relationship Id="rId381" Type="http://schemas.openxmlformats.org/officeDocument/2006/relationships/hyperlink" Target="http://data.aade.gr/eli/pri/law/2009/05/27/3763" TargetMode="External" /><Relationship Id="rId382" Type="http://schemas.openxmlformats.org/officeDocument/2006/relationships/hyperlink" Target="http://data.aade.gr/eli/pri/law/2014/08/08/4281" TargetMode="External" /><Relationship Id="rId383" Type="http://schemas.openxmlformats.org/officeDocument/2006/relationships/hyperlink" Target="http://data.aade.gr/eli/pri/law/2002/03/20/2992" TargetMode="External" /><Relationship Id="rId384" Type="http://schemas.openxmlformats.org/officeDocument/2006/relationships/hyperlink" Target="http://data.aade.gr/eli/pri/law/2017/08/01/4484" TargetMode="External" /><Relationship Id="rId385" Type="http://schemas.openxmlformats.org/officeDocument/2006/relationships/hyperlink" Target="http://data.aade.gr/eli/pri/law/2017/06/07/4474" TargetMode="External" /><Relationship Id="rId386" Type="http://schemas.openxmlformats.org/officeDocument/2006/relationships/hyperlink" Target="http://data.aade.gr/eli/pri/law/2014/04/07/4254" TargetMode="External" /><Relationship Id="rId387" Type="http://schemas.openxmlformats.org/officeDocument/2006/relationships/hyperlink" Target="http://data.aade.gr/eli/pri/law/2002/03/20/2992" TargetMode="External" /><Relationship Id="rId388" Type="http://schemas.openxmlformats.org/officeDocument/2006/relationships/hyperlink" Target="http://data.aade.gr/eli/pri/law/2005/02/16/3312" TargetMode="External" /><Relationship Id="rId389" Type="http://schemas.openxmlformats.org/officeDocument/2006/relationships/hyperlink" Target="http://data.aade.gr/eli/pri/law/2002/03/20/2992" TargetMode="External" /><Relationship Id="rId39" Type="http://schemas.openxmlformats.org/officeDocument/2006/relationships/hyperlink" Target="http://data.aade.gr/eli/pri/law/2017/06/07/4474" TargetMode="External" /><Relationship Id="rId390" Type="http://schemas.openxmlformats.org/officeDocument/2006/relationships/hyperlink" Target="http://data.aade.gr/eli/pri/law/2006/04/07/3453" TargetMode="External" /><Relationship Id="rId391" Type="http://schemas.openxmlformats.org/officeDocument/2006/relationships/hyperlink" Target="http://data.aade.gr/eli/pri/law/2005/02/16/3312" TargetMode="External" /><Relationship Id="rId392" Type="http://schemas.openxmlformats.org/officeDocument/2006/relationships/hyperlink" Target="http://data.aade.gr/eli/pri/law/2002/03/20/2992" TargetMode="External" /><Relationship Id="rId393" Type="http://schemas.openxmlformats.org/officeDocument/2006/relationships/hyperlink" Target="http://data.aade.gr/eli/pri/law/2002/03/20/2992" TargetMode="External" /><Relationship Id="rId394" Type="http://schemas.openxmlformats.org/officeDocument/2006/relationships/hyperlink" Target="http://data.aade.gr/eli/pri/law/2002/03/20/2992" TargetMode="External" /><Relationship Id="rId395" Type="http://schemas.openxmlformats.org/officeDocument/2006/relationships/hyperlink" Target="http://data.aade.gr/eli/pri/law/2005/02/16/3312" TargetMode="External" /><Relationship Id="rId396" Type="http://schemas.openxmlformats.org/officeDocument/2006/relationships/hyperlink" Target="http://data.aade.gr/eli/pri/law/2002/03/20/2992" TargetMode="External" /><Relationship Id="rId397" Type="http://schemas.openxmlformats.org/officeDocument/2006/relationships/hyperlink" Target="http://data.aade.gr/eli/pri/law/2005/02/16/3312" TargetMode="External" /><Relationship Id="rId398" Type="http://schemas.openxmlformats.org/officeDocument/2006/relationships/hyperlink" Target="http://data.aade.gr/eli/pri/law/2005/02/16/3312" TargetMode="External" /><Relationship Id="rId399" Type="http://schemas.openxmlformats.org/officeDocument/2006/relationships/hyperlink" Target="http://data.aade.gr/eli/pri/law/2006/12/22/3522" TargetMode="External" /><Relationship Id="rId4" Type="http://schemas.openxmlformats.org/officeDocument/2006/relationships/hyperlink" Target="http://data.aade.gr/eli/pri/law/2007/11/22/3610" TargetMode="External" /><Relationship Id="rId40" Type="http://schemas.openxmlformats.org/officeDocument/2006/relationships/hyperlink" Target="http://data.aade.gr/eli/pri/law/2021/07/23/4819" TargetMode="External" /><Relationship Id="rId400" Type="http://schemas.openxmlformats.org/officeDocument/2006/relationships/hyperlink" Target="http://data.aade.gr/eli/pri/law/2002/03/20/2992" TargetMode="External" /><Relationship Id="rId401" Type="http://schemas.openxmlformats.org/officeDocument/2006/relationships/hyperlink" Target="http://data.aade.gr/eli/pri/law/2002/03/20/2992" TargetMode="External" /><Relationship Id="rId402" Type="http://schemas.openxmlformats.org/officeDocument/2006/relationships/hyperlink" Target="http://data.aade.gr/eli/pri/law/2002/03/20/2992" TargetMode="External" /><Relationship Id="rId403" Type="http://schemas.openxmlformats.org/officeDocument/2006/relationships/hyperlink" Target="http://data.aade.gr/eli/pri/law/2013/11/28/4211" TargetMode="External" /><Relationship Id="rId404" Type="http://schemas.openxmlformats.org/officeDocument/2006/relationships/hyperlink" Target="http://data.aade.gr/eli/pri/law/2013/03/07/4132" TargetMode="External" /><Relationship Id="rId405" Type="http://schemas.openxmlformats.org/officeDocument/2006/relationships/hyperlink" Target="http://data.aade.gr/eli/pri/law/2009/05/27/3763" TargetMode="External" /><Relationship Id="rId406" Type="http://schemas.openxmlformats.org/officeDocument/2006/relationships/hyperlink" Target="http://data.aade.gr/eli/pri/law/2009/05/27/3763" TargetMode="External" /><Relationship Id="rId407" Type="http://schemas.openxmlformats.org/officeDocument/2006/relationships/hyperlink" Target="http://data.aade.gr/eli/pri/law/2015/06/16/4330" TargetMode="External" /><Relationship Id="rId408" Type="http://schemas.openxmlformats.org/officeDocument/2006/relationships/hyperlink" Target="http://data.aade.gr/eli/pri/law/2021/07/18/4818" TargetMode="External" /><Relationship Id="rId409" Type="http://schemas.openxmlformats.org/officeDocument/2006/relationships/hyperlink" Target="http://data.aade.gr/eli/pri/law/2009/05/27/3763" TargetMode="External" /><Relationship Id="rId41" Type="http://schemas.openxmlformats.org/officeDocument/2006/relationships/hyperlink" Target="http://data.aade.gr/eli/pri/law/2017/06/07/4474" TargetMode="External" /><Relationship Id="rId410" Type="http://schemas.openxmlformats.org/officeDocument/2006/relationships/hyperlink" Target="http://data.aade.gr/eli/pri/law/2009/05/27/3763" TargetMode="External" /><Relationship Id="rId411" Type="http://schemas.openxmlformats.org/officeDocument/2006/relationships/hyperlink" Target="http://data.aade.gr/eli/pri/law/2009/05/27/3763" TargetMode="External" /><Relationship Id="rId412" Type="http://schemas.openxmlformats.org/officeDocument/2006/relationships/hyperlink" Target="http://data.aade.gr/eli/pri/law/2002/03/20/2992" TargetMode="External" /><Relationship Id="rId413" Type="http://schemas.openxmlformats.org/officeDocument/2006/relationships/hyperlink" Target="http://data.aade.gr/eli/pri/law/2002/03/20/2992" TargetMode="External" /><Relationship Id="rId414" Type="http://schemas.openxmlformats.org/officeDocument/2006/relationships/hyperlink" Target="http://data.aade.gr/eli/pri/law/2002/03/20/2992" TargetMode="External" /><Relationship Id="rId415" Type="http://schemas.openxmlformats.org/officeDocument/2006/relationships/hyperlink" Target="http://data.aade.gr/eli/pri/law/2002/03/20/2992" TargetMode="External" /><Relationship Id="rId416" Type="http://schemas.openxmlformats.org/officeDocument/2006/relationships/hyperlink" Target="http://data.aade.gr/eli/pri/law/2002/03/20/2992" TargetMode="External" /><Relationship Id="rId417" Type="http://schemas.openxmlformats.org/officeDocument/2006/relationships/hyperlink" Target="http://data.aade.gr/eli/pri/law/2002/03/20/2992" TargetMode="External" /><Relationship Id="rId418" Type="http://schemas.openxmlformats.org/officeDocument/2006/relationships/hyperlink" Target="http://data.aade.gr/eli/pri/law/2002/03/20/2992" TargetMode="External" /><Relationship Id="rId419" Type="http://schemas.openxmlformats.org/officeDocument/2006/relationships/hyperlink" Target="http://data.aade.gr/eli/pri/law/2014/12/24/4316" TargetMode="External" /><Relationship Id="rId42" Type="http://schemas.openxmlformats.org/officeDocument/2006/relationships/hyperlink" Target="http://data.aade.gr/eli/pri/law/2021/07/23/4819" TargetMode="External" /><Relationship Id="rId420" Type="http://schemas.openxmlformats.org/officeDocument/2006/relationships/hyperlink" Target="http://data.aade.gr/eli/pri/law/2002/03/20/2992" TargetMode="External" /><Relationship Id="rId421" Type="http://schemas.openxmlformats.org/officeDocument/2006/relationships/hyperlink" Target="http://data.aade.gr/eli/pri/law/2014/12/24/4316" TargetMode="External" /><Relationship Id="rId422" Type="http://schemas.openxmlformats.org/officeDocument/2006/relationships/hyperlink" Target="http://data.aade.gr/eli/pri/law/2006/04/07/3453" TargetMode="External" /><Relationship Id="rId423" Type="http://schemas.openxmlformats.org/officeDocument/2006/relationships/hyperlink" Target="http://data.aade.gr/eli/pri/law/2005/02/16/3312" TargetMode="External" /><Relationship Id="rId424" Type="http://schemas.openxmlformats.org/officeDocument/2006/relationships/hyperlink" Target="http://data.aade.gr/eli/pri/law/2002/03/20/2992" TargetMode="External" /><Relationship Id="rId425" Type="http://schemas.openxmlformats.org/officeDocument/2006/relationships/hyperlink" Target="http://data.aade.gr/eli/pri/law/2006/12/22/3522" TargetMode="External" /><Relationship Id="rId426" Type="http://schemas.openxmlformats.org/officeDocument/2006/relationships/hyperlink" Target="http://data.aade.gr/eli/pri/law/2009/05/27/3763" TargetMode="External" /><Relationship Id="rId427" Type="http://schemas.openxmlformats.org/officeDocument/2006/relationships/hyperlink" Target="http://data.aade.gr/eli/pri/law/2018/01/17/4512" TargetMode="External" /><Relationship Id="rId428" Type="http://schemas.openxmlformats.org/officeDocument/2006/relationships/hyperlink" Target="http://data.aade.gr/eli/pri/law/2018/01/17/4512" TargetMode="External" /><Relationship Id="rId429" Type="http://schemas.openxmlformats.org/officeDocument/2006/relationships/hyperlink" Target="http://data.aade.gr/eli/pri/law/2018/01/17/4512" TargetMode="External" /><Relationship Id="rId43" Type="http://schemas.openxmlformats.org/officeDocument/2006/relationships/hyperlink" Target="http://data.aade.gr/eli/pri/law/2017/06/07/4474" TargetMode="External" /><Relationship Id="rId430" Type="http://schemas.openxmlformats.org/officeDocument/2006/relationships/hyperlink" Target="http://data.aade.gr/eli/pri/law/2002/09/24/3052" TargetMode="External" /><Relationship Id="rId431" Type="http://schemas.openxmlformats.org/officeDocument/2006/relationships/hyperlink" Target="http://data.aade.gr/eli/pri/law/2018/01/17/4512" TargetMode="External" /><Relationship Id="rId432" Type="http://schemas.openxmlformats.org/officeDocument/2006/relationships/hyperlink" Target="http://data.aade.gr/eli/pri/law/2003/11/20/3193" TargetMode="External" /><Relationship Id="rId433" Type="http://schemas.openxmlformats.org/officeDocument/2006/relationships/hyperlink" Target="http://data.aade.gr/eli/pri/law/2018/01/17/4512" TargetMode="External" /><Relationship Id="rId434" Type="http://schemas.openxmlformats.org/officeDocument/2006/relationships/hyperlink" Target="http://data.aade.gr/eli/pri/law/2018/01/17/4512" TargetMode="External" /><Relationship Id="rId435" Type="http://schemas.openxmlformats.org/officeDocument/2006/relationships/hyperlink" Target="http://data.aade.gr/eli/pri/law/2018/01/17/4512" TargetMode="External" /><Relationship Id="rId436" Type="http://schemas.openxmlformats.org/officeDocument/2006/relationships/hyperlink" Target="http://data.aade.gr/eli/pri/law/2018/01/17/4512" TargetMode="External" /><Relationship Id="rId437" Type="http://schemas.openxmlformats.org/officeDocument/2006/relationships/hyperlink" Target="http://data.aade.gr/eli/pri/law/2006/04/07/3453" TargetMode="External" /><Relationship Id="rId438" Type="http://schemas.openxmlformats.org/officeDocument/2006/relationships/hyperlink" Target="http://data.aade.gr/eli/pri/law/2002/09/24/3052" TargetMode="External" /><Relationship Id="rId439" Type="http://schemas.openxmlformats.org/officeDocument/2006/relationships/hyperlink" Target="http://data.aade.gr/eli/pri/law/2018/01/17/4512" TargetMode="External" /><Relationship Id="rId44" Type="http://schemas.openxmlformats.org/officeDocument/2006/relationships/hyperlink" Target="http://data.aade.gr/eli/pri/law/2021/07/23/4819" TargetMode="External" /><Relationship Id="rId440" Type="http://schemas.openxmlformats.org/officeDocument/2006/relationships/hyperlink" Target="http://data.aade.gr/eli/pri/law/2002/09/24/3052" TargetMode="External" /><Relationship Id="rId441" Type="http://schemas.openxmlformats.org/officeDocument/2006/relationships/hyperlink" Target="http://data.aade.gr/eli/pri/law/2019/12/12/4646" TargetMode="External" /><Relationship Id="rId442" Type="http://schemas.openxmlformats.org/officeDocument/2006/relationships/hyperlink" Target="http://data.aade.gr/eli/pri/law/2019/12/12/4646" TargetMode="External" /><Relationship Id="rId443" Type="http://schemas.openxmlformats.org/officeDocument/2006/relationships/hyperlink" Target="http://data.aade.gr/eli/pri/law/2019/12/12/4646" TargetMode="External" /><Relationship Id="rId444" Type="http://schemas.openxmlformats.org/officeDocument/2006/relationships/hyperlink" Target="http://data.aade.gr/eli/pri/law/2019/12/12/4646" TargetMode="External" /><Relationship Id="rId445" Type="http://schemas.openxmlformats.org/officeDocument/2006/relationships/hyperlink" Target="http://data.aade.gr/eli/pri/law/2006/12/22/3522" TargetMode="External" /><Relationship Id="rId446" Type="http://schemas.openxmlformats.org/officeDocument/2006/relationships/hyperlink" Target="http://data.aade.gr/eli/pri/law/2006/12/22/3522" TargetMode="External" /><Relationship Id="rId447" Type="http://schemas.openxmlformats.org/officeDocument/2006/relationships/hyperlink" Target="http://data.aade.gr/eli/pri/law/2006/12/22/3522" TargetMode="External" /><Relationship Id="rId448" Type="http://schemas.openxmlformats.org/officeDocument/2006/relationships/hyperlink" Target="http://data.aade.gr/eli/pri/law/2009/05/27/3763" TargetMode="External" /><Relationship Id="rId449" Type="http://schemas.openxmlformats.org/officeDocument/2006/relationships/hyperlink" Target="http://data.aade.gr/eli/pri/law/2005/12/27/3427" TargetMode="External" /><Relationship Id="rId45" Type="http://schemas.openxmlformats.org/officeDocument/2006/relationships/hyperlink" Target="http://data.aade.gr/eli/pri/law/2006/12/22/3522" TargetMode="External" /><Relationship Id="rId450" Type="http://schemas.openxmlformats.org/officeDocument/2006/relationships/hyperlink" Target="http://data.aade.gr/eli/pri/law/2005/02/16/3312" TargetMode="External" /><Relationship Id="rId451" Type="http://schemas.openxmlformats.org/officeDocument/2006/relationships/hyperlink" Target="http://data.aade.gr/eli/pri/law/2002/03/20/2992" TargetMode="External" /><Relationship Id="rId452" Type="http://schemas.openxmlformats.org/officeDocument/2006/relationships/hyperlink" Target="http://data.aade.gr/eli/pri/law/2006/04/07/3453" TargetMode="External" /><Relationship Id="rId453" Type="http://schemas.openxmlformats.org/officeDocument/2006/relationships/hyperlink" Target="http://data.aade.gr/eli/pri/law/2002/03/20/2992" TargetMode="External" /><Relationship Id="rId454" Type="http://schemas.openxmlformats.org/officeDocument/2006/relationships/hyperlink" Target="http://data.aade.gr/eli/pri/law/2020/07/31/4714" TargetMode="External" /><Relationship Id="rId455" Type="http://schemas.openxmlformats.org/officeDocument/2006/relationships/hyperlink" Target="http://data.aade.gr/eli/pri/law/2002/09/24/3052" TargetMode="External" /><Relationship Id="rId456" Type="http://schemas.openxmlformats.org/officeDocument/2006/relationships/hyperlink" Target="http://data.aade.gr/eli/pri/law/2010/04/23/3842" TargetMode="External" /><Relationship Id="rId457" Type="http://schemas.openxmlformats.org/officeDocument/2006/relationships/hyperlink" Target="http://data.aade.gr/eli/pri/law/2009/05/27/3763" TargetMode="External" /><Relationship Id="rId458" Type="http://schemas.openxmlformats.org/officeDocument/2006/relationships/hyperlink" Target="http://data.aade.gr/eli/pri/law/2009/05/27/3763" TargetMode="External" /><Relationship Id="rId459" Type="http://schemas.openxmlformats.org/officeDocument/2006/relationships/hyperlink" Target="http://data.aade.gr/eli/pri/law/2009/05/27/3763" TargetMode="External" /><Relationship Id="rId46" Type="http://schemas.openxmlformats.org/officeDocument/2006/relationships/hyperlink" Target="http://data.aade.gr/eli/pri/law/2005/02/16/3312" TargetMode="External" /><Relationship Id="rId460" Type="http://schemas.openxmlformats.org/officeDocument/2006/relationships/hyperlink" Target="http://data.aade.gr/eli/pri/law/2009/05/27/3763" TargetMode="External" /><Relationship Id="rId461" Type="http://schemas.openxmlformats.org/officeDocument/2006/relationships/hyperlink" Target="http://data.aade.gr/eli/pri/law/2009/05/27/3763" TargetMode="External" /><Relationship Id="rId462" Type="http://schemas.openxmlformats.org/officeDocument/2006/relationships/hyperlink" Target="http://data.aade.gr/eli/pri/law/2009/05/27/3763" TargetMode="External" /><Relationship Id="rId463" Type="http://schemas.openxmlformats.org/officeDocument/2006/relationships/hyperlink" Target="http://data.aade.gr/eli/pri/law/2020/07/31/4714" TargetMode="External" /><Relationship Id="rId464" Type="http://schemas.openxmlformats.org/officeDocument/2006/relationships/hyperlink" Target="http://data.aade.gr/eli/pri/law/2010/04/23/3842" TargetMode="External" /><Relationship Id="rId465" Type="http://schemas.openxmlformats.org/officeDocument/2006/relationships/hyperlink" Target="http://data.aade.gr/eli/pri/law/2021/07/18/4818" TargetMode="External" /><Relationship Id="rId466" Type="http://schemas.openxmlformats.org/officeDocument/2006/relationships/hyperlink" Target="http://data.aade.gr/eli/pri/law/2002/12/24/3091" TargetMode="External" /><Relationship Id="rId467" Type="http://schemas.openxmlformats.org/officeDocument/2006/relationships/hyperlink" Target="http://data.aade.gr/eli/pri/law/2018/01/17/4512" TargetMode="External" /><Relationship Id="rId468" Type="http://schemas.openxmlformats.org/officeDocument/2006/relationships/hyperlink" Target="http://data.aade.gr/eli/pri/law/2018/01/17/4512" TargetMode="External" /><Relationship Id="rId469" Type="http://schemas.openxmlformats.org/officeDocument/2006/relationships/hyperlink" Target="http://data.aade.gr/eli/pri/law/2010/04/23/3842" TargetMode="External" /><Relationship Id="rId47" Type="http://schemas.openxmlformats.org/officeDocument/2006/relationships/hyperlink" Target="http://data.aade.gr/eli/pri/law/2005/02/16/3312" TargetMode="External" /><Relationship Id="rId470" Type="http://schemas.openxmlformats.org/officeDocument/2006/relationships/hyperlink" Target="http://data.aade.gr/eli/pri/law/2002/03/20/2992" TargetMode="External" /><Relationship Id="rId471" Type="http://schemas.openxmlformats.org/officeDocument/2006/relationships/hyperlink" Target="http://data.aade.gr/eli/pri/law/2020/07/31/4714" TargetMode="External" /><Relationship Id="rId472" Type="http://schemas.openxmlformats.org/officeDocument/2006/relationships/hyperlink" Target="http://data.aade.gr/eli/pri/law/2003/11/20/3193" TargetMode="External" /><Relationship Id="rId473" Type="http://schemas.openxmlformats.org/officeDocument/2006/relationships/hyperlink" Target="http://data.aade.gr/eli/pri/law/2001/10/19/2948" TargetMode="External" /><Relationship Id="rId474" Type="http://schemas.openxmlformats.org/officeDocument/2006/relationships/hyperlink" Target="http://data.aade.gr/eli/pri/law/2011/03/31/3943" TargetMode="External" /><Relationship Id="rId475" Type="http://schemas.openxmlformats.org/officeDocument/2006/relationships/hyperlink" Target="http://data.aade.gr/eli/pri/law/2014/04/07/4254" TargetMode="External" /><Relationship Id="rId476" Type="http://schemas.openxmlformats.org/officeDocument/2006/relationships/hyperlink" Target="http://data.aade.gr/eli/pri/law/2009/05/27/3763" TargetMode="External" /><Relationship Id="rId477" Type="http://schemas.openxmlformats.org/officeDocument/2006/relationships/hyperlink" Target="http://data.aade.gr/eli/pri/law/2006/12/22/3522" TargetMode="External" /><Relationship Id="rId478" Type="http://schemas.openxmlformats.org/officeDocument/2006/relationships/hyperlink" Target="http://data.aade.gr/eli/pri/law/2014/04/07/4254" TargetMode="External" /><Relationship Id="rId479" Type="http://schemas.openxmlformats.org/officeDocument/2006/relationships/hyperlink" Target="http://data.aade.gr/eli/pri/law/2009/05/27/3763" TargetMode="External" /><Relationship Id="rId48" Type="http://schemas.openxmlformats.org/officeDocument/2006/relationships/hyperlink" Target="http://data.aade.gr/eli/pri/law/2013/04/05/4141" TargetMode="External" /><Relationship Id="rId480" Type="http://schemas.openxmlformats.org/officeDocument/2006/relationships/hyperlink" Target="http://data.aade.gr/eli/pri/law/2009/05/27/3763" TargetMode="External" /><Relationship Id="rId481" Type="http://schemas.openxmlformats.org/officeDocument/2006/relationships/hyperlink" Target="http://data.aade.gr/eli/pri/law/2006/12/22/3522" TargetMode="External" /><Relationship Id="rId482" Type="http://schemas.openxmlformats.org/officeDocument/2006/relationships/hyperlink" Target="http://data.aade.gr/eli/pri/law/2006/12/22/3522" TargetMode="External" /><Relationship Id="rId483" Type="http://schemas.openxmlformats.org/officeDocument/2006/relationships/hyperlink" Target="http://data.aade.gr/eli/pri/law/2006/12/22/3522" TargetMode="External" /><Relationship Id="rId484" Type="http://schemas.openxmlformats.org/officeDocument/2006/relationships/hyperlink" Target="http://data.aade.gr/eli/pri/law/2014/08/08/4281" TargetMode="External" /><Relationship Id="rId485" Type="http://schemas.openxmlformats.org/officeDocument/2006/relationships/hyperlink" Target="http://data.aade.gr/eli/pri/law/2014/08/08/4281" TargetMode="External" /><Relationship Id="rId486" Type="http://schemas.openxmlformats.org/officeDocument/2006/relationships/hyperlink" Target="http://data.aade.gr/eli/pri/law/2014/04/07/4254" TargetMode="External" /><Relationship Id="rId487" Type="http://schemas.openxmlformats.org/officeDocument/2006/relationships/hyperlink" Target="http://data.aade.gr/eli/pri/law/2002/09/24/3052" TargetMode="External" /><Relationship Id="rId488" Type="http://schemas.openxmlformats.org/officeDocument/2006/relationships/hyperlink" Target="http://data.aade.gr/eli/pri/law/2004/08/04/3259" TargetMode="External" /><Relationship Id="rId489" Type="http://schemas.openxmlformats.org/officeDocument/2006/relationships/hyperlink" Target="http://data.aade.gr/eli/pri/law/2004/01/28/3220" TargetMode="External" /><Relationship Id="rId49" Type="http://schemas.openxmlformats.org/officeDocument/2006/relationships/hyperlink" Target="http://data.aade.gr/eli/pri/law/2011/03/31/3943" TargetMode="External" /><Relationship Id="rId490" Type="http://schemas.openxmlformats.org/officeDocument/2006/relationships/hyperlink" Target="http://data.aade.gr/eli/pri/law/2011/03/31/3943" TargetMode="External" /><Relationship Id="rId491" Type="http://schemas.openxmlformats.org/officeDocument/2006/relationships/hyperlink" Target="http://data.aade.gr/eli/pri/law/2015/03/21/4321" TargetMode="External" /><Relationship Id="rId492" Type="http://schemas.openxmlformats.org/officeDocument/2006/relationships/hyperlink" Target="http://data.aade.gr/eli/pri/law/2015/03/21/4321" TargetMode="External" /><Relationship Id="rId493" Type="http://schemas.openxmlformats.org/officeDocument/2006/relationships/hyperlink" Target="http://data.aade.gr/eli/pri/law/2015/03/21/4321" TargetMode="External" /><Relationship Id="rId494" Type="http://schemas.openxmlformats.org/officeDocument/2006/relationships/hyperlink" Target="http://data.aade.gr/eli/pri/law/2014/08/08/4281" TargetMode="External" /><Relationship Id="rId495" Type="http://schemas.openxmlformats.org/officeDocument/2006/relationships/hyperlink" Target="http://data.aade.gr/eli/pri/law/2014/04/07/4254" TargetMode="External" /><Relationship Id="rId496" Type="http://schemas.openxmlformats.org/officeDocument/2006/relationships/hyperlink" Target="http://data.aade.gr/eli/pri/law/2013/05/09/4152" TargetMode="External" /><Relationship Id="rId497" Type="http://schemas.openxmlformats.org/officeDocument/2006/relationships/hyperlink" Target="http://data.aade.gr/eli/pri/law/2011/03/31/3943" TargetMode="External" /><Relationship Id="rId498" Type="http://schemas.openxmlformats.org/officeDocument/2006/relationships/hyperlink" Target="http://data.aade.gr/eli/pri/law/2009/05/27/3763" TargetMode="External" /><Relationship Id="rId499" Type="http://schemas.openxmlformats.org/officeDocument/2006/relationships/hyperlink" Target="http://data.aade.gr/eli/pri/law/2001/10/19/2948" TargetMode="External" /><Relationship Id="rId5" Type="http://schemas.openxmlformats.org/officeDocument/2006/relationships/hyperlink" Target="http://data.aade.gr/eli/pri/law/2008/09/25/3697" TargetMode="External" /><Relationship Id="rId50" Type="http://schemas.openxmlformats.org/officeDocument/2006/relationships/hyperlink" Target="http://data.aade.gr/eli/pri/law/2005/02/16/3312" TargetMode="External" /><Relationship Id="rId500" Type="http://schemas.openxmlformats.org/officeDocument/2006/relationships/hyperlink" Target="http://data.aade.gr/eli/pri/law/2015/03/21/4321" TargetMode="External" /><Relationship Id="rId501" Type="http://schemas.openxmlformats.org/officeDocument/2006/relationships/hyperlink" Target="http://data.aade.gr/eli/pri/law/2014/08/08/4281" TargetMode="External" /><Relationship Id="rId502" Type="http://schemas.openxmlformats.org/officeDocument/2006/relationships/hyperlink" Target="http://data.aade.gr/eli/pri/law/2014/08/08/4281" TargetMode="External" /><Relationship Id="rId503" Type="http://schemas.openxmlformats.org/officeDocument/2006/relationships/hyperlink" Target="http://data.aade.gr/eli/pri/law/2014/08/08/4281" TargetMode="External" /><Relationship Id="rId504" Type="http://schemas.openxmlformats.org/officeDocument/2006/relationships/hyperlink" Target="http://data.aade.gr/eli/pri/law/2014/08/08/4281" TargetMode="External" /><Relationship Id="rId505" Type="http://schemas.openxmlformats.org/officeDocument/2006/relationships/hyperlink" Target="http://data.aade.gr/eli/pri/law/2014/08/08/4281" TargetMode="External" /><Relationship Id="rId506" Type="http://schemas.openxmlformats.org/officeDocument/2006/relationships/hyperlink" Target="http://data.aade.gr/eli/pri/law/2014/08/08/4281" TargetMode="External" /><Relationship Id="rId507" Type="http://schemas.openxmlformats.org/officeDocument/2006/relationships/hyperlink" Target="http://data.aade.gr/eli/pri/law/2014/08/08/4281" TargetMode="External" /><Relationship Id="rId508" Type="http://schemas.openxmlformats.org/officeDocument/2006/relationships/hyperlink" Target="http://data.aade.gr/eli/pri/law/2014/08/08/4281" TargetMode="External" /><Relationship Id="rId509" Type="http://schemas.openxmlformats.org/officeDocument/2006/relationships/hyperlink" Target="http://data.aade.gr/eli/pri/law/2014/08/08/4281" TargetMode="External" /><Relationship Id="rId51" Type="http://schemas.openxmlformats.org/officeDocument/2006/relationships/hyperlink" Target="http://data.aade.gr/eli/pri/law/2016/04/03/4375" TargetMode="External" /><Relationship Id="rId510" Type="http://schemas.openxmlformats.org/officeDocument/2006/relationships/hyperlink" Target="http://data.aade.gr/eli/pri/law/2019/12/12/4646" TargetMode="External" /><Relationship Id="rId511" Type="http://schemas.openxmlformats.org/officeDocument/2006/relationships/hyperlink" Target="http://data.aade.gr/eli/pri/law/2014/08/08/4281" TargetMode="External" /><Relationship Id="rId512" Type="http://schemas.openxmlformats.org/officeDocument/2006/relationships/hyperlink" Target="http://data.aade.gr/eli/pri/law/2013/05/09/4152" TargetMode="External" /><Relationship Id="rId513" Type="http://schemas.openxmlformats.org/officeDocument/2006/relationships/hyperlink" Target="http://data.aade.gr/eli/pri/law/2002/12/24/3091" TargetMode="External" /><Relationship Id="rId514" Type="http://schemas.openxmlformats.org/officeDocument/2006/relationships/hyperlink" Target="http://data.aade.gr/eli/pri/law/2001/11/02/2954" TargetMode="External" /><Relationship Id="rId515" Type="http://schemas.openxmlformats.org/officeDocument/2006/relationships/hyperlink" Target="http://data.aade.gr/eli/pri/law/2011/03/31/3943" TargetMode="External" /><Relationship Id="rId516" Type="http://schemas.openxmlformats.org/officeDocument/2006/relationships/hyperlink" Target="http://data.aade.gr/eli/pri/law/2011/03/31/3943" TargetMode="External" /><Relationship Id="rId517" Type="http://schemas.openxmlformats.org/officeDocument/2006/relationships/hyperlink" Target="http://data.aade.gr/eli/pri/law/2002/09/24/3052" TargetMode="External" /><Relationship Id="rId518" Type="http://schemas.openxmlformats.org/officeDocument/2006/relationships/hyperlink" Target="http://data.aade.gr/eli/pri/law/2006/12/22/3522" TargetMode="External" /><Relationship Id="rId519" Type="http://schemas.openxmlformats.org/officeDocument/2006/relationships/hyperlink" Target="http://data.aade.gr/eli/pri/law/2002/09/24/3052" TargetMode="External" /><Relationship Id="rId52" Type="http://schemas.openxmlformats.org/officeDocument/2006/relationships/hyperlink" Target="http://data.aade.gr/eli/pri/law/2014/02/17/4238" TargetMode="External" /><Relationship Id="rId520" Type="http://schemas.openxmlformats.org/officeDocument/2006/relationships/hyperlink" Target="http://data.aade.gr/eli/pri/law/2013/05/09/4152" TargetMode="External" /><Relationship Id="rId521" Type="http://schemas.openxmlformats.org/officeDocument/2006/relationships/hyperlink" Target="http://data.aade.gr/eli/pri/law/2013/05/09/4152" TargetMode="External" /><Relationship Id="rId522" Type="http://schemas.openxmlformats.org/officeDocument/2006/relationships/hyperlink" Target="http://data.aade.gr/eli/pri/law/2013/05/09/4152" TargetMode="External" /><Relationship Id="rId523" Type="http://schemas.openxmlformats.org/officeDocument/2006/relationships/hyperlink" Target="http://data.aade.gr/eli/pri/law/2013/05/09/4152" TargetMode="External" /><Relationship Id="rId524" Type="http://schemas.openxmlformats.org/officeDocument/2006/relationships/hyperlink" Target="http://data.aade.gr/eli/pri/law/2013/05/09/4152" TargetMode="External" /><Relationship Id="rId525" Type="http://schemas.openxmlformats.org/officeDocument/2006/relationships/hyperlink" Target="http://data.aade.gr/eli/pri/law/2011/03/31/3943" TargetMode="External" /><Relationship Id="rId526" Type="http://schemas.openxmlformats.org/officeDocument/2006/relationships/hyperlink" Target="http://data.aade.gr/eli/pri/law/2006/12/22/3522" TargetMode="External" /><Relationship Id="rId527" Type="http://schemas.openxmlformats.org/officeDocument/2006/relationships/hyperlink" Target="http://data.aade.gr/eli/pri/law/2018/06/14/4549" TargetMode="External" /><Relationship Id="rId528" Type="http://schemas.openxmlformats.org/officeDocument/2006/relationships/hyperlink" Target="http://data.aade.gr/eli/pri/law/2018/06/14/4549" TargetMode="External" /><Relationship Id="rId529" Type="http://schemas.openxmlformats.org/officeDocument/2006/relationships/hyperlink" Target="http://data.aade.gr/eli/pri/law/2018/06/14/4549" TargetMode="External" /><Relationship Id="rId53" Type="http://schemas.openxmlformats.org/officeDocument/2006/relationships/hyperlink" Target="http://data.aade.gr/eli/pri/law/2004/12/14/3296" TargetMode="External" /><Relationship Id="rId530" Type="http://schemas.openxmlformats.org/officeDocument/2006/relationships/hyperlink" Target="http://data.aade.gr/eli/pri/law/2018/06/14/4549" TargetMode="External" /><Relationship Id="rId531" Type="http://schemas.openxmlformats.org/officeDocument/2006/relationships/hyperlink" Target="http://data.aade.gr/eli/pri/law/2018/06/14/4549" TargetMode="External" /><Relationship Id="rId532" Type="http://schemas.openxmlformats.org/officeDocument/2006/relationships/hyperlink" Target="http://data.aade.gr/eli/pri/law/2018/06/14/4549" TargetMode="External" /><Relationship Id="rId533" Type="http://schemas.openxmlformats.org/officeDocument/2006/relationships/hyperlink" Target="http://data.aade.gr/eli/pri/law/2018/06/14/4549" TargetMode="External" /><Relationship Id="rId534" Type="http://schemas.openxmlformats.org/officeDocument/2006/relationships/hyperlink" Target="http://data.aade.gr/eli/pri/law/2018/06/14/4549" TargetMode="External" /><Relationship Id="rId535" Type="http://schemas.openxmlformats.org/officeDocument/2006/relationships/hyperlink" Target="http://data.aade.gr/eli/pri/law/2018/06/14/4549" TargetMode="External" /><Relationship Id="rId536" Type="http://schemas.openxmlformats.org/officeDocument/2006/relationships/hyperlink" Target="http://data.aade.gr/eli/pri/law/2018/06/14/4549" TargetMode="External" /><Relationship Id="rId537" Type="http://schemas.openxmlformats.org/officeDocument/2006/relationships/hyperlink" Target="http://data.aade.gr/eli/pri/law/2018/06/14/4549" TargetMode="External" /><Relationship Id="rId538" Type="http://schemas.openxmlformats.org/officeDocument/2006/relationships/hyperlink" Target="http://data.aade.gr/eli/pri/law/2018/06/14/4549" TargetMode="External" /><Relationship Id="rId539" Type="http://schemas.openxmlformats.org/officeDocument/2006/relationships/hyperlink" Target="http://data.aade.gr/eli/pri/law/2002/09/24/3052" TargetMode="External" /><Relationship Id="rId54" Type="http://schemas.openxmlformats.org/officeDocument/2006/relationships/hyperlink" Target="http://data.aade.gr/eli/pri/law/2020/07/31/4714" TargetMode="External" /><Relationship Id="rId540" Type="http://schemas.openxmlformats.org/officeDocument/2006/relationships/hyperlink" Target="http://data.aade.gr/eli/pri/law/2018/06/14/4549" TargetMode="External" /><Relationship Id="rId541" Type="http://schemas.openxmlformats.org/officeDocument/2006/relationships/hyperlink" Target="http://data.aade.gr/eli/pri/law/2010/04/23/3842" TargetMode="External" /><Relationship Id="rId542" Type="http://schemas.openxmlformats.org/officeDocument/2006/relationships/hyperlink" Target="http://data.aade.gr/eli/pri/law/2018/06/14/4549" TargetMode="External" /><Relationship Id="rId543" Type="http://schemas.openxmlformats.org/officeDocument/2006/relationships/hyperlink" Target="http://data.aade.gr/eli/pri/law/2010/04/23/3842" TargetMode="External" /><Relationship Id="rId544" Type="http://schemas.openxmlformats.org/officeDocument/2006/relationships/hyperlink" Target="http://data.aade.gr/eli/pri/law/2011/03/31/3943" TargetMode="External" /><Relationship Id="rId545" Type="http://schemas.openxmlformats.org/officeDocument/2006/relationships/hyperlink" Target="http://data.aade.gr/eli/pri/law/2002/12/24/3091" TargetMode="External" /><Relationship Id="rId546" Type="http://schemas.openxmlformats.org/officeDocument/2006/relationships/hyperlink" Target="http://data.aade.gr/eli/pri/law/2006/12/22/3522" TargetMode="External" /><Relationship Id="rId547" Type="http://schemas.openxmlformats.org/officeDocument/2006/relationships/hyperlink" Target="http://data.aade.gr/eli/pri/law/2002/12/24/3091" TargetMode="External" /><Relationship Id="rId548" Type="http://schemas.openxmlformats.org/officeDocument/2006/relationships/hyperlink" Target="http://data.aade.gr/eli/pri/law/2006/12/22/3522" TargetMode="External" /><Relationship Id="rId549" Type="http://schemas.openxmlformats.org/officeDocument/2006/relationships/hyperlink" Target="http://data.aade.gr/eli/pri/law/2002/12/24/3091" TargetMode="External" /><Relationship Id="rId55" Type="http://schemas.openxmlformats.org/officeDocument/2006/relationships/hyperlink" Target="http://data.aade.gr/eli/pri/law/2020/07/31/4714" TargetMode="External" /><Relationship Id="rId550" Type="http://schemas.openxmlformats.org/officeDocument/2006/relationships/hyperlink" Target="http://data.aade.gr/eli/pri/law/2011/03/31/3943" TargetMode="External" /><Relationship Id="rId551" Type="http://schemas.openxmlformats.org/officeDocument/2006/relationships/hyperlink" Target="http://data.aade.gr/eli/pri/law/2015/12/04/4351" TargetMode="External" /><Relationship Id="rId552" Type="http://schemas.openxmlformats.org/officeDocument/2006/relationships/hyperlink" Target="http://data.aade.gr/eli/pri/law/2015/10/29/4339" TargetMode="External" /><Relationship Id="rId553" Type="http://schemas.openxmlformats.org/officeDocument/2006/relationships/hyperlink" Target="http://data.aade.gr/eli/pri/law/2014/08/08/4281" TargetMode="External" /><Relationship Id="rId554" Type="http://schemas.openxmlformats.org/officeDocument/2006/relationships/hyperlink" Target="http://data.aade.gr/eli/pri/law/2017/08/01/4484" TargetMode="External" /><Relationship Id="rId555" Type="http://schemas.openxmlformats.org/officeDocument/2006/relationships/hyperlink" Target="http://data.aade.gr/eli/pri/law/2017/08/01/4484" TargetMode="External" /><Relationship Id="rId556" Type="http://schemas.openxmlformats.org/officeDocument/2006/relationships/hyperlink" Target="http://data.aade.gr/eli/pri/law/2014/05/05/4261" TargetMode="External" /><Relationship Id="rId557" Type="http://schemas.openxmlformats.org/officeDocument/2006/relationships/hyperlink" Target="http://data.aade.gr/eli/pri/law/2016/12/22/4446" TargetMode="External" /><Relationship Id="rId558" Type="http://schemas.openxmlformats.org/officeDocument/2006/relationships/hyperlink" Target="http://data.aade.gr/eli/pri/law/2014/05/05/4261" TargetMode="External" /><Relationship Id="rId559" Type="http://schemas.openxmlformats.org/officeDocument/2006/relationships/hyperlink" Target="http://data.aade.gr/eli/pri/law/2016/12/22/4446" TargetMode="External" /><Relationship Id="rId56" Type="http://schemas.openxmlformats.org/officeDocument/2006/relationships/hyperlink" Target="http://data.aade.gr/eli/pri/law/2020/07/31/4714" TargetMode="External" /><Relationship Id="rId560" Type="http://schemas.openxmlformats.org/officeDocument/2006/relationships/hyperlink" Target="http://data.aade.gr/eli/pri/law/2014/05/05/4261" TargetMode="External" /><Relationship Id="rId561" Type="http://schemas.openxmlformats.org/officeDocument/2006/relationships/hyperlink" Target="http://data.aade.gr/eli/pri/law/2016/12/22/4446" TargetMode="External" /><Relationship Id="rId562" Type="http://schemas.openxmlformats.org/officeDocument/2006/relationships/hyperlink" Target="http://data.aade.gr/eli/pri/law/2014/05/05/4261" TargetMode="External" /><Relationship Id="rId563" Type="http://schemas.openxmlformats.org/officeDocument/2006/relationships/hyperlink" Target="http://data.aade.gr/eli/pri/law/2016/12/22/4446" TargetMode="External" /><Relationship Id="rId564" Type="http://schemas.openxmlformats.org/officeDocument/2006/relationships/hyperlink" Target="http://data.aade.gr/eli/pri/law/2014/05/05/4261" TargetMode="External" /><Relationship Id="rId565" Type="http://schemas.openxmlformats.org/officeDocument/2006/relationships/hyperlink" Target="http://data.aade.gr/eli/pri/law/2016/12/22/4446" TargetMode="External" /><Relationship Id="rId566" Type="http://schemas.openxmlformats.org/officeDocument/2006/relationships/hyperlink" Target="http://data.aade.gr/eli/pri/law/2014/05/05/4261" TargetMode="External" /><Relationship Id="rId567" Type="http://schemas.openxmlformats.org/officeDocument/2006/relationships/hyperlink" Target="http://data.aade.gr/eli/pri/law/2014/05/05/4261" TargetMode="External" /><Relationship Id="rId568" Type="http://schemas.openxmlformats.org/officeDocument/2006/relationships/hyperlink" Target="http://data.aade.gr/eli/pri/law/2014/05/05/4261" TargetMode="External" /><Relationship Id="rId569" Type="http://schemas.openxmlformats.org/officeDocument/2006/relationships/hyperlink" Target="http://data.aade.gr/eli/pri/law/2016/12/22/4446" TargetMode="External" /><Relationship Id="rId57" Type="http://schemas.openxmlformats.org/officeDocument/2006/relationships/hyperlink" Target="http://data.aade.gr/eli/pri/law/2020/07/31/4714" TargetMode="External" /><Relationship Id="rId570" Type="http://schemas.openxmlformats.org/officeDocument/2006/relationships/hyperlink" Target="http://data.aade.gr/eli/pri/law/2014/05/05/4261" TargetMode="External" /><Relationship Id="rId571" Type="http://schemas.openxmlformats.org/officeDocument/2006/relationships/hyperlink" Target="http://data.aade.gr/eli/pri/law/2014/05/05/4261" TargetMode="External" /><Relationship Id="rId572" Type="http://schemas.openxmlformats.org/officeDocument/2006/relationships/hyperlink" Target="http://data.aade.gr/eli/pri/law/2002/09/24/3052" TargetMode="External" /><Relationship Id="rId573" Type="http://schemas.openxmlformats.org/officeDocument/2006/relationships/hyperlink" Target="http://data.aade.gr/eli/pri/law/2014/04/07/4254" TargetMode="External" /><Relationship Id="rId574" Type="http://schemas.openxmlformats.org/officeDocument/2006/relationships/hyperlink" Target="http://data.aade.gr/eli/pri/law/2017/04/13/4467" TargetMode="External" /><Relationship Id="rId575" Type="http://schemas.openxmlformats.org/officeDocument/2006/relationships/hyperlink" Target="http://data.aade.gr/eli/pri/law/2016/08/03/4410" TargetMode="External" /><Relationship Id="rId576" Type="http://schemas.openxmlformats.org/officeDocument/2006/relationships/hyperlink" Target="http://data.aade.gr/eli/pri/law/2014/04/07/4254" TargetMode="External" /><Relationship Id="rId577" Type="http://schemas.openxmlformats.org/officeDocument/2006/relationships/hyperlink" Target="http://data.aade.gr/eli/pri/law/2016/08/03/4410" TargetMode="External" /><Relationship Id="rId578" Type="http://schemas.openxmlformats.org/officeDocument/2006/relationships/hyperlink" Target="http://data.aade.gr/eli/pri/law/2014/04/07/4254" TargetMode="External" /><Relationship Id="rId579" Type="http://schemas.openxmlformats.org/officeDocument/2006/relationships/hyperlink" Target="http://data.aade.gr/eli/pri/law/2010/04/23/3842" TargetMode="External" /><Relationship Id="rId58" Type="http://schemas.openxmlformats.org/officeDocument/2006/relationships/hyperlink" Target="http://data.aade.gr/eli/pri/law/2020/07/31/4714" TargetMode="External" /><Relationship Id="rId580" Type="http://schemas.openxmlformats.org/officeDocument/2006/relationships/hyperlink" Target="http://data.aade.gr/eli/pri/law/2007/04/16/3554" TargetMode="External" /><Relationship Id="rId581" Type="http://schemas.openxmlformats.org/officeDocument/2006/relationships/hyperlink" Target="http://data.aade.gr/eli/pri/law/2006/12/22/3522" TargetMode="External" /><Relationship Id="rId582" Type="http://schemas.openxmlformats.org/officeDocument/2006/relationships/hyperlink" Target="http://data.aade.gr/eli/pri/law/2016/08/03/4410" TargetMode="External" /><Relationship Id="rId583" Type="http://schemas.openxmlformats.org/officeDocument/2006/relationships/hyperlink" Target="http://data.aade.gr/eli/pri/law/2014/04/07/4254" TargetMode="External" /><Relationship Id="rId584" Type="http://schemas.openxmlformats.org/officeDocument/2006/relationships/hyperlink" Target="http://data.aade.gr/eli/pri/law/2010/04/23/3842" TargetMode="External" /><Relationship Id="rId585" Type="http://schemas.openxmlformats.org/officeDocument/2006/relationships/hyperlink" Target="http://data.aade.gr/eli/pri/law/2016/08/03/4410" TargetMode="External" /><Relationship Id="rId586" Type="http://schemas.openxmlformats.org/officeDocument/2006/relationships/hyperlink" Target="http://data.aade.gr/eli/pri/law/2014/04/07/4254" TargetMode="External" /><Relationship Id="rId587" Type="http://schemas.openxmlformats.org/officeDocument/2006/relationships/hyperlink" Target="http://data.aade.gr/eli/pri/law/2011/03/31/3943" TargetMode="External" /><Relationship Id="rId588" Type="http://schemas.openxmlformats.org/officeDocument/2006/relationships/hyperlink" Target="http://data.aade.gr/eli/pri/law/2010/04/23/3842" TargetMode="External" /><Relationship Id="rId589" Type="http://schemas.openxmlformats.org/officeDocument/2006/relationships/hyperlink" Target="http://data.aade.gr/eli/pri/law/2016/08/03/4410" TargetMode="External" /><Relationship Id="rId59" Type="http://schemas.openxmlformats.org/officeDocument/2006/relationships/hyperlink" Target="http://data.aade.gr/eli/pri/law/2020/07/31/4714" TargetMode="External" /><Relationship Id="rId590" Type="http://schemas.openxmlformats.org/officeDocument/2006/relationships/hyperlink" Target="http://data.aade.gr/eli/pri/law/2016/08/03/4410" TargetMode="External" /><Relationship Id="rId591" Type="http://schemas.openxmlformats.org/officeDocument/2006/relationships/hyperlink" Target="http://data.aade.gr/eli/pri/law/2016/08/03/4410" TargetMode="External" /><Relationship Id="rId592" Type="http://schemas.openxmlformats.org/officeDocument/2006/relationships/hyperlink" Target="http://data.aade.gr/eli/pri/law/2014/04/07/4254" TargetMode="External" /><Relationship Id="rId593" Type="http://schemas.openxmlformats.org/officeDocument/2006/relationships/hyperlink" Target="http://data.aade.gr/eli/pri/law/2010/04/23/3842" TargetMode="External" /><Relationship Id="rId594" Type="http://schemas.openxmlformats.org/officeDocument/2006/relationships/hyperlink" Target="http://data.aade.gr/eli/pri/law/2016/08/03/4410" TargetMode="External" /><Relationship Id="rId595" Type="http://schemas.openxmlformats.org/officeDocument/2006/relationships/hyperlink" Target="http://data.aade.gr/eli/pri/law/2016/08/03/4410" TargetMode="External" /><Relationship Id="rId596" Type="http://schemas.openxmlformats.org/officeDocument/2006/relationships/hyperlink" Target="http://data.aade.gr/eli/pri/law/2016/08/03/4410" TargetMode="External" /><Relationship Id="rId597" Type="http://schemas.openxmlformats.org/officeDocument/2006/relationships/hyperlink" Target="http://data.aade.gr/eli/pri/law/2021/02/05/4772" TargetMode="External" /><Relationship Id="rId598" Type="http://schemas.openxmlformats.org/officeDocument/2006/relationships/hyperlink" Target="http://data.aade.gr/eli/pri/law/2016/08/03/4410" TargetMode="External" /><Relationship Id="rId599" Type="http://schemas.openxmlformats.org/officeDocument/2006/relationships/hyperlink" Target="http://data.aade.gr/eli/pri/law/2010/04/23/3842" TargetMode="External" /><Relationship Id="rId6" Type="http://schemas.openxmlformats.org/officeDocument/2006/relationships/hyperlink" Target="http://data.aade.gr/eli/pri/law/2008/09/25/3697" TargetMode="External" /><Relationship Id="rId60" Type="http://schemas.openxmlformats.org/officeDocument/2006/relationships/hyperlink" Target="http://data.aade.gr/eli/pri/law/2020/07/31/4714" TargetMode="External" /><Relationship Id="rId600" Type="http://schemas.openxmlformats.org/officeDocument/2006/relationships/hyperlink" Target="http://data.aade.gr/eli/pri/law/2016/08/03/4410" TargetMode="External" /><Relationship Id="rId601" Type="http://schemas.openxmlformats.org/officeDocument/2006/relationships/hyperlink" Target="http://data.aade.gr/eli/pri/law/2016/08/03/4410" TargetMode="External" /><Relationship Id="rId602" Type="http://schemas.openxmlformats.org/officeDocument/2006/relationships/hyperlink" Target="http://data.aade.gr/eli/pri/law/2016/08/03/4410" TargetMode="External" /><Relationship Id="rId603" Type="http://schemas.openxmlformats.org/officeDocument/2006/relationships/hyperlink" Target="http://data.aade.gr/eli/pri/law/2016/08/03/4410" TargetMode="External" /><Relationship Id="rId604" Type="http://schemas.openxmlformats.org/officeDocument/2006/relationships/hyperlink" Target="http://data.aade.gr/eli/pri/law/2016/08/03/4410" TargetMode="External" /><Relationship Id="rId605" Type="http://schemas.openxmlformats.org/officeDocument/2006/relationships/hyperlink" Target="http://data.aade.gr/eli/pri/law/2014/04/07/4254" TargetMode="External" /><Relationship Id="rId606" Type="http://schemas.openxmlformats.org/officeDocument/2006/relationships/hyperlink" Target="http://data.aade.gr/eli/pri/law/2007/11/22/3610" TargetMode="External" /><Relationship Id="rId607" Type="http://schemas.openxmlformats.org/officeDocument/2006/relationships/hyperlink" Target="http://data.aade.gr/eli/pri/law/2002/09/24/3052" TargetMode="External" /><Relationship Id="rId608" Type="http://schemas.openxmlformats.org/officeDocument/2006/relationships/hyperlink" Target="http://data.aade.gr/eli/pri/law/2016/08/03/4410" TargetMode="External" /><Relationship Id="rId609" Type="http://schemas.openxmlformats.org/officeDocument/2006/relationships/hyperlink" Target="http://data.aade.gr/eli/pri/law/2016/08/03/4410" TargetMode="External" /><Relationship Id="rId61" Type="http://schemas.openxmlformats.org/officeDocument/2006/relationships/hyperlink" Target="http://data.aade.gr/eli/pri/law/2020/07/31/4714" TargetMode="External" /><Relationship Id="rId610" Type="http://schemas.openxmlformats.org/officeDocument/2006/relationships/hyperlink" Target="http://data.aade.gr/eli/pri/law/2016/08/03/4410" TargetMode="External" /><Relationship Id="rId611" Type="http://schemas.openxmlformats.org/officeDocument/2006/relationships/hyperlink" Target="http://data.aade.gr/eli/pri/law/2016/08/03/4410" TargetMode="External" /><Relationship Id="rId612" Type="http://schemas.openxmlformats.org/officeDocument/2006/relationships/hyperlink" Target="http://data.aade.gr/eli/pri/law/2016/08/03/4410" TargetMode="External" /><Relationship Id="rId613" Type="http://schemas.openxmlformats.org/officeDocument/2006/relationships/hyperlink" Target="http://data.aade.gr/eli/pri/law/2016/08/03/4410" TargetMode="External" /><Relationship Id="rId614" Type="http://schemas.openxmlformats.org/officeDocument/2006/relationships/hyperlink" Target="http://data.aade.gr/eli/pri/law/2014/04/07/4254" TargetMode="External" /><Relationship Id="rId615" Type="http://schemas.openxmlformats.org/officeDocument/2006/relationships/hyperlink" Target="http://data.aade.gr/eli/pri/law/2016/08/03/4410" TargetMode="External" /><Relationship Id="rId616" Type="http://schemas.openxmlformats.org/officeDocument/2006/relationships/hyperlink" Target="http://data.aade.gr/eli/pri/law/2016/08/03/4410" TargetMode="External" /><Relationship Id="rId617" Type="http://schemas.openxmlformats.org/officeDocument/2006/relationships/hyperlink" Target="http://data.aade.gr/eli/pri/law/2016/08/03/4410" TargetMode="External" /><Relationship Id="rId618" Type="http://schemas.openxmlformats.org/officeDocument/2006/relationships/hyperlink" Target="http://data.aade.gr/eli/pri/law/2014/04/07/4254" TargetMode="External" /><Relationship Id="rId619" Type="http://schemas.openxmlformats.org/officeDocument/2006/relationships/hyperlink" Target="http://data.aade.gr/eli/pri/law/2014/04/07/4254" TargetMode="External" /><Relationship Id="rId62" Type="http://schemas.openxmlformats.org/officeDocument/2006/relationships/hyperlink" Target="http://data.aade.gr/eli/pri/law/2020/07/31/4714" TargetMode="External" /><Relationship Id="rId620" Type="http://schemas.openxmlformats.org/officeDocument/2006/relationships/hyperlink" Target="http://data.aade.gr/eli/pri/law/2016/08/03/4410" TargetMode="External" /><Relationship Id="rId621" Type="http://schemas.openxmlformats.org/officeDocument/2006/relationships/hyperlink" Target="http://data.aade.gr/eli/pri/law/2017/04/13/4467" TargetMode="External" /><Relationship Id="rId622" Type="http://schemas.openxmlformats.org/officeDocument/2006/relationships/hyperlink" Target="http://data.aade.gr/eli/pri/law/2016/08/03/4410" TargetMode="External" /><Relationship Id="rId623" Type="http://schemas.openxmlformats.org/officeDocument/2006/relationships/hyperlink" Target="http://data.aade.gr/eli/pri/law/2014/04/07/4254" TargetMode="External" /><Relationship Id="rId624" Type="http://schemas.openxmlformats.org/officeDocument/2006/relationships/hyperlink" Target="http://data.aade.gr/eli/pri/law/2016/08/03/4410" TargetMode="External" /><Relationship Id="rId625" Type="http://schemas.openxmlformats.org/officeDocument/2006/relationships/hyperlink" Target="http://data.aade.gr/eli/pri/law/2014/04/07/4254" TargetMode="External" /><Relationship Id="rId626" Type="http://schemas.openxmlformats.org/officeDocument/2006/relationships/hyperlink" Target="http://data.aade.gr/eli/pri/law/2016/08/03/4410" TargetMode="External" /><Relationship Id="rId627" Type="http://schemas.openxmlformats.org/officeDocument/2006/relationships/hyperlink" Target="http://data.aade.gr/eli/pri/law/2016/08/03/4410" TargetMode="External" /><Relationship Id="rId628" Type="http://schemas.openxmlformats.org/officeDocument/2006/relationships/hyperlink" Target="http://data.aade.gr/eli/pri/law/2016/08/03/4410" TargetMode="External" /><Relationship Id="rId629" Type="http://schemas.openxmlformats.org/officeDocument/2006/relationships/hyperlink" Target="http://data.aade.gr/eli/pri/law/2016/08/03/4410" TargetMode="External" /><Relationship Id="rId63" Type="http://schemas.openxmlformats.org/officeDocument/2006/relationships/hyperlink" Target="http://data.aade.gr/eli/pri/law/2020/07/31/4714" TargetMode="External" /><Relationship Id="rId630" Type="http://schemas.openxmlformats.org/officeDocument/2006/relationships/hyperlink" Target="http://data.aade.gr/eli/pri/law/2014/04/07/4254" TargetMode="External" /><Relationship Id="rId631" Type="http://schemas.openxmlformats.org/officeDocument/2006/relationships/hyperlink" Target="http://data.aade.gr/eli/pri/law/2016/08/03/4410" TargetMode="External" /><Relationship Id="rId632" Type="http://schemas.openxmlformats.org/officeDocument/2006/relationships/hyperlink" Target="http://data.aade.gr/eli/pri/law/2014/04/07/4254" TargetMode="External" /><Relationship Id="rId633" Type="http://schemas.openxmlformats.org/officeDocument/2006/relationships/hyperlink" Target="http://data.aade.gr/eli/pri/law/2004/01/28/3220" TargetMode="External" /><Relationship Id="rId634" Type="http://schemas.openxmlformats.org/officeDocument/2006/relationships/hyperlink" Target="http://data.aade.gr/eli/pri/law/2002/12/24/3091" TargetMode="External" /><Relationship Id="rId635" Type="http://schemas.openxmlformats.org/officeDocument/2006/relationships/hyperlink" Target="http://data.aade.gr/eli/pri/law/2004/01/28/3220" TargetMode="External" /><Relationship Id="rId636" Type="http://schemas.openxmlformats.org/officeDocument/2006/relationships/hyperlink" Target="http://data.aade.gr/eli/pri/law/2002/09/24/3052" TargetMode="External" /><Relationship Id="rId637" Type="http://schemas.openxmlformats.org/officeDocument/2006/relationships/hyperlink" Target="http://data.aade.gr/eli/pri/law/2001/11/02/2954" TargetMode="External" /><Relationship Id="rId638" Type="http://schemas.openxmlformats.org/officeDocument/2006/relationships/hyperlink" Target="http://data.aade.gr/eli/pri/law/2002/12/24/3091" TargetMode="External" /><Relationship Id="rId639" Type="http://schemas.openxmlformats.org/officeDocument/2006/relationships/hyperlink" Target="http://data.aade.gr/eli/pri/law/2021/07/18/4818" TargetMode="External" /><Relationship Id="rId64" Type="http://schemas.openxmlformats.org/officeDocument/2006/relationships/hyperlink" Target="http://data.aade.gr/eli/pri/law/2020/07/31/4714" TargetMode="External" /><Relationship Id="rId640" Type="http://schemas.openxmlformats.org/officeDocument/2006/relationships/hyperlink" Target="http://data.aade.gr/eli/pri/law/2021/07/18/4818" TargetMode="External" /><Relationship Id="rId641" Type="http://schemas.openxmlformats.org/officeDocument/2006/relationships/hyperlink" Target="http://data.aade.gr/eli/pri/law/2021/07/18/4818" TargetMode="External" /><Relationship Id="rId642" Type="http://schemas.openxmlformats.org/officeDocument/2006/relationships/hyperlink" Target="http://data.aade.gr/eli/pri/law/2014/12/24/4316" TargetMode="External" /><Relationship Id="rId643" Type="http://schemas.openxmlformats.org/officeDocument/2006/relationships/hyperlink" Target="http://data.aade.gr/eli/pri/law/2021/07/18/4818" TargetMode="External" /><Relationship Id="rId644" Type="http://schemas.openxmlformats.org/officeDocument/2006/relationships/hyperlink" Target="http://data.aade.gr/eli/pri/law/2014/12/24/4316" TargetMode="External" /><Relationship Id="rId645" Type="http://schemas.openxmlformats.org/officeDocument/2006/relationships/hyperlink" Target="http://data.aade.gr/eli/pri/law/2021/07/18/4818" TargetMode="External" /><Relationship Id="rId646" Type="http://schemas.openxmlformats.org/officeDocument/2006/relationships/hyperlink" Target="http://data.aade.gr/eli/pri/law/2021/07/18/4818" TargetMode="External" /><Relationship Id="rId647" Type="http://schemas.openxmlformats.org/officeDocument/2006/relationships/hyperlink" Target="http://data.aade.gr/eli/pri/law/2021/07/18/4818" TargetMode="External" /><Relationship Id="rId648" Type="http://schemas.openxmlformats.org/officeDocument/2006/relationships/hyperlink" Target="http://data.aade.gr/eli/pri/law/2021/07/18/4818" TargetMode="External" /><Relationship Id="rId649" Type="http://schemas.openxmlformats.org/officeDocument/2006/relationships/hyperlink" Target="http://data.aade.gr/eli/pri/law/2021/07/18/4818" TargetMode="External" /><Relationship Id="rId65" Type="http://schemas.openxmlformats.org/officeDocument/2006/relationships/hyperlink" Target="http://data.aade.gr/eli/pri/law/2020/07/31/4714" TargetMode="External" /><Relationship Id="rId650" Type="http://schemas.openxmlformats.org/officeDocument/2006/relationships/hyperlink" Target="http://data.aade.gr/eli/pri/law/2021/07/18/4818" TargetMode="External" /><Relationship Id="rId651" Type="http://schemas.openxmlformats.org/officeDocument/2006/relationships/hyperlink" Target="http://data.aade.gr/eli/pri/law/2021/07/18/4818" TargetMode="External" /><Relationship Id="rId652" Type="http://schemas.openxmlformats.org/officeDocument/2006/relationships/hyperlink" Target="http://data.aade.gr/eli/pri/law/2021/07/18/4818" TargetMode="External" /><Relationship Id="rId653" Type="http://schemas.openxmlformats.org/officeDocument/2006/relationships/hyperlink" Target="http://data.aade.gr/eli/pri/law/2021/07/18/4818" TargetMode="External" /><Relationship Id="rId654" Type="http://schemas.openxmlformats.org/officeDocument/2006/relationships/hyperlink" Target="http://data.aade.gr/eli/pri/law/2021/07/18/4818" TargetMode="External" /><Relationship Id="rId655" Type="http://schemas.openxmlformats.org/officeDocument/2006/relationships/hyperlink" Target="http://data.aade.gr/eli/pri/law/2021/07/18/4818" TargetMode="External" /><Relationship Id="rId656" Type="http://schemas.openxmlformats.org/officeDocument/2006/relationships/hyperlink" Target="http://data.aade.gr/eli/pri/law/2021/07/18/4818" TargetMode="External" /><Relationship Id="rId657" Type="http://schemas.openxmlformats.org/officeDocument/2006/relationships/hyperlink" Target="http://data.aade.gr/eli/pri/law/2021/07/18/4818" TargetMode="External" /><Relationship Id="rId658" Type="http://schemas.openxmlformats.org/officeDocument/2006/relationships/hyperlink" Target="http://data.aade.gr/eli/pri/law/2021/07/18/4818" TargetMode="External" /><Relationship Id="rId659" Type="http://schemas.openxmlformats.org/officeDocument/2006/relationships/hyperlink" Target="http://data.aade.gr/eli/pri/law/2021/07/18/4818" TargetMode="External" /><Relationship Id="rId66" Type="http://schemas.openxmlformats.org/officeDocument/2006/relationships/hyperlink" Target="http://data.aade.gr/eli/pri/law/2020/07/31/4714" TargetMode="External" /><Relationship Id="rId660" Type="http://schemas.openxmlformats.org/officeDocument/2006/relationships/hyperlink" Target="http://data.aade.gr/eli/pri/law/2021/07/18/4818" TargetMode="External" /><Relationship Id="rId661" Type="http://schemas.openxmlformats.org/officeDocument/2006/relationships/hyperlink" Target="http://data.aade.gr/eli/pri/law/2021/07/18/4818" TargetMode="External" /><Relationship Id="rId662" Type="http://schemas.openxmlformats.org/officeDocument/2006/relationships/hyperlink" Target="http://data.aade.gr/eli/pri/law/2021/07/18/4818" TargetMode="External" /><Relationship Id="rId663" Type="http://schemas.openxmlformats.org/officeDocument/2006/relationships/hyperlink" Target="http://data.aade.gr/eli/pri/law/2021/07/18/4818" TargetMode="External" /><Relationship Id="rId664" Type="http://schemas.openxmlformats.org/officeDocument/2006/relationships/hyperlink" Target="http://data.aade.gr/eli/pri/law/2021/07/18/4818" TargetMode="External" /><Relationship Id="rId665" Type="http://schemas.openxmlformats.org/officeDocument/2006/relationships/hyperlink" Target="http://data.aade.gr/eli/pri/law/2021/07/18/4818" TargetMode="External" /><Relationship Id="rId666" Type="http://schemas.openxmlformats.org/officeDocument/2006/relationships/hyperlink" Target="http://data.aade.gr/eli/pri/law/2021/07/18/4818" TargetMode="External" /><Relationship Id="rId667" Type="http://schemas.openxmlformats.org/officeDocument/2006/relationships/hyperlink" Target="http://data.aade.gr/eli/pri/law/2021/07/18/4818" TargetMode="External" /><Relationship Id="rId668" Type="http://schemas.openxmlformats.org/officeDocument/2006/relationships/hyperlink" Target="http://data.aade.gr/eli/pri/law/2021/07/18/4818" TargetMode="External" /><Relationship Id="rId669" Type="http://schemas.openxmlformats.org/officeDocument/2006/relationships/hyperlink" Target="http://data.aade.gr/eli/pri/law/2021/07/18/4818" TargetMode="External" /><Relationship Id="rId67" Type="http://schemas.openxmlformats.org/officeDocument/2006/relationships/hyperlink" Target="http://data.aade.gr/eli/pri/law/2020/07/31/4714" TargetMode="External" /><Relationship Id="rId670" Type="http://schemas.openxmlformats.org/officeDocument/2006/relationships/hyperlink" Target="http://data.aade.gr/eli/pri/law/2021/07/18/4818" TargetMode="External" /><Relationship Id="rId671" Type="http://schemas.openxmlformats.org/officeDocument/2006/relationships/hyperlink" Target="http://data.aade.gr/eli/pri/law/2021/07/18/4818" TargetMode="External" /><Relationship Id="rId672" Type="http://schemas.openxmlformats.org/officeDocument/2006/relationships/hyperlink" Target="http://data.aade.gr/eli/pri/law/2021/07/18/4818" TargetMode="External" /><Relationship Id="rId673" Type="http://schemas.openxmlformats.org/officeDocument/2006/relationships/hyperlink" Target="http://data.aade.gr/eli/pri/law/2021/07/18/4818" TargetMode="External" /><Relationship Id="rId674" Type="http://schemas.openxmlformats.org/officeDocument/2006/relationships/hyperlink" Target="http://data.aade.gr/eli/pri/law/2021/07/18/4818" TargetMode="External" /><Relationship Id="rId675" Type="http://schemas.openxmlformats.org/officeDocument/2006/relationships/hyperlink" Target="http://data.aade.gr/eli/pri/law/2021/07/18/4818" TargetMode="External" /><Relationship Id="rId676" Type="http://schemas.openxmlformats.org/officeDocument/2006/relationships/hyperlink" Target="http://data.aade.gr/eli/pri/law/2014/12/24/4316" TargetMode="External" /><Relationship Id="rId677" Type="http://schemas.openxmlformats.org/officeDocument/2006/relationships/hyperlink" Target="http://data.aade.gr/eli/pri/law/2021/07/18/4818" TargetMode="External" /><Relationship Id="rId678" Type="http://schemas.openxmlformats.org/officeDocument/2006/relationships/hyperlink" Target="http://data.aade.gr/eli/pri/law/2014/12/24/4316" TargetMode="External" /><Relationship Id="rId679" Type="http://schemas.openxmlformats.org/officeDocument/2006/relationships/hyperlink" Target="http://data.aade.gr/eli/pri/law/2021/07/18/4818" TargetMode="External" /><Relationship Id="rId68" Type="http://schemas.openxmlformats.org/officeDocument/2006/relationships/hyperlink" Target="http://data.aade.gr/eli/pri/law/2020/07/31/4714" TargetMode="External" /><Relationship Id="rId680" Type="http://schemas.openxmlformats.org/officeDocument/2006/relationships/hyperlink" Target="http://data.aade.gr/eli/pri/law/2021/07/18/4818" TargetMode="External" /><Relationship Id="rId681" Type="http://schemas.openxmlformats.org/officeDocument/2006/relationships/hyperlink" Target="http://data.aade.gr/eli/pri/law/2021/07/18/4818" TargetMode="External" /><Relationship Id="rId682" Type="http://schemas.openxmlformats.org/officeDocument/2006/relationships/hyperlink" Target="http://data.aade.gr/eli/pri/law/2021/07/18/4818" TargetMode="External" /><Relationship Id="rId683" Type="http://schemas.openxmlformats.org/officeDocument/2006/relationships/hyperlink" Target="http://data.aade.gr/eli/pri/law/2021/07/18/4818" TargetMode="External" /><Relationship Id="rId684" Type="http://schemas.openxmlformats.org/officeDocument/2006/relationships/hyperlink" Target="http://data.aade.gr/eli/pri/law/2021/07/18/4818" TargetMode="External" /><Relationship Id="rId685" Type="http://schemas.openxmlformats.org/officeDocument/2006/relationships/hyperlink" Target="http://data.aade.gr/eli/pri/law/2021/07/18/4818" TargetMode="External" /><Relationship Id="rId686" Type="http://schemas.openxmlformats.org/officeDocument/2006/relationships/hyperlink" Target="http://data.aade.gr/eli/pri/law/2021/07/18/4818" TargetMode="External" /><Relationship Id="rId687" Type="http://schemas.openxmlformats.org/officeDocument/2006/relationships/hyperlink" Target="http://data.aade.gr/eli/pri/law/2021/07/18/4818" TargetMode="External" /><Relationship Id="rId688" Type="http://schemas.openxmlformats.org/officeDocument/2006/relationships/hyperlink" Target="http://data.aade.gr/eli/pri/law/2021/07/18/4818" TargetMode="External" /><Relationship Id="rId689" Type="http://schemas.openxmlformats.org/officeDocument/2006/relationships/hyperlink" Target="http://data.aade.gr/eli/pri/law/2021/07/18/4818" TargetMode="External" /><Relationship Id="rId69" Type="http://schemas.openxmlformats.org/officeDocument/2006/relationships/hyperlink" Target="http://data.aade.gr/eli/pri/law/2020/07/31/4714" TargetMode="External" /><Relationship Id="rId690" Type="http://schemas.openxmlformats.org/officeDocument/2006/relationships/hyperlink" Target="http://data.aade.gr/eli/pri/law/2021/07/18/4818" TargetMode="External" /><Relationship Id="rId691" Type="http://schemas.openxmlformats.org/officeDocument/2006/relationships/hyperlink" Target="http://data.aade.gr/eli/pri/law/2021/07/18/4818" TargetMode="External" /><Relationship Id="rId692" Type="http://schemas.openxmlformats.org/officeDocument/2006/relationships/hyperlink" Target="http://data.aade.gr/eli/pri/law/2021/07/18/4818" TargetMode="External" /><Relationship Id="rId693" Type="http://schemas.openxmlformats.org/officeDocument/2006/relationships/hyperlink" Target="http://data.aade.gr/eli/pri/law/2021/07/18/4818" TargetMode="External" /><Relationship Id="rId694" Type="http://schemas.openxmlformats.org/officeDocument/2006/relationships/hyperlink" Target="http://data.aade.gr/eli/pri/law/2021/07/18/4818" TargetMode="External" /><Relationship Id="rId695" Type="http://schemas.openxmlformats.org/officeDocument/2006/relationships/hyperlink" Target="http://data.aade.gr/eli/pri/law/2021/07/18/4818" TargetMode="External" /><Relationship Id="rId696" Type="http://schemas.openxmlformats.org/officeDocument/2006/relationships/hyperlink" Target="http://data.aade.gr/eli/pri/law/2021/07/18/4818" TargetMode="External" /><Relationship Id="rId697" Type="http://schemas.openxmlformats.org/officeDocument/2006/relationships/hyperlink" Target="http://data.aade.gr/eli/pri/law/2021/07/18/4818" TargetMode="External" /><Relationship Id="rId698" Type="http://schemas.openxmlformats.org/officeDocument/2006/relationships/hyperlink" Target="http://data.aade.gr/eli/pri/law/2021/07/18/4818" TargetMode="External" /><Relationship Id="rId699" Type="http://schemas.openxmlformats.org/officeDocument/2006/relationships/hyperlink" Target="http://data.aade.gr/eli/pri/law/2021/07/18/4818" TargetMode="External" /><Relationship Id="rId7" Type="http://schemas.openxmlformats.org/officeDocument/2006/relationships/hyperlink" Target="http://data.aade.gr/eli/pri/law/2008/09/25/3697" TargetMode="External" /><Relationship Id="rId70" Type="http://schemas.openxmlformats.org/officeDocument/2006/relationships/hyperlink" Target="http://data.aade.gr/eli/pri/law/2020/07/31/4714" TargetMode="External" /><Relationship Id="rId700" Type="http://schemas.openxmlformats.org/officeDocument/2006/relationships/hyperlink" Target="http://data.aade.gr/eli/pri/law/2021/07/18/4818" TargetMode="External" /><Relationship Id="rId701" Type="http://schemas.openxmlformats.org/officeDocument/2006/relationships/hyperlink" Target="http://data.aade.gr/eli/pri/law/2021/07/18/4818" TargetMode="External" /><Relationship Id="rId702" Type="http://schemas.openxmlformats.org/officeDocument/2006/relationships/hyperlink" Target="http://data.aade.gr/eli/pri/law/2021/07/18/4818" TargetMode="External" /><Relationship Id="rId703" Type="http://schemas.openxmlformats.org/officeDocument/2006/relationships/hyperlink" Target="http://data.aade.gr/eli/pri/law/2021/07/18/4818" TargetMode="External" /><Relationship Id="rId704" Type="http://schemas.openxmlformats.org/officeDocument/2006/relationships/hyperlink" Target="http://data.aade.gr/eli/pri/law/2021/07/18/4818" TargetMode="External" /><Relationship Id="rId705" Type="http://schemas.openxmlformats.org/officeDocument/2006/relationships/hyperlink" Target="http://data.aade.gr/eli/pri/law/2021/07/18/4818" TargetMode="External" /><Relationship Id="rId706" Type="http://schemas.openxmlformats.org/officeDocument/2006/relationships/hyperlink" Target="http://data.aade.gr/eli/pri/law/2021/07/18/4818" TargetMode="External" /><Relationship Id="rId707" Type="http://schemas.openxmlformats.org/officeDocument/2006/relationships/hyperlink" Target="http://data.aade.gr/eli/pri/law/2021/07/18/4818" TargetMode="External" /><Relationship Id="rId708" Type="http://schemas.openxmlformats.org/officeDocument/2006/relationships/hyperlink" Target="http://data.aade.gr/eli/pri/law/2021/07/18/4818" TargetMode="External" /><Relationship Id="rId709" Type="http://schemas.openxmlformats.org/officeDocument/2006/relationships/hyperlink" Target="http://data.aade.gr/eli/pri/law/2021/07/18/4818" TargetMode="External" /><Relationship Id="rId71" Type="http://schemas.openxmlformats.org/officeDocument/2006/relationships/hyperlink" Target="http://data.aade.gr/eli/pri/law/2020/07/31/4714" TargetMode="External" /><Relationship Id="rId710" Type="http://schemas.openxmlformats.org/officeDocument/2006/relationships/hyperlink" Target="http://data.aade.gr/eli/pri/law/2021/07/18/4818" TargetMode="External" /><Relationship Id="rId711" Type="http://schemas.openxmlformats.org/officeDocument/2006/relationships/hyperlink" Target="http://data.aade.gr/eli/pri/law/2021/07/18/4818" TargetMode="External" /><Relationship Id="rId712" Type="http://schemas.openxmlformats.org/officeDocument/2006/relationships/hyperlink" Target="http://data.aade.gr/eli/pri/law/2021/07/18/4818" TargetMode="External" /><Relationship Id="rId713" Type="http://schemas.openxmlformats.org/officeDocument/2006/relationships/hyperlink" Target="http://data.aade.gr/eli/pri/law/2021/07/18/4818" TargetMode="External" /><Relationship Id="rId714" Type="http://schemas.openxmlformats.org/officeDocument/2006/relationships/hyperlink" Target="http://data.aade.gr/eli/pri/law/2021/07/18/4818" TargetMode="External" /><Relationship Id="rId715" Type="http://schemas.openxmlformats.org/officeDocument/2006/relationships/hyperlink" Target="http://data.aade.gr/eli/pri/law/2021/07/18/4818" TargetMode="External" /><Relationship Id="rId716" Type="http://schemas.openxmlformats.org/officeDocument/2006/relationships/hyperlink" Target="http://data.aade.gr/eli/pri/law/2021/07/18/4818" TargetMode="External" /><Relationship Id="rId717" Type="http://schemas.openxmlformats.org/officeDocument/2006/relationships/hyperlink" Target="http://data.aade.gr/eli/pri/law/2021/07/18/4818" TargetMode="External" /><Relationship Id="rId718" Type="http://schemas.openxmlformats.org/officeDocument/2006/relationships/hyperlink" Target="http://data.aade.gr/eli/pri/law/2021/07/18/4818" TargetMode="External" /><Relationship Id="rId719" Type="http://schemas.openxmlformats.org/officeDocument/2006/relationships/hyperlink" Target="http://data.aade.gr/eli/pri/law/2021/07/18/4818" TargetMode="External" /><Relationship Id="rId72" Type="http://schemas.openxmlformats.org/officeDocument/2006/relationships/hyperlink" Target="http://data.aade.gr/eli/pri/law/2020/07/31/4714" TargetMode="External" /><Relationship Id="rId720" Type="http://schemas.openxmlformats.org/officeDocument/2006/relationships/hyperlink" Target="http://data.aade.gr/eli/pri/law/2021/07/18/4818" TargetMode="External" /><Relationship Id="rId721" Type="http://schemas.openxmlformats.org/officeDocument/2006/relationships/hyperlink" Target="http://data.aade.gr/eli/pri/law/2021/07/18/4818" TargetMode="External" /><Relationship Id="rId722" Type="http://schemas.openxmlformats.org/officeDocument/2006/relationships/hyperlink" Target="http://data.aade.gr/eli/pri/law/2021/07/18/4818" TargetMode="External" /><Relationship Id="rId723" Type="http://schemas.openxmlformats.org/officeDocument/2006/relationships/hyperlink" Target="http://data.aade.gr/eli/pri/law/2021/07/18/4818" TargetMode="External" /><Relationship Id="rId724" Type="http://schemas.openxmlformats.org/officeDocument/2006/relationships/hyperlink" Target="http://data.aade.gr/eli/pri/law/2021/07/18/4818" TargetMode="External" /><Relationship Id="rId725" Type="http://schemas.openxmlformats.org/officeDocument/2006/relationships/hyperlink" Target="http://data.aade.gr/eli/pri/law/2021/07/18/4818" TargetMode="External" /><Relationship Id="rId726" Type="http://schemas.openxmlformats.org/officeDocument/2006/relationships/hyperlink" Target="http://data.aade.gr/eli/pri/law/2021/07/18/4818" TargetMode="External" /><Relationship Id="rId727" Type="http://schemas.openxmlformats.org/officeDocument/2006/relationships/hyperlink" Target="http://data.aade.gr/eli/pri/law/2021/07/18/4818" TargetMode="External" /><Relationship Id="rId728" Type="http://schemas.openxmlformats.org/officeDocument/2006/relationships/hyperlink" Target="http://data.aade.gr/eli/pri/law/2021/07/18/4818" TargetMode="External" /><Relationship Id="rId729" Type="http://schemas.openxmlformats.org/officeDocument/2006/relationships/hyperlink" Target="http://data.aade.gr/eli/pri/law/2021/07/18/4818" TargetMode="External" /><Relationship Id="rId73" Type="http://schemas.openxmlformats.org/officeDocument/2006/relationships/hyperlink" Target="http://data.aade.gr/eli/pri/law/2020/07/31/4714" TargetMode="External" /><Relationship Id="rId730" Type="http://schemas.openxmlformats.org/officeDocument/2006/relationships/hyperlink" Target="http://data.aade.gr/eli/pri/law/2021/07/18/4818" TargetMode="External" /><Relationship Id="rId731" Type="http://schemas.openxmlformats.org/officeDocument/2006/relationships/hyperlink" Target="http://data.aade.gr/eli/pri/law/2021/07/18/4818" TargetMode="External" /><Relationship Id="rId732" Type="http://schemas.openxmlformats.org/officeDocument/2006/relationships/hyperlink" Target="http://data.aade.gr/eli/pri/law/2021/07/18/4818" TargetMode="External" /><Relationship Id="rId733" Type="http://schemas.openxmlformats.org/officeDocument/2006/relationships/hyperlink" Target="http://data.aade.gr/eli/pri/law/2021/07/18/4818" TargetMode="External" /><Relationship Id="rId734" Type="http://schemas.openxmlformats.org/officeDocument/2006/relationships/hyperlink" Target="http://data.aade.gr/eli/pri/law/2021/07/18/4818" TargetMode="External" /><Relationship Id="rId735" Type="http://schemas.openxmlformats.org/officeDocument/2006/relationships/hyperlink" Target="http://data.aade.gr/eli/pri/law/2021/07/18/4818" TargetMode="External" /><Relationship Id="rId736" Type="http://schemas.openxmlformats.org/officeDocument/2006/relationships/hyperlink" Target="http://data.aade.gr/eli/pri/law/2021/07/18/4818" TargetMode="External" /><Relationship Id="rId737" Type="http://schemas.openxmlformats.org/officeDocument/2006/relationships/hyperlink" Target="http://data.aade.gr/eli/pri/law/2021/07/18/4818" TargetMode="External" /><Relationship Id="rId738" Type="http://schemas.openxmlformats.org/officeDocument/2006/relationships/hyperlink" Target="http://data.aade.gr/eli/pri/law/2021/07/18/4818" TargetMode="External" /><Relationship Id="rId739" Type="http://schemas.openxmlformats.org/officeDocument/2006/relationships/hyperlink" Target="http://data.aade.gr/eli/pri/law/2021/07/18/4818" TargetMode="External" /><Relationship Id="rId74" Type="http://schemas.openxmlformats.org/officeDocument/2006/relationships/hyperlink" Target="http://data.aade.gr/eli/pri/law/2020/07/31/4714" TargetMode="External" /><Relationship Id="rId740" Type="http://schemas.openxmlformats.org/officeDocument/2006/relationships/hyperlink" Target="http://data.aade.gr/eli/pri/law/2021/07/18/4818" TargetMode="External" /><Relationship Id="rId741" Type="http://schemas.openxmlformats.org/officeDocument/2006/relationships/hyperlink" Target="http://data.aade.gr/eli/pri/law/2021/07/18/4818" TargetMode="External" /><Relationship Id="rId742" Type="http://schemas.openxmlformats.org/officeDocument/2006/relationships/hyperlink" Target="http://data.aade.gr/eli/pri/law/2021/07/18/4818" TargetMode="External" /><Relationship Id="rId743" Type="http://schemas.openxmlformats.org/officeDocument/2006/relationships/hyperlink" Target="http://data.aade.gr/eli/pri/law/2021/07/18/4818" TargetMode="External" /><Relationship Id="rId744" Type="http://schemas.openxmlformats.org/officeDocument/2006/relationships/hyperlink" Target="http://data.aade.gr/eli/pri/law/2021/07/18/4818" TargetMode="External" /><Relationship Id="rId745" Type="http://schemas.openxmlformats.org/officeDocument/2006/relationships/hyperlink" Target="http://data.aade.gr/eli/pri/law/2021/07/18/4818" TargetMode="External" /><Relationship Id="rId746" Type="http://schemas.openxmlformats.org/officeDocument/2006/relationships/hyperlink" Target="http://data.aade.gr/eli/pri/law/2021/07/18/4818" TargetMode="External" /><Relationship Id="rId747" Type="http://schemas.openxmlformats.org/officeDocument/2006/relationships/hyperlink" Target="http://data.aade.gr/eli/pri/law/2021/07/18/4818" TargetMode="External" /><Relationship Id="rId748" Type="http://schemas.openxmlformats.org/officeDocument/2006/relationships/hyperlink" Target="http://data.aade.gr/eli/pri/law/2021/07/18/4818" TargetMode="External" /><Relationship Id="rId749" Type="http://schemas.openxmlformats.org/officeDocument/2006/relationships/hyperlink" Target="http://data.aade.gr/eli/pri/law/2021/07/18/4818" TargetMode="External" /><Relationship Id="rId75" Type="http://schemas.openxmlformats.org/officeDocument/2006/relationships/hyperlink" Target="http://data.aade.gr/eli/pri/law/2020/07/31/4714" TargetMode="External" /><Relationship Id="rId750" Type="http://schemas.openxmlformats.org/officeDocument/2006/relationships/hyperlink" Target="http://data.aade.gr/eli/pri/law/2021/07/18/4818" TargetMode="External" /><Relationship Id="rId751" Type="http://schemas.openxmlformats.org/officeDocument/2006/relationships/hyperlink" Target="http://data.aade.gr/eli/pri/law/2021/07/18/4818" TargetMode="External" /><Relationship Id="rId752" Type="http://schemas.openxmlformats.org/officeDocument/2006/relationships/hyperlink" Target="http://data.aade.gr/eli/pri/law/2021/07/18/4818" TargetMode="External" /><Relationship Id="rId753" Type="http://schemas.openxmlformats.org/officeDocument/2006/relationships/hyperlink" Target="http://data.aade.gr/eli/pri/law/2021/07/18/4818" TargetMode="External" /><Relationship Id="rId754" Type="http://schemas.openxmlformats.org/officeDocument/2006/relationships/hyperlink" Target="http://data.aade.gr/eli/pri/law/2021/07/18/4818" TargetMode="External" /><Relationship Id="rId755" Type="http://schemas.openxmlformats.org/officeDocument/2006/relationships/hyperlink" Target="http://data.aade.gr/eli/pri/law/2021/07/18/4818" TargetMode="External" /><Relationship Id="rId756" Type="http://schemas.openxmlformats.org/officeDocument/2006/relationships/hyperlink" Target="http://data.aade.gr/eli/pri/law/2021/07/18/4818" TargetMode="External" /><Relationship Id="rId757" Type="http://schemas.openxmlformats.org/officeDocument/2006/relationships/hyperlink" Target="http://data.aade.gr/eli/pri/law/2021/07/18/4818" TargetMode="External" /><Relationship Id="rId758" Type="http://schemas.openxmlformats.org/officeDocument/2006/relationships/hyperlink" Target="http://data.aade.gr/eli/pri/law/2021/07/18/4818" TargetMode="External" /><Relationship Id="rId759" Type="http://schemas.openxmlformats.org/officeDocument/2006/relationships/hyperlink" Target="http://data.aade.gr/eli/pri/law/2021/07/18/4818" TargetMode="External" /><Relationship Id="rId76" Type="http://schemas.openxmlformats.org/officeDocument/2006/relationships/hyperlink" Target="http://data.aade.gr/eli/pri/law/2020/07/31/4714" TargetMode="External" /><Relationship Id="rId760" Type="http://schemas.openxmlformats.org/officeDocument/2006/relationships/hyperlink" Target="http://data.aade.gr/eli/pri/law/2021/07/18/4818" TargetMode="External" /><Relationship Id="rId761" Type="http://schemas.openxmlformats.org/officeDocument/2006/relationships/hyperlink" Target="http://data.aade.gr/eli/pri/law/2021/07/18/4818" TargetMode="External" /><Relationship Id="rId762" Type="http://schemas.openxmlformats.org/officeDocument/2006/relationships/hyperlink" Target="http://data.aade.gr/eli/pri/law/2021/07/18/4818" TargetMode="External" /><Relationship Id="rId763" Type="http://schemas.openxmlformats.org/officeDocument/2006/relationships/hyperlink" Target="http://data.aade.gr/eli/pri/law/2021/07/18/4818" TargetMode="External" /><Relationship Id="rId764" Type="http://schemas.openxmlformats.org/officeDocument/2006/relationships/hyperlink" Target="http://data.aade.gr/eli/pri/law/2021/07/18/4818" TargetMode="External" /><Relationship Id="rId765" Type="http://schemas.openxmlformats.org/officeDocument/2006/relationships/hyperlink" Target="http://data.aade.gr/eli/pri/law/2021/07/18/4818" TargetMode="External" /><Relationship Id="rId766" Type="http://schemas.openxmlformats.org/officeDocument/2006/relationships/hyperlink" Target="http://data.aade.gr/eli/pri/law/2021/07/18/4818" TargetMode="External" /><Relationship Id="rId767" Type="http://schemas.openxmlformats.org/officeDocument/2006/relationships/hyperlink" Target="http://data.aade.gr/eli/pri/law/2021/07/18/4818" TargetMode="External" /><Relationship Id="rId768" Type="http://schemas.openxmlformats.org/officeDocument/2006/relationships/hyperlink" Target="http://data.aade.gr/eli/pri/law/2021/07/18/4818" TargetMode="External" /><Relationship Id="rId769" Type="http://schemas.openxmlformats.org/officeDocument/2006/relationships/hyperlink" Target="http://data.aade.gr/eli/pri/law/2021/07/18/4818" TargetMode="External" /><Relationship Id="rId77" Type="http://schemas.openxmlformats.org/officeDocument/2006/relationships/hyperlink" Target="http://data.aade.gr/eli/pri/law/2020/07/31/4714" TargetMode="External" /><Relationship Id="rId770" Type="http://schemas.openxmlformats.org/officeDocument/2006/relationships/hyperlink" Target="http://data.aade.gr/eli/pri/law/2021/07/18/4818" TargetMode="External" /><Relationship Id="rId771" Type="http://schemas.openxmlformats.org/officeDocument/2006/relationships/hyperlink" Target="http://data.aade.gr/eli/pri/law/2021/07/18/4818" TargetMode="External" /><Relationship Id="rId772" Type="http://schemas.openxmlformats.org/officeDocument/2006/relationships/hyperlink" Target="http://data.aade.gr/eli/pri/law/2021/07/18/4818" TargetMode="External" /><Relationship Id="rId773" Type="http://schemas.openxmlformats.org/officeDocument/2006/relationships/hyperlink" Target="http://data.aade.gr/eli/pri/law/2021/07/18/4818" TargetMode="External" /><Relationship Id="rId774" Type="http://schemas.openxmlformats.org/officeDocument/2006/relationships/hyperlink" Target="http://data.aade.gr/eli/pri/law/2021/07/18/4818" TargetMode="External" /><Relationship Id="rId775" Type="http://schemas.openxmlformats.org/officeDocument/2006/relationships/hyperlink" Target="http://data.aade.gr/eli/pri/law/2021/07/18/4818" TargetMode="External" /><Relationship Id="rId776" Type="http://schemas.openxmlformats.org/officeDocument/2006/relationships/hyperlink" Target="http://data.aade.gr/eli/pri/law/2021/07/18/4818" TargetMode="External" /><Relationship Id="rId777" Type="http://schemas.openxmlformats.org/officeDocument/2006/relationships/hyperlink" Target="http://data.aade.gr/eli/pri/law/2021/07/18/4818" TargetMode="External" /><Relationship Id="rId778" Type="http://schemas.openxmlformats.org/officeDocument/2006/relationships/hyperlink" Target="http://data.aade.gr/eli/pri/law/2021/07/18/4818" TargetMode="External" /><Relationship Id="rId779" Type="http://schemas.openxmlformats.org/officeDocument/2006/relationships/hyperlink" Target="http://data.aade.gr/eli/pri/law/2021/07/18/4818" TargetMode="External" /><Relationship Id="rId78" Type="http://schemas.openxmlformats.org/officeDocument/2006/relationships/hyperlink" Target="http://data.aade.gr/eli/pri/law/2020/07/31/4714" TargetMode="External" /><Relationship Id="rId780" Type="http://schemas.openxmlformats.org/officeDocument/2006/relationships/hyperlink" Target="http://data.aade.gr/eli/pri/law/2021/07/18/4818" TargetMode="External" /><Relationship Id="rId781" Type="http://schemas.openxmlformats.org/officeDocument/2006/relationships/hyperlink" Target="http://data.aade.gr/eli/pri/law/2021/07/18/4818" TargetMode="External" /><Relationship Id="rId782" Type="http://schemas.openxmlformats.org/officeDocument/2006/relationships/hyperlink" Target="http://data.aade.gr/eli/pri/law/2021/07/18/4818" TargetMode="External" /><Relationship Id="rId783" Type="http://schemas.openxmlformats.org/officeDocument/2006/relationships/hyperlink" Target="http://data.aade.gr/eli/pri/law/2021/07/18/4818" TargetMode="External" /><Relationship Id="rId784" Type="http://schemas.openxmlformats.org/officeDocument/2006/relationships/hyperlink" Target="http://data.aade.gr/eli/pri/law/2021/07/18/4818" TargetMode="External" /><Relationship Id="rId785" Type="http://schemas.openxmlformats.org/officeDocument/2006/relationships/hyperlink" Target="http://data.aade.gr/eli/pri/law/2021/07/18/4818" TargetMode="External" /><Relationship Id="rId786" Type="http://schemas.openxmlformats.org/officeDocument/2006/relationships/hyperlink" Target="http://data.aade.gr/eli/pri/law/2021/07/18/4818" TargetMode="External" /><Relationship Id="rId787" Type="http://schemas.openxmlformats.org/officeDocument/2006/relationships/hyperlink" Target="http://data.aade.gr/eli/pri/law/2021/07/18/4818" TargetMode="External" /><Relationship Id="rId788" Type="http://schemas.openxmlformats.org/officeDocument/2006/relationships/hyperlink" Target="http://data.aade.gr/eli/pri/law/2021/07/18/4818" TargetMode="External" /><Relationship Id="rId789" Type="http://schemas.openxmlformats.org/officeDocument/2006/relationships/hyperlink" Target="http://data.aade.gr/eli/pri/law/2021/07/18/4818" TargetMode="External" /><Relationship Id="rId79" Type="http://schemas.openxmlformats.org/officeDocument/2006/relationships/hyperlink" Target="http://data.aade.gr/eli/pri/law/2020/07/31/4714" TargetMode="External" /><Relationship Id="rId790" Type="http://schemas.openxmlformats.org/officeDocument/2006/relationships/hyperlink" Target="http://data.aade.gr/eli/pri/law/2021/07/18/4818" TargetMode="External" /><Relationship Id="rId791" Type="http://schemas.openxmlformats.org/officeDocument/2006/relationships/hyperlink" Target="http://data.aade.gr/eli/pri/law/2021/07/18/4818" TargetMode="External" /><Relationship Id="rId792" Type="http://schemas.openxmlformats.org/officeDocument/2006/relationships/hyperlink" Target="http://data.aade.gr/eli/pri/law/2021/07/18/4818" TargetMode="External" /><Relationship Id="rId793" Type="http://schemas.openxmlformats.org/officeDocument/2006/relationships/hyperlink" Target="http://data.aade.gr/eli/pri/law/2021/07/18/4818" TargetMode="External" /><Relationship Id="rId794" Type="http://schemas.openxmlformats.org/officeDocument/2006/relationships/hyperlink" Target="http://data.aade.gr/eli/pri/law/2021/07/18/4818" TargetMode="External" /><Relationship Id="rId795" Type="http://schemas.openxmlformats.org/officeDocument/2006/relationships/hyperlink" Target="http://data.aade.gr/eli/pri/law/2021/07/18/4818" TargetMode="External" /><Relationship Id="rId796" Type="http://schemas.openxmlformats.org/officeDocument/2006/relationships/hyperlink" Target="http://data.aade.gr/eli/pri/law/2021/07/18/4818" TargetMode="External" /><Relationship Id="rId797" Type="http://schemas.openxmlformats.org/officeDocument/2006/relationships/hyperlink" Target="http://data.aade.gr/eli/pri/law/2021/07/18/4818" TargetMode="External" /><Relationship Id="rId798" Type="http://schemas.openxmlformats.org/officeDocument/2006/relationships/hyperlink" Target="http://data.aade.gr/eli/pri/law/2021/07/18/4818" TargetMode="External" /><Relationship Id="rId799" Type="http://schemas.openxmlformats.org/officeDocument/2006/relationships/hyperlink" Target="http://data.aade.gr/eli/pri/law/2021/07/18/4818" TargetMode="External" /><Relationship Id="rId8" Type="http://schemas.openxmlformats.org/officeDocument/2006/relationships/hyperlink" Target="http://data.aade.gr/eli/pri/law/2008/09/25/3697" TargetMode="External" /><Relationship Id="rId80" Type="http://schemas.openxmlformats.org/officeDocument/2006/relationships/hyperlink" Target="http://data.aade.gr/eli/pri/law/2020/07/31/4714" TargetMode="External" /><Relationship Id="rId800" Type="http://schemas.openxmlformats.org/officeDocument/2006/relationships/hyperlink" Target="http://data.aade.gr/eli/pri/law/2021/07/18/4818" TargetMode="External" /><Relationship Id="rId801" Type="http://schemas.openxmlformats.org/officeDocument/2006/relationships/hyperlink" Target="http://data.aade.gr/eli/pri/law/2021/07/18/4818" TargetMode="External" /><Relationship Id="rId802" Type="http://schemas.openxmlformats.org/officeDocument/2006/relationships/hyperlink" Target="http://data.aade.gr/eli/pri/law/2021/07/18/4818" TargetMode="External" /><Relationship Id="rId803" Type="http://schemas.openxmlformats.org/officeDocument/2006/relationships/hyperlink" Target="http://data.aade.gr/eli/pri/law/2021/07/18/4818" TargetMode="External" /><Relationship Id="rId804" Type="http://schemas.openxmlformats.org/officeDocument/2006/relationships/hyperlink" Target="http://data.aade.gr/eli/pri/law/2021/07/18/4818" TargetMode="External" /><Relationship Id="rId805" Type="http://schemas.openxmlformats.org/officeDocument/2006/relationships/hyperlink" Target="http://data.aade.gr/eli/pri/law/2021/07/18/4818" TargetMode="External" /><Relationship Id="rId806" Type="http://schemas.openxmlformats.org/officeDocument/2006/relationships/hyperlink" Target="http://data.aade.gr/eli/pri/law/2021/07/18/4818" TargetMode="External" /><Relationship Id="rId807" Type="http://schemas.openxmlformats.org/officeDocument/2006/relationships/hyperlink" Target="http://data.aade.gr/eli/pri/law/2021/07/18/4818" TargetMode="External" /><Relationship Id="rId808" Type="http://schemas.openxmlformats.org/officeDocument/2006/relationships/hyperlink" Target="http://data.aade.gr/eli/pri/law/2021/07/18/4818" TargetMode="External" /><Relationship Id="rId809" Type="http://schemas.openxmlformats.org/officeDocument/2006/relationships/hyperlink" Target="http://data.aade.gr/eli/pri/law/2021/07/18/4818" TargetMode="External" /><Relationship Id="rId81" Type="http://schemas.openxmlformats.org/officeDocument/2006/relationships/hyperlink" Target="http://data.aade.gr/eli/pri/law/2013/01/23/4110" TargetMode="External" /><Relationship Id="rId810" Type="http://schemas.openxmlformats.org/officeDocument/2006/relationships/hyperlink" Target="http://data.aade.gr/eli/pri/law/2005/12/27/3427" TargetMode="External" /><Relationship Id="rId811" Type="http://schemas.openxmlformats.org/officeDocument/2006/relationships/hyperlink" Target="http://data.aade.gr/eli/pri/law/2011/03/31/3943" TargetMode="External" /><Relationship Id="rId812" Type="http://schemas.openxmlformats.org/officeDocument/2006/relationships/hyperlink" Target="http://data.aade.gr/eli/pri/law/2011/03/31/3943" TargetMode="External" /><Relationship Id="rId813" Type="http://schemas.openxmlformats.org/officeDocument/2006/relationships/hyperlink" Target="http://data.aade.gr/eli/pri/law/2011/03/31/3943" TargetMode="External" /><Relationship Id="rId814" Type="http://schemas.openxmlformats.org/officeDocument/2006/relationships/hyperlink" Target="http://data.aade.gr/eli/pri/law/2001/10/19/2948" TargetMode="External" /><Relationship Id="rId815" Type="http://schemas.openxmlformats.org/officeDocument/2006/relationships/hyperlink" Target="http://data.aade.gr/eli/pri/law/2009/05/27/3763" TargetMode="External" /><Relationship Id="rId816" Type="http://schemas.openxmlformats.org/officeDocument/2006/relationships/hyperlink" Target="http://data.aade.gr/eli/pri/law/2007/11/22/3610" TargetMode="External" /><Relationship Id="rId817" Type="http://schemas.openxmlformats.org/officeDocument/2006/relationships/hyperlink" Target="http://data.aade.gr/eli/pri/law/2015/03/21/4321" TargetMode="External" /><Relationship Id="rId818" Type="http://schemas.openxmlformats.org/officeDocument/2006/relationships/hyperlink" Target="http://data.aade.gr/eli/pri/law/2013/05/09/4152" TargetMode="External" /><Relationship Id="rId819" Type="http://schemas.openxmlformats.org/officeDocument/2006/relationships/hyperlink" Target="http://data.aade.gr/eli/pri/law/2013/05/09/4152" TargetMode="External" /><Relationship Id="rId82" Type="http://schemas.openxmlformats.org/officeDocument/2006/relationships/hyperlink" Target="http://data.aade.gr/eli/pri/law/2013/11/28/4211" TargetMode="External" /><Relationship Id="rId820" Type="http://schemas.openxmlformats.org/officeDocument/2006/relationships/hyperlink" Target="http://data.aade.gr/eli/pri/law/2013/05/09/4152" TargetMode="External" /><Relationship Id="rId821" Type="http://schemas.openxmlformats.org/officeDocument/2006/relationships/hyperlink" Target="http://data.aade.gr/eli/pri/law/2009/05/27/3763" TargetMode="External" /><Relationship Id="rId822" Type="http://schemas.openxmlformats.org/officeDocument/2006/relationships/hyperlink" Target="http://data.aade.gr/eli/pri/law/2005/12/27/3427" TargetMode="External" /><Relationship Id="rId823" Type="http://schemas.openxmlformats.org/officeDocument/2006/relationships/hyperlink" Target="http://data.aade.gr/eli/pri/law/2011/03/31/3943" TargetMode="External" /><Relationship Id="rId824" Type="http://schemas.openxmlformats.org/officeDocument/2006/relationships/hyperlink" Target="http://data.aade.gr/eli/pri/law/2011/03/31/3943" TargetMode="External" /><Relationship Id="rId825" Type="http://schemas.openxmlformats.org/officeDocument/2006/relationships/hyperlink" Target="http://data.aade.gr/eli/pri/law/2011/03/31/3943" TargetMode="External" /><Relationship Id="rId826" Type="http://schemas.openxmlformats.org/officeDocument/2006/relationships/hyperlink" Target="http://data.aade.gr/eli/pri/law/2011/03/31/3943" TargetMode="External" /><Relationship Id="rId827" Type="http://schemas.openxmlformats.org/officeDocument/2006/relationships/hyperlink" Target="http://data.aade.gr/eli/pri/law/2015/08/14/4336" TargetMode="External" /><Relationship Id="rId828" Type="http://schemas.openxmlformats.org/officeDocument/2006/relationships/hyperlink" Target="http://data.aade.gr/eli/pri/law/2015/03/21/4321" TargetMode="External" /><Relationship Id="rId829" Type="http://schemas.openxmlformats.org/officeDocument/2006/relationships/hyperlink" Target="http://data.aade.gr/eli/pri/law/2013/05/09/4152" TargetMode="External" /><Relationship Id="rId83" Type="http://schemas.openxmlformats.org/officeDocument/2006/relationships/hyperlink" Target="http://data.aade.gr/eli/pri/law/2013/01/23/4110" TargetMode="External" /><Relationship Id="rId830" Type="http://schemas.openxmlformats.org/officeDocument/2006/relationships/hyperlink" Target="http://data.aade.gr/eli/pri/law/2015/08/14/4336" TargetMode="External" /><Relationship Id="rId831" Type="http://schemas.openxmlformats.org/officeDocument/2006/relationships/hyperlink" Target="http://data.aade.gr/eli/pri/law/2015/08/14/4336" TargetMode="External" /><Relationship Id="rId832" Type="http://schemas.openxmlformats.org/officeDocument/2006/relationships/hyperlink" Target="http://data.aade.gr/eli/pri/law/2009/05/27/3763" TargetMode="External" /><Relationship Id="rId833" Type="http://schemas.openxmlformats.org/officeDocument/2006/relationships/hyperlink" Target="http://data.aade.gr/eli/pri/law/2011/03/31/3943" TargetMode="External" /><Relationship Id="rId834" Type="http://schemas.openxmlformats.org/officeDocument/2006/relationships/hyperlink" Target="http://data.aade.gr/eli/pri/law/2013/05/09/4152" TargetMode="External" /><Relationship Id="rId835" Type="http://schemas.openxmlformats.org/officeDocument/2006/relationships/hyperlink" Target="http://data.aade.gr/eli/pri/law/2011/03/31/3943" TargetMode="External" /><Relationship Id="rId836" Type="http://schemas.openxmlformats.org/officeDocument/2006/relationships/hyperlink" Target="http://data.aade.gr/eli/pri/law/2013/05/09/4152" TargetMode="External" /><Relationship Id="rId837" Type="http://schemas.openxmlformats.org/officeDocument/2006/relationships/hyperlink" Target="http://data.aade.gr/eli/pri/law/2011/03/31/3943" TargetMode="External" /><Relationship Id="rId838" Type="http://schemas.openxmlformats.org/officeDocument/2006/relationships/hyperlink" Target="http://data.aade.gr/eli/pri/law/2013/05/09/4152" TargetMode="External" /><Relationship Id="rId839" Type="http://schemas.openxmlformats.org/officeDocument/2006/relationships/hyperlink" Target="http://data.aade.gr/eli/pri/law/2011/03/31/3943" TargetMode="External" /><Relationship Id="rId84" Type="http://schemas.openxmlformats.org/officeDocument/2006/relationships/hyperlink" Target="http://data.aade.gr/eli/pri/law/2011/03/31/3943" TargetMode="External" /><Relationship Id="rId840" Type="http://schemas.openxmlformats.org/officeDocument/2006/relationships/hyperlink" Target="http://data.aade.gr/eli/pri/law/2013/05/09/4152" TargetMode="External" /><Relationship Id="rId841" Type="http://schemas.openxmlformats.org/officeDocument/2006/relationships/hyperlink" Target="http://data.aade.gr/eli/pri/law/2011/03/31/3943" TargetMode="External" /><Relationship Id="rId842" Type="http://schemas.openxmlformats.org/officeDocument/2006/relationships/hyperlink" Target="http://data.aade.gr/eli/pri/law/2004/12/14/3296" TargetMode="External" /><Relationship Id="rId843" Type="http://schemas.openxmlformats.org/officeDocument/2006/relationships/hyperlink" Target="http://data.aade.gr/eli/pri/law/2013/05/09/4152" TargetMode="External" /><Relationship Id="rId844" Type="http://schemas.openxmlformats.org/officeDocument/2006/relationships/hyperlink" Target="http://data.aade.gr/eli/pri/law/2013/05/09/4152" TargetMode="External" /><Relationship Id="rId845" Type="http://schemas.openxmlformats.org/officeDocument/2006/relationships/hyperlink" Target="http://data.aade.gr/eli/pri/law/2014/04/07/4254" TargetMode="External" /><Relationship Id="rId846" Type="http://schemas.openxmlformats.org/officeDocument/2006/relationships/hyperlink" Target="http://data.aade.gr/eli/pri/law/2011/03/31/3943" TargetMode="External" /><Relationship Id="rId847" Type="http://schemas.openxmlformats.org/officeDocument/2006/relationships/hyperlink" Target="http://data.aade.gr/eli/pri/law/2014/12/24/4316" TargetMode="External" /><Relationship Id="rId848" Type="http://schemas.openxmlformats.org/officeDocument/2006/relationships/hyperlink" Target="http://data.aade.gr/eli/pri/law/2014/04/07/4254" TargetMode="External" /><Relationship Id="rId849" Type="http://schemas.openxmlformats.org/officeDocument/2006/relationships/hyperlink" Target="http://data.aade.gr/eli/pri/law/2013/05/09/4152" TargetMode="External" /><Relationship Id="rId85" Type="http://schemas.openxmlformats.org/officeDocument/2006/relationships/hyperlink" Target="http://data.aade.gr/eli/pri/law/2006/12/22/3522" TargetMode="External" /><Relationship Id="rId850" Type="http://schemas.openxmlformats.org/officeDocument/2006/relationships/hyperlink" Target="http://data.aade.gr/eli/pri/law/2011/03/31/3943" TargetMode="External" /><Relationship Id="rId851" Type="http://schemas.openxmlformats.org/officeDocument/2006/relationships/hyperlink" Target="http://data.aade.gr/eli/pri/law/2002/09/24/3052" TargetMode="External" /><Relationship Id="rId852" Type="http://schemas.openxmlformats.org/officeDocument/2006/relationships/hyperlink" Target="http://data.aade.gr/eli/pri/law/2002/03/20/2992" TargetMode="External" /><Relationship Id="rId853" Type="http://schemas.openxmlformats.org/officeDocument/2006/relationships/hyperlink" Target="http://data.aade.gr/eli/pri/law/2006/12/22/3522" TargetMode="External" /><Relationship Id="rId854" Type="http://schemas.openxmlformats.org/officeDocument/2006/relationships/hyperlink" Target="http://data.aade.gr/eli/pri/law/2010/04/23/3842" TargetMode="External" /><Relationship Id="rId855" Type="http://schemas.openxmlformats.org/officeDocument/2006/relationships/hyperlink" Target="http://data.aade.gr/eli/pri/law/2010/04/23/3842" TargetMode="External" /><Relationship Id="rId856" Type="http://schemas.openxmlformats.org/officeDocument/2006/relationships/hyperlink" Target="http://data.aade.gr/eli/pri/law/2010/04/23/3842" TargetMode="External" /><Relationship Id="rId857" Type="http://schemas.openxmlformats.org/officeDocument/2006/relationships/hyperlink" Target="http://data.aade.gr/eli/pri/law/2010/04/23/3842" TargetMode="External" /><Relationship Id="rId858" Type="http://schemas.openxmlformats.org/officeDocument/2006/relationships/hyperlink" Target="http://data.aade.gr/eli/pri/law/2010/04/23/3842" TargetMode="External" /><Relationship Id="rId859" Type="http://schemas.openxmlformats.org/officeDocument/2006/relationships/hyperlink" Target="http://data.aade.gr/eli/pri/law/2010/04/23/3842" TargetMode="External" /><Relationship Id="rId86" Type="http://schemas.openxmlformats.org/officeDocument/2006/relationships/hyperlink" Target="http://data.aade.gr/eli/pri/law/2006/12/22/3522" TargetMode="External" /><Relationship Id="rId860" Type="http://schemas.openxmlformats.org/officeDocument/2006/relationships/hyperlink" Target="http://data.aade.gr/eli/pri/law/2016/04/05/4378" TargetMode="External" /><Relationship Id="rId861" Type="http://schemas.openxmlformats.org/officeDocument/2006/relationships/hyperlink" Target="http://data.aade.gr/eli/pri/law/2004/01/28/3220" TargetMode="External" /><Relationship Id="rId862" Type="http://schemas.openxmlformats.org/officeDocument/2006/relationships/hyperlink" Target="http://data.aade.gr/eli/pri/law/2016/04/05/4378" TargetMode="External" /><Relationship Id="rId863" Type="http://schemas.openxmlformats.org/officeDocument/2006/relationships/hyperlink" Target="http://data.aade.gr/eli/pri/law/2004/01/28/3220" TargetMode="External" /><Relationship Id="rId864" Type="http://schemas.openxmlformats.org/officeDocument/2006/relationships/hyperlink" Target="http://data.aade.gr/eli/pri/law/2005/12/27/3427" TargetMode="External" /><Relationship Id="rId865" Type="http://schemas.openxmlformats.org/officeDocument/2006/relationships/hyperlink" Target="http://data.aade.gr/eli/pri/law/2001/11/02/2954" TargetMode="External" /><Relationship Id="rId866" Type="http://schemas.openxmlformats.org/officeDocument/2006/relationships/hyperlink" Target="http://data.aade.gr/eli/pri/law/2016/04/05/4378" TargetMode="External" /><Relationship Id="rId867" Type="http://schemas.openxmlformats.org/officeDocument/2006/relationships/hyperlink" Target="http://data.aade.gr/eli/pri/law/2016/04/05/4378" TargetMode="External" /><Relationship Id="rId868" Type="http://schemas.openxmlformats.org/officeDocument/2006/relationships/hyperlink" Target="http://data.aade.gr/eli/pri/law/2020/07/31/4714" TargetMode="External" /><Relationship Id="rId869" Type="http://schemas.openxmlformats.org/officeDocument/2006/relationships/hyperlink" Target="http://data.aade.gr/eli/pri/law/2020/07/31/4714" TargetMode="External" /><Relationship Id="rId87" Type="http://schemas.openxmlformats.org/officeDocument/2006/relationships/hyperlink" Target="http://data.aade.gr/eli/pri/law/2013/01/23/4110" TargetMode="External" /><Relationship Id="rId870" Type="http://schemas.openxmlformats.org/officeDocument/2006/relationships/hyperlink" Target="http://data.aade.gr/eli/pri/law/2020/07/31/4714" TargetMode="External" /><Relationship Id="rId871" Type="http://schemas.openxmlformats.org/officeDocument/2006/relationships/hyperlink" Target="http://data.aade.gr/eli/pri/law/2016/04/05/4378" TargetMode="External" /><Relationship Id="rId872" Type="http://schemas.openxmlformats.org/officeDocument/2006/relationships/hyperlink" Target="http://data.aade.gr/eli/pri/law/2016/04/05/4378" TargetMode="External" /><Relationship Id="rId873" Type="http://schemas.openxmlformats.org/officeDocument/2006/relationships/hyperlink" Target="http://data.aade.gr/eli/pri/law/2016/04/05/4378" TargetMode="External" /><Relationship Id="rId874" Type="http://schemas.openxmlformats.org/officeDocument/2006/relationships/hyperlink" Target="http://data.aade.gr/eli/pri/law/2019/05/17/4611" TargetMode="External" /><Relationship Id="rId875" Type="http://schemas.openxmlformats.org/officeDocument/2006/relationships/hyperlink" Target="http://data.aade.gr/eli/pri/law/2017/05/19/4472" TargetMode="External" /><Relationship Id="rId876" Type="http://schemas.openxmlformats.org/officeDocument/2006/relationships/hyperlink" Target="http://data.aade.gr/eli/pri/law/2015/07/16/4334" TargetMode="External" /><Relationship Id="rId877" Type="http://schemas.openxmlformats.org/officeDocument/2006/relationships/hyperlink" Target="http://data.aade.gr/eli/pri/law/2010/12/17/3899" TargetMode="External" /><Relationship Id="rId878" Type="http://schemas.openxmlformats.org/officeDocument/2006/relationships/hyperlink" Target="http://data.aade.gr/eli/pri/law/2010/04/23/3842" TargetMode="External" /><Relationship Id="rId879" Type="http://schemas.openxmlformats.org/officeDocument/2006/relationships/hyperlink" Target="http://data.aade.gr/eli/pri/law/2019/05/17/4611" TargetMode="External" /><Relationship Id="rId88" Type="http://schemas.openxmlformats.org/officeDocument/2006/relationships/hyperlink" Target="http://data.aade.gr/eli/pri/law/2016/04/03/4375" TargetMode="External" /><Relationship Id="rId880" Type="http://schemas.openxmlformats.org/officeDocument/2006/relationships/hyperlink" Target="http://data.aade.gr/eli/pri/law/2017/05/19/4472" TargetMode="External" /><Relationship Id="rId881" Type="http://schemas.openxmlformats.org/officeDocument/2006/relationships/hyperlink" Target="http://data.aade.gr/eli/pri/law/2015/07/16/4334" TargetMode="External" /><Relationship Id="rId882" Type="http://schemas.openxmlformats.org/officeDocument/2006/relationships/hyperlink" Target="http://data.aade.gr/eli/pri/law/2019/05/17/4611" TargetMode="External" /><Relationship Id="rId883" Type="http://schemas.openxmlformats.org/officeDocument/2006/relationships/hyperlink" Target="http://data.aade.gr/eli/pri/law/2017/05/19/4472" TargetMode="External" /><Relationship Id="rId884" Type="http://schemas.openxmlformats.org/officeDocument/2006/relationships/hyperlink" Target="http://data.aade.gr/eli/pri/law/2015/07/16/4334" TargetMode="External" /><Relationship Id="rId885" Type="http://schemas.openxmlformats.org/officeDocument/2006/relationships/hyperlink" Target="http://data.aade.gr/eli/pri/law/2019/05/17/4611" TargetMode="External" /><Relationship Id="rId886" Type="http://schemas.openxmlformats.org/officeDocument/2006/relationships/hyperlink" Target="http://data.aade.gr/eli/pri/law/2017/05/19/4472" TargetMode="External" /><Relationship Id="rId887" Type="http://schemas.openxmlformats.org/officeDocument/2006/relationships/hyperlink" Target="http://data.aade.gr/eli/pri/law/2015/08/14/4336" TargetMode="External" /><Relationship Id="rId888" Type="http://schemas.openxmlformats.org/officeDocument/2006/relationships/hyperlink" Target="http://data.aade.gr/eli/pri/law/2015/07/16/4334" TargetMode="External" /><Relationship Id="rId889" Type="http://schemas.openxmlformats.org/officeDocument/2006/relationships/hyperlink" Target="http://data.aade.gr/eli/pri/law/2019/05/17/4611" TargetMode="External" /><Relationship Id="rId89" Type="http://schemas.openxmlformats.org/officeDocument/2006/relationships/hyperlink" Target="http://data.aade.gr/eli/pri/law/2016/04/03/4375" TargetMode="External" /><Relationship Id="rId890" Type="http://schemas.openxmlformats.org/officeDocument/2006/relationships/hyperlink" Target="http://data.aade.gr/eli/pri/law/2017/05/19/4472" TargetMode="External" /><Relationship Id="rId891" Type="http://schemas.openxmlformats.org/officeDocument/2006/relationships/hyperlink" Target="http://data.aade.gr/eli/pri/law/2015/07/16/4334" TargetMode="External" /><Relationship Id="rId892" Type="http://schemas.openxmlformats.org/officeDocument/2006/relationships/hyperlink" Target="http://data.aade.gr/eli/pri/law/2019/05/17/4611" TargetMode="External" /><Relationship Id="rId893" Type="http://schemas.openxmlformats.org/officeDocument/2006/relationships/hyperlink" Target="http://data.aade.gr/eli/pri/law/2017/05/19/4472" TargetMode="External" /><Relationship Id="rId894" Type="http://schemas.openxmlformats.org/officeDocument/2006/relationships/hyperlink" Target="http://data.aade.gr/eli/pri/law/2015/08/14/4336" TargetMode="External" /><Relationship Id="rId895" Type="http://schemas.openxmlformats.org/officeDocument/2006/relationships/hyperlink" Target="http://data.aade.gr/eli/pri/law/2015/07/16/4334" TargetMode="External" /><Relationship Id="rId896" Type="http://schemas.openxmlformats.org/officeDocument/2006/relationships/hyperlink" Target="http://data.aade.gr/eli/pri/law/2019/05/17/4611" TargetMode="External" /><Relationship Id="rId897" Type="http://schemas.openxmlformats.org/officeDocument/2006/relationships/hyperlink" Target="http://data.aade.gr/eli/pri/law/2017/05/19/4472" TargetMode="External" /><Relationship Id="rId898" Type="http://schemas.openxmlformats.org/officeDocument/2006/relationships/hyperlink" Target="http://data.aade.gr/eli/pri/law/2015/07/16/4334" TargetMode="External" /><Relationship Id="rId899" Type="http://schemas.openxmlformats.org/officeDocument/2006/relationships/hyperlink" Target="http://data.aade.gr/eli/pri/law/2019/05/17/4611" TargetMode="External" /><Relationship Id="rId9" Type="http://schemas.openxmlformats.org/officeDocument/2006/relationships/hyperlink" Target="http://data.aade.gr/eli/pri/law/2008/09/25/3697" TargetMode="External" /><Relationship Id="rId90" Type="http://schemas.openxmlformats.org/officeDocument/2006/relationships/hyperlink" Target="http://data.aade.gr/eli/pri/law/2016/04/03/4375" TargetMode="External" /><Relationship Id="rId900" Type="http://schemas.openxmlformats.org/officeDocument/2006/relationships/hyperlink" Target="http://data.aade.gr/eli/pri/law/2017/05/19/4472" TargetMode="External" /><Relationship Id="rId901" Type="http://schemas.openxmlformats.org/officeDocument/2006/relationships/hyperlink" Target="http://data.aade.gr/eli/pri/law/2015/07/16/4334" TargetMode="External" /><Relationship Id="rId902" Type="http://schemas.openxmlformats.org/officeDocument/2006/relationships/hyperlink" Target="http://data.aade.gr/eli/pri/law/2017/05/19/4472" TargetMode="External" /><Relationship Id="rId903" Type="http://schemas.openxmlformats.org/officeDocument/2006/relationships/hyperlink" Target="http://data.aade.gr/eli/pri/law/2015/07/16/4334" TargetMode="External" /><Relationship Id="rId904" Type="http://schemas.openxmlformats.org/officeDocument/2006/relationships/hyperlink" Target="http://data.aade.gr/eli/pri/law/2017/05/19/4472" TargetMode="External" /><Relationship Id="rId905" Type="http://schemas.openxmlformats.org/officeDocument/2006/relationships/hyperlink" Target="http://data.aade.gr/eli/pri/law/2015/07/16/4334" TargetMode="External" /><Relationship Id="rId906" Type="http://schemas.openxmlformats.org/officeDocument/2006/relationships/hyperlink" Target="http://data.aade.gr/eli/pri/law/2019/05/17/4611" TargetMode="External" /><Relationship Id="rId907" Type="http://schemas.openxmlformats.org/officeDocument/2006/relationships/hyperlink" Target="http://data.aade.gr/eli/pri/law/2017/05/19/4472" TargetMode="External" /><Relationship Id="rId908" Type="http://schemas.openxmlformats.org/officeDocument/2006/relationships/hyperlink" Target="http://data.aade.gr/eli/pri/law/2015/07/16/4334" TargetMode="External" /><Relationship Id="rId909" Type="http://schemas.openxmlformats.org/officeDocument/2006/relationships/hyperlink" Target="http://data.aade.gr/eli/pri/law/2019/05/17/4611" TargetMode="External" /><Relationship Id="rId91" Type="http://schemas.openxmlformats.org/officeDocument/2006/relationships/hyperlink" Target="http://data.aade.gr/eli/pri/law/2016/04/03/4375" TargetMode="External" /><Relationship Id="rId910" Type="http://schemas.openxmlformats.org/officeDocument/2006/relationships/hyperlink" Target="http://data.aade.gr/eli/pri/law/2017/05/19/4472" TargetMode="External" /><Relationship Id="rId911" Type="http://schemas.openxmlformats.org/officeDocument/2006/relationships/hyperlink" Target="http://data.aade.gr/eli/pri/law/2015/07/16/4334" TargetMode="External" /><Relationship Id="rId912" Type="http://schemas.openxmlformats.org/officeDocument/2006/relationships/hyperlink" Target="http://data.aade.gr/eli/pri/law/2019/05/17/4611" TargetMode="External" /><Relationship Id="rId913" Type="http://schemas.openxmlformats.org/officeDocument/2006/relationships/hyperlink" Target="http://data.aade.gr/eli/pri/law/2017/05/19/4472" TargetMode="External" /><Relationship Id="rId914" Type="http://schemas.openxmlformats.org/officeDocument/2006/relationships/hyperlink" Target="http://data.aade.gr/eli/pri/law/2015/07/16/4334" TargetMode="External" /><Relationship Id="rId915" Type="http://schemas.openxmlformats.org/officeDocument/2006/relationships/hyperlink" Target="http://data.aade.gr/eli/pri/law/2019/05/17/4611" TargetMode="External" /><Relationship Id="rId916" Type="http://schemas.openxmlformats.org/officeDocument/2006/relationships/hyperlink" Target="http://data.aade.gr/eli/pri/law/2017/05/19/4472" TargetMode="External" /><Relationship Id="rId917" Type="http://schemas.openxmlformats.org/officeDocument/2006/relationships/hyperlink" Target="http://data.aade.gr/eli/pri/law/2015/07/16/4334" TargetMode="External" /><Relationship Id="rId918" Type="http://schemas.openxmlformats.org/officeDocument/2006/relationships/hyperlink" Target="http://data.aade.gr/eli/pri/law/2019/05/17/4611" TargetMode="External" /><Relationship Id="rId919" Type="http://schemas.openxmlformats.org/officeDocument/2006/relationships/hyperlink" Target="http://data.aade.gr/eli/pri/law/2017/05/19/4472" TargetMode="External" /><Relationship Id="rId92" Type="http://schemas.openxmlformats.org/officeDocument/2006/relationships/hyperlink" Target="http://data.aade.gr/eli/pri/law/2016/04/03/4375" TargetMode="External" /><Relationship Id="rId920" Type="http://schemas.openxmlformats.org/officeDocument/2006/relationships/hyperlink" Target="http://data.aade.gr/eli/pri/law/2015/07/16/4334" TargetMode="External" /><Relationship Id="rId921" Type="http://schemas.openxmlformats.org/officeDocument/2006/relationships/hyperlink" Target="http://data.aade.gr/eli/pri/law/2019/05/17/4611" TargetMode="External" /><Relationship Id="rId922" Type="http://schemas.openxmlformats.org/officeDocument/2006/relationships/hyperlink" Target="http://data.aade.gr/eli/pri/law/2017/05/19/4472" TargetMode="External" /><Relationship Id="rId923" Type="http://schemas.openxmlformats.org/officeDocument/2006/relationships/hyperlink" Target="http://data.aade.gr/eli/pri/law/2015/07/16/4334" TargetMode="External" /><Relationship Id="rId924" Type="http://schemas.openxmlformats.org/officeDocument/2006/relationships/hyperlink" Target="http://data.aade.gr/eli/pri/law/2019/05/17/4611" TargetMode="External" /><Relationship Id="rId925" Type="http://schemas.openxmlformats.org/officeDocument/2006/relationships/hyperlink" Target="http://data.aade.gr/eli/pri/law/2017/05/19/4472" TargetMode="External" /><Relationship Id="rId926" Type="http://schemas.openxmlformats.org/officeDocument/2006/relationships/hyperlink" Target="http://data.aade.gr/eli/pri/law/2015/07/16/4334" TargetMode="External" /><Relationship Id="rId927" Type="http://schemas.openxmlformats.org/officeDocument/2006/relationships/hyperlink" Target="http://data.aade.gr/eli/pri/law/2019/05/17/4611" TargetMode="External" /><Relationship Id="rId928" Type="http://schemas.openxmlformats.org/officeDocument/2006/relationships/hyperlink" Target="http://data.aade.gr/eli/pri/law/2017/05/19/4472" TargetMode="External" /><Relationship Id="rId929" Type="http://schemas.openxmlformats.org/officeDocument/2006/relationships/hyperlink" Target="http://data.aade.gr/eli/pri/law/2015/07/16/4334" TargetMode="External" /><Relationship Id="rId93" Type="http://schemas.openxmlformats.org/officeDocument/2006/relationships/hyperlink" Target="http://data.aade.gr/eli/pri/law/2016/04/03/4375" TargetMode="External" /><Relationship Id="rId930" Type="http://schemas.openxmlformats.org/officeDocument/2006/relationships/hyperlink" Target="http://data.aade.gr/eli/pri/law/2019/05/17/4611" TargetMode="External" /><Relationship Id="rId931" Type="http://schemas.openxmlformats.org/officeDocument/2006/relationships/hyperlink" Target="http://data.aade.gr/eli/pri/law/2017/05/19/4472" TargetMode="External" /><Relationship Id="rId932" Type="http://schemas.openxmlformats.org/officeDocument/2006/relationships/hyperlink" Target="http://data.aade.gr/eli/pri/law/2015/07/16/4334" TargetMode="External" /><Relationship Id="rId933" Type="http://schemas.openxmlformats.org/officeDocument/2006/relationships/hyperlink" Target="http://data.aade.gr/eli/pri/law/2019/05/17/4611" TargetMode="External" /><Relationship Id="rId934" Type="http://schemas.openxmlformats.org/officeDocument/2006/relationships/hyperlink" Target="http://data.aade.gr/eli/pri/law/2017/05/19/4472" TargetMode="External" /><Relationship Id="rId935" Type="http://schemas.openxmlformats.org/officeDocument/2006/relationships/hyperlink" Target="http://data.aade.gr/eli/pri/law/2015/08/14/4336" TargetMode="External" /><Relationship Id="rId936" Type="http://schemas.openxmlformats.org/officeDocument/2006/relationships/hyperlink" Target="http://data.aade.gr/eli/pri/law/2015/07/16/4334" TargetMode="External" /><Relationship Id="rId937" Type="http://schemas.openxmlformats.org/officeDocument/2006/relationships/hyperlink" Target="http://data.aade.gr/eli/pri/law/2021/10/02/4839" TargetMode="External" /><Relationship Id="rId938" Type="http://schemas.openxmlformats.org/officeDocument/2006/relationships/hyperlink" Target="http://data.aade.gr/eli/pri/law/2019/05/17/4611" TargetMode="External" /><Relationship Id="rId939" Type="http://schemas.openxmlformats.org/officeDocument/2006/relationships/hyperlink" Target="http://data.aade.gr/eli/pri/law/2017/05/19/4472" TargetMode="External" /><Relationship Id="rId94" Type="http://schemas.openxmlformats.org/officeDocument/2006/relationships/hyperlink" Target="http://data.aade.gr/eli/pri/law/2016/04/03/4375" TargetMode="External" /><Relationship Id="rId940" Type="http://schemas.openxmlformats.org/officeDocument/2006/relationships/hyperlink" Target="http://data.aade.gr/eli/pri/law/2015/08/14/4336" TargetMode="External" /><Relationship Id="rId941" Type="http://schemas.openxmlformats.org/officeDocument/2006/relationships/hyperlink" Target="http://data.aade.gr/eli/pri/law/2015/07/16/4334" TargetMode="External" /><Relationship Id="rId942" Type="http://schemas.openxmlformats.org/officeDocument/2006/relationships/hyperlink" Target="http://data.aade.gr/eli/pri/law/2019/05/17/4611" TargetMode="External" /><Relationship Id="rId943" Type="http://schemas.openxmlformats.org/officeDocument/2006/relationships/hyperlink" Target="http://data.aade.gr/eli/pri/law/2017/05/19/4472" TargetMode="External" /><Relationship Id="rId944" Type="http://schemas.openxmlformats.org/officeDocument/2006/relationships/hyperlink" Target="http://data.aade.gr/eli/pri/law/2015/07/16/4334" TargetMode="External" /><Relationship Id="rId945" Type="http://schemas.openxmlformats.org/officeDocument/2006/relationships/hyperlink" Target="http://data.aade.gr/eli/pri/law/2019/05/17/4611" TargetMode="External" /><Relationship Id="rId946" Type="http://schemas.openxmlformats.org/officeDocument/2006/relationships/hyperlink" Target="http://data.aade.gr/eli/pri/law/2017/05/19/4472" TargetMode="External" /><Relationship Id="rId947" Type="http://schemas.openxmlformats.org/officeDocument/2006/relationships/hyperlink" Target="http://data.aade.gr/eli/pri/law/2015/07/16/4334" TargetMode="External" /><Relationship Id="rId948" Type="http://schemas.openxmlformats.org/officeDocument/2006/relationships/hyperlink" Target="http://data.aade.gr/eli/pri/law/2015/08/14/4336" TargetMode="External" /><Relationship Id="rId949" Type="http://schemas.openxmlformats.org/officeDocument/2006/relationships/hyperlink" Target="http://data.aade.gr/eli/pri/law/2015/07/16/4334" TargetMode="External" /><Relationship Id="rId95" Type="http://schemas.openxmlformats.org/officeDocument/2006/relationships/hyperlink" Target="http://data.aade.gr/eli/pri/law/2001/10/19/2948" TargetMode="External" /><Relationship Id="rId950" Type="http://schemas.openxmlformats.org/officeDocument/2006/relationships/hyperlink" Target="http://data.aade.gr/eli/pri/law/2019/05/17/4611" TargetMode="External" /><Relationship Id="rId951" Type="http://schemas.openxmlformats.org/officeDocument/2006/relationships/hyperlink" Target="http://data.aade.gr/eli/pri/law/2017/05/19/4472" TargetMode="External" /><Relationship Id="rId952" Type="http://schemas.openxmlformats.org/officeDocument/2006/relationships/hyperlink" Target="http://data.aade.gr/eli/pri/law/2015/08/14/4336" TargetMode="External" /><Relationship Id="rId953" Type="http://schemas.openxmlformats.org/officeDocument/2006/relationships/hyperlink" Target="http://data.aade.gr/eli/pri/law/2015/07/16/4334" TargetMode="External" /><Relationship Id="rId954" Type="http://schemas.openxmlformats.org/officeDocument/2006/relationships/hyperlink" Target="http://data.aade.gr/eli/pri/law/2019/05/17/4611" TargetMode="External" /><Relationship Id="rId955" Type="http://schemas.openxmlformats.org/officeDocument/2006/relationships/hyperlink" Target="http://data.aade.gr/eli/pri/law/2017/05/19/4472" TargetMode="External" /><Relationship Id="rId956" Type="http://schemas.openxmlformats.org/officeDocument/2006/relationships/hyperlink" Target="http://data.aade.gr/eli/pri/law/2015/08/14/4336" TargetMode="External" /><Relationship Id="rId957" Type="http://schemas.openxmlformats.org/officeDocument/2006/relationships/hyperlink" Target="http://data.aade.gr/eli/pri/law/2015/07/16/4334" TargetMode="External" /><Relationship Id="rId958" Type="http://schemas.openxmlformats.org/officeDocument/2006/relationships/hyperlink" Target="http://data.aade.gr/eli/pri/law/2019/05/17/4611" TargetMode="External" /><Relationship Id="rId959" Type="http://schemas.openxmlformats.org/officeDocument/2006/relationships/hyperlink" Target="http://data.aade.gr/eli/pri/law/2017/05/19/4472" TargetMode="External" /><Relationship Id="rId96" Type="http://schemas.openxmlformats.org/officeDocument/2006/relationships/hyperlink" Target="http://data.aade.gr/eli/pri/law/2021/07/18/4818" TargetMode="External" /><Relationship Id="rId960" Type="http://schemas.openxmlformats.org/officeDocument/2006/relationships/hyperlink" Target="http://data.aade.gr/eli/pri/law/2019/05/17/4611" TargetMode="External" /><Relationship Id="rId961" Type="http://schemas.openxmlformats.org/officeDocument/2006/relationships/hyperlink" Target="http://data.aade.gr/eli/pri/law/2017/05/19/4472" TargetMode="External" /><Relationship Id="rId962" Type="http://schemas.openxmlformats.org/officeDocument/2006/relationships/hyperlink" Target="http://data.aade.gr/eli/pri/law/2019/05/17/4611" TargetMode="External" /><Relationship Id="rId963" Type="http://schemas.openxmlformats.org/officeDocument/2006/relationships/hyperlink" Target="http://data.aade.gr/eli/pri/law/2017/05/19/4472" TargetMode="External" /><Relationship Id="rId964" Type="http://schemas.openxmlformats.org/officeDocument/2006/relationships/hyperlink" Target="http://data.aade.gr/eli/pri/law/2019/12/12/4646" TargetMode="External" /><Relationship Id="rId965" Type="http://schemas.openxmlformats.org/officeDocument/2006/relationships/hyperlink" Target="http://data.aade.gr/eli/pri/law/2019/05/17/4611" TargetMode="External" /><Relationship Id="rId966" Type="http://schemas.openxmlformats.org/officeDocument/2006/relationships/hyperlink" Target="http://data.aade.gr/eli/pri/law/2017/05/19/4472" TargetMode="External" /><Relationship Id="rId967" Type="http://schemas.openxmlformats.org/officeDocument/2006/relationships/hyperlink" Target="http://data.aade.gr/eli/pri/law/2019/05/17/4611" TargetMode="External" /><Relationship Id="rId968" Type="http://schemas.openxmlformats.org/officeDocument/2006/relationships/hyperlink" Target="http://data.aade.gr/eli/pri/law/2017/05/19/4472" TargetMode="External" /><Relationship Id="rId969" Type="http://schemas.openxmlformats.org/officeDocument/2006/relationships/hyperlink" Target="http://data.aade.gr/eli/pri/law/2020/12/04/4758" TargetMode="External" /><Relationship Id="rId97" Type="http://schemas.openxmlformats.org/officeDocument/2006/relationships/hyperlink" Target="http://data.aade.gr/eli/pri/law/2011/03/31/3943" TargetMode="External" /><Relationship Id="rId970" Type="http://schemas.openxmlformats.org/officeDocument/2006/relationships/hyperlink" Target="http://data.aade.gr/eli/pri/law/2019/05/17/4611" TargetMode="External" /><Relationship Id="rId971" Type="http://schemas.openxmlformats.org/officeDocument/2006/relationships/hyperlink" Target="http://data.aade.gr/eli/pri/law/2017/05/19/4472" TargetMode="External" /><Relationship Id="rId972" Type="http://schemas.openxmlformats.org/officeDocument/2006/relationships/hyperlink" Target="http://data.aade.gr/eli/pri/law/2019/05/17/4611" TargetMode="External" /><Relationship Id="rId973" Type="http://schemas.openxmlformats.org/officeDocument/2006/relationships/hyperlink" Target="http://data.aade.gr/eli/pri/law/2017/05/19/4472" TargetMode="External" /><Relationship Id="rId974" Type="http://schemas.openxmlformats.org/officeDocument/2006/relationships/hyperlink" Target="http://data.aade.gr/eli/pri/law/2019/05/17/4611" TargetMode="External" /><Relationship Id="rId975" Type="http://schemas.openxmlformats.org/officeDocument/2006/relationships/hyperlink" Target="http://data.aade.gr/eli/pri/law/2018/12/18/4583" TargetMode="External" /><Relationship Id="rId976" Type="http://schemas.openxmlformats.org/officeDocument/2006/relationships/hyperlink" Target="http://data.aade.gr/eli/pri/law/2017/05/19/4472" TargetMode="External" /><Relationship Id="rId977" Type="http://schemas.openxmlformats.org/officeDocument/2006/relationships/hyperlink" Target="http://data.aade.gr/eli/pri/law/2021/10/02/4839" TargetMode="External" /><Relationship Id="rId978" Type="http://schemas.openxmlformats.org/officeDocument/2006/relationships/hyperlink" Target="http://data.aade.gr/eli/pri/law/2019/05/17/4611" TargetMode="External" /><Relationship Id="rId979" Type="http://schemas.openxmlformats.org/officeDocument/2006/relationships/hyperlink" Target="http://data.aade.gr/eli/pri/law/2018/12/18/4583" TargetMode="External" /><Relationship Id="rId98" Type="http://schemas.openxmlformats.org/officeDocument/2006/relationships/hyperlink" Target="http://data.aade.gr/eli/pri/law/2009/05/27/3763" TargetMode="External" /><Relationship Id="rId980" Type="http://schemas.openxmlformats.org/officeDocument/2006/relationships/hyperlink" Target="http://data.aade.gr/eli/pri/law/2017/05/19/4472" TargetMode="External" /><Relationship Id="rId981" Type="http://schemas.openxmlformats.org/officeDocument/2006/relationships/hyperlink" Target="http://data.aade.gr/eli/pri/law/2019/05/17/4611" TargetMode="External" /><Relationship Id="rId982" Type="http://schemas.openxmlformats.org/officeDocument/2006/relationships/hyperlink" Target="http://data.aade.gr/eli/pri/law/2019/05/17/4611" TargetMode="External" /><Relationship Id="rId983" Type="http://schemas.openxmlformats.org/officeDocument/2006/relationships/hyperlink" Target="http://data.aade.gr/eli/pri/law/2019/05/17/4611" TargetMode="External" /><Relationship Id="rId984" Type="http://schemas.openxmlformats.org/officeDocument/2006/relationships/hyperlink" Target="http://data.aade.gr/eli/pri/law/2019/05/17/4611" TargetMode="External" /><Relationship Id="rId985" Type="http://schemas.openxmlformats.org/officeDocument/2006/relationships/hyperlink" Target="http://data.aade.gr/eli/pri/law/2020/02/14/4664" TargetMode="External" /><Relationship Id="rId986" Type="http://schemas.openxmlformats.org/officeDocument/2006/relationships/hyperlink" Target="http://data.aade.gr/eli/pri/law/2019/05/17/4611" TargetMode="External" /><Relationship Id="rId987" Type="http://schemas.openxmlformats.org/officeDocument/2006/relationships/hyperlink" Target="http://data.aade.gr/eli/pri/law/2019/05/17/4611" TargetMode="External" /><Relationship Id="rId988" Type="http://schemas.openxmlformats.org/officeDocument/2006/relationships/hyperlink" Target="http://data.aade.gr/eli/pri/law/2019/05/17/4611" TargetMode="External" /><Relationship Id="rId989" Type="http://schemas.openxmlformats.org/officeDocument/2006/relationships/hyperlink" Target="http://data.aade.gr/eli/pri/law/2021/07/18/4818" TargetMode="External" /><Relationship Id="rId99" Type="http://schemas.openxmlformats.org/officeDocument/2006/relationships/hyperlink" Target="http://data.aade.gr/eli/pri/law/2019/04/24/4607" TargetMode="External" /><Relationship Id="rId990" Type="http://schemas.openxmlformats.org/officeDocument/2006/relationships/hyperlink" Target="http://data.aade.gr/eli/pri/law/2020/07/31/4714" TargetMode="External" /><Relationship Id="rId991" Type="http://schemas.openxmlformats.org/officeDocument/2006/relationships/hyperlink" Target="http://data.aade.gr/eli/pri/law/2019/05/17/4611" TargetMode="External" /><Relationship Id="rId992" Type="http://schemas.openxmlformats.org/officeDocument/2006/relationships/hyperlink" Target="http://data.aade.gr/eli/pri/law/2019/05/17/4611" TargetMode="External" /><Relationship Id="rId993" Type="http://schemas.openxmlformats.org/officeDocument/2006/relationships/hyperlink" Target="http://data.aade.gr/eli/pri/law/2019/05/17/4611" TargetMode="External" /><Relationship Id="rId994" Type="http://schemas.openxmlformats.org/officeDocument/2006/relationships/hyperlink" Target="http://data.aade.gr/eli/pri/law/2019/05/17/4611" TargetMode="External" /><Relationship Id="rId995" Type="http://schemas.openxmlformats.org/officeDocument/2006/relationships/hyperlink" Target="http://data.aade.gr/eli/pri/law/2019/05/17/4611" TargetMode="External" /><Relationship Id="rId996" Type="http://schemas.openxmlformats.org/officeDocument/2006/relationships/hyperlink" Target="http://data.aade.gr/eli/pri/law/2019/05/17/4611" TargetMode="External" /><Relationship Id="rId997" Type="http://schemas.openxmlformats.org/officeDocument/2006/relationships/hyperlink" Target="http://data.aade.gr/eli/pri/law/2020/12/23/4764" TargetMode="External" /><Relationship Id="rId998" Type="http://schemas.openxmlformats.org/officeDocument/2006/relationships/hyperlink" Target="http://data.aade.gr/eli/pri/law/2019/05/17/4611" TargetMode="External" /><Relationship Id="rId999" Type="http://schemas.openxmlformats.org/officeDocument/2006/relationships/hyperlink" Target="http://data.aade.gr/eli/pri/law/2020/12/23/476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