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1"/>
        <w:gridCol w:w="1518"/>
        <w:gridCol w:w="908"/>
        <w:gridCol w:w="908"/>
        <w:gridCol w:w="908"/>
        <w:gridCol w:w="908"/>
        <w:gridCol w:w="1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χρησιμοποιούνται για άλλες χρήσεις εκτός από αυτές που καθορίζονται στις παραπάνω περιπτώσεις ιγ) και 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 1129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4"/>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 xml:space="preserve">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 </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21"/>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6"/>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τελωνειακές 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 w:anchor="art_10" w:history="1">
        <w:r>
          <w:rPr>
            <w:rStyle w:val="Hyperlink"/>
            <w:b w:val="0"/>
            <w:bCs w:val="0"/>
            <w:i w:val="0"/>
            <w:iCs w:val="0"/>
            <w:smallCaps w:val="0"/>
            <w:color w:val="0000EE"/>
            <w:u w:color="0000EE"/>
            <w:lang w:val="el" w:eastAsia="el"/>
          </w:rPr>
          <w:t>Τροποποίηση 3483/2006, Άρθρο 10</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0" w:history="1">
        <w:r>
          <w:rPr>
            <w:rStyle w:val="Hyperlink"/>
            <w:b/>
            <w:bCs/>
            <w:color w:val="0000EE"/>
            <w:u w:color="0000EE"/>
            <w:lang w:val="el" w:eastAsia="el"/>
          </w:rPr>
          <w:t>Τροποποίηση 3483/2006, Άρθρο 10</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3336/2005,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3336/2005,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2" w:history="1">
        <w:r>
          <w:rPr>
            <w:rStyle w:val="Hyperlink"/>
            <w:b/>
            <w:bCs/>
            <w:color w:val="0000EE"/>
            <w:u w:color="0000EE"/>
            <w:lang w:val="el" w:eastAsia="el"/>
          </w:rPr>
          <w:t>Προσθήκη 3336/2005, Άρθρο 12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6" w:history="1">
        <w:r>
          <w:rPr>
            <w:rStyle w:val="Hyperlink"/>
            <w:b/>
            <w:bCs/>
            <w:color w:val="0000EE"/>
            <w:u w:color="0000EE"/>
            <w:lang w:val="el" w:eastAsia="el"/>
          </w:rPr>
          <w:t>Τροποποίηση 3259/2004, Άρθρο 16</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7" w:history="1">
        <w:r>
          <w:rPr>
            <w:rStyle w:val="Hyperlink"/>
            <w:b/>
            <w:bCs/>
            <w:color w:val="0000EE"/>
            <w:u w:color="0000EE"/>
            <w:lang w:val="el" w:eastAsia="el"/>
          </w:rPr>
          <w:t>Τροποποίηση 3453/2006, Άρθρο 7</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45" w:history="1">
        <w:r>
          <w:rPr>
            <w:rStyle w:val="Hyperlink"/>
            <w:b/>
            <w:bCs/>
            <w:color w:val="0000EE"/>
            <w:u w:color="0000EE"/>
            <w:lang w:val="el" w:eastAsia="el"/>
          </w:rPr>
          <w:t>Αφαίρεση 2992/2002, Άρθρο 45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6" w:history="1">
        <w:r>
          <w:rPr>
            <w:rStyle w:val="Hyperlink"/>
            <w:b/>
            <w:bCs/>
            <w:color w:val="0000EE"/>
            <w:u w:color="0000EE"/>
            <w:lang w:val="el" w:eastAsia="el"/>
          </w:rPr>
          <w:t>Προσθήκη 3259/2004, Άρθρο 16</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Προσθήκη 3336/2005,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6/08/07/3483"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5/04/20/3336" TargetMode="External" /><Relationship Id="rId15" Type="http://schemas.openxmlformats.org/officeDocument/2006/relationships/hyperlink" Target="http://data.aade.gr/eli/pri/law/2004/08/04/3259" TargetMode="External" /><Relationship Id="rId16" Type="http://schemas.openxmlformats.org/officeDocument/2006/relationships/hyperlink" Target="http://data.aade.gr/eli/pri/law/2006/04/07/3453" TargetMode="External" /><Relationship Id="rId17" Type="http://schemas.openxmlformats.org/officeDocument/2006/relationships/hyperlink" Target="http://data.aade.gr/eli/pri/law/2002/03/20/2992" TargetMode="External" /><Relationship Id="rId18" Type="http://schemas.openxmlformats.org/officeDocument/2006/relationships/hyperlink" Target="http://data.aade.gr/eli/pri/law/2004/08/04/3259" TargetMode="External" /><Relationship Id="rId19"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20"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6/08/07/3483"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