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w:t>
      </w:r>
      <w:r>
        <w:rPr>
          <w:rStyle w:val="Hyperlink"/>
          <w:b/>
          <w:bCs/>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1"/>
        <w:gridCol w:w="1518"/>
        <w:gridCol w:w="908"/>
        <w:gridCol w:w="908"/>
        <w:gridCol w:w="908"/>
        <w:gridCol w:w="908"/>
        <w:gridCol w:w="1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11 51 και 2711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χρησιμοποιούνται για άλλες χρήσεις εκτός από αυτές που καθορίζονται στις παραπάνω περιπτώσεις ιγ) και 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 1129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
            </w: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11"/>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ενεργειακά προϊόντα και η ηλεκτρική ενέργεια που παραλαμβάνονται από τις Εθνικές Ένοπλες Δυνάμεις.</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που υπάγεται στους κωδικούς της Σ.Ο. 2710 19 41 και 2710 19 45 που παραλαμβάνεται από βιομηχανίες ή βιοτεχνίες και προορίζεται να χρησιμοποιηθεί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12"/>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13"/>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49"/>
        <w:gridCol w:w="1478"/>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παραλαμβάνονται απευθείας από βιομηχανίες, βιοτεχνίες προκειμένου να χρησιμοποιηθούν αποκλειστικά ως καύσιμη 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11 12 11 έως 2711 19 00 και 27 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αποκλειστικά στη γεωργία, στις καλλιέργειες οπωροκηπευτικών, στις ιχθυοκαλλιέργειες και στη δασοκομία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 που παραλαμβάνεται από τις αναγνωρισμένες εγχώριες βιομηχανίες ή βιοτεχνίες παραγωγής συνθετικών ρητινών ως πρώτη ή βοηθητική ύλη για την παραγωγή των προϊόντων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ενενήντα (1.090) ευρώ ανά εκατόλιτρο άνυδρης αιθυλικής αλκοόλης</w:t>
      </w:r>
      <w:r>
        <w:rPr>
          <w:rStyle w:val="Hyperlink"/>
          <w:b/>
          <w:bCs/>
          <w:color w:val="000000"/>
          <w:sz w:val="20"/>
          <w:szCs w:val="20"/>
          <w:u w:val="none" w:color="0000EE"/>
          <w:vertAlign w:val="superscript"/>
          <w:lang w:val="el" w:eastAsia="el"/>
        </w:rPr>
        <w:footnoteReference w:id="17"/>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πεντακόσια σαράντα πέντε (545)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9"/>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rStyle w:val="Hyperlink"/>
          <w:b/>
          <w:bCs/>
          <w:color w:val="000000"/>
          <w:sz w:val="20"/>
          <w:szCs w:val="20"/>
          <w:u w:val="none" w:color="0000EE"/>
          <w:vertAlign w:val="superscript"/>
          <w:lang w:val="el" w:eastAsia="el"/>
        </w:rPr>
        <w:footnoteReference w:id="21"/>
      </w:r>
      <w:r>
        <w:rPr>
          <w:b/>
          <w:bCs/>
          <w:lang w:val="el" w:eastAsia="el"/>
        </w:rPr>
        <w:t>Στα τσιγάρα που πωλούνται σε τιμή μικρότερη από την τιμή λιανικής πώλησης των τσιγάρων της πλέον ζητούμενης τιμής (Π.Ζ.Τ.), το συνολικό ποσό του Ειδικού Φόρου Κατανάλωσης, που υπολογίζεται σύμφωνα με τις ανωτέρω περιπτώσεις α΄ και β΄, δεν μπορεί να είναι κατώτερο του εξήντα πέντε τοις εκατό (65%) του συνολικού Ειδικού Φόρου Κατανάλωσης που επιβάλλεται στην πλέον ζητούμενη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22"/>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24"/>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τόννων που προέρχονται από διασκευή ελκυστήρων της δασμολογικής κλάσης (δ.κ.) 87.01, επιβατικών αυτοκίνητων (λεωφορείων) της δ.κ. 87.02, φορτηγών αυτοκίνητων ψυγείων της δ.κ. 87.04 και αυτοκίνητων οχημάτων ειδικών χρήσεων της δ.κ. 87.05 της συνδυασμένης ονοματολογίας υποβάλλονται αντί των φορολογικών επιβαρύνσεων που ποοβλέπονται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b/>
          <w:bCs/>
          <w:lang w:val="el" w:eastAsia="el"/>
        </w:rPr>
        <w:t>Τα παραπάνω ποσά προσαυξάνονται κατά πεντακόσια (500) ευρώ στις περιπτώσεις που από τη μετασκευή προκύπτει ανατρεπόμενο ή βυτιοφόρο όχημα.</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κυλινδρισμού κινητήρα 126 κυβικών εκατοστών και πάνω,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Από 126 - 249 Κυβικά εκατοστά 2%</w:t>
      </w:r>
    </w:p>
    <w:p>
      <w:pPr>
        <w:spacing w:before="240" w:after="240"/>
        <w:rPr>
          <w:lang w:val="el" w:eastAsia="el"/>
        </w:rPr>
      </w:pPr>
      <w:r>
        <w:rPr>
          <w:b/>
          <w:bCs/>
          <w:lang w:val="el" w:eastAsia="el"/>
        </w:rPr>
        <w:t>Από 250 - 900 « « 7%</w:t>
      </w:r>
    </w:p>
    <w:p>
      <w:pPr>
        <w:spacing w:before="240" w:after="240"/>
        <w:rPr>
          <w:lang w:val="el" w:eastAsia="el"/>
        </w:rPr>
      </w:pPr>
      <w:r>
        <w:rPr>
          <w:b/>
          <w:bCs/>
          <w:lang w:val="el" w:eastAsia="el"/>
        </w:rPr>
        <w:t>Από 901 - 1400 « " 12%</w:t>
      </w:r>
    </w:p>
    <w:p>
      <w:pPr>
        <w:spacing w:before="240" w:after="240"/>
        <w:rPr>
          <w:lang w:val="el" w:eastAsia="el"/>
        </w:rPr>
      </w:pPr>
      <w:r>
        <w:rPr>
          <w:b/>
          <w:bCs/>
          <w:lang w:val="el" w:eastAsia="el"/>
        </w:rPr>
        <w:t>Από 1401 - 1600 « « 14%</w:t>
      </w:r>
    </w:p>
    <w:p>
      <w:pPr>
        <w:spacing w:before="240" w:after="240"/>
        <w:rPr>
          <w:lang w:val="el" w:eastAsia="el"/>
        </w:rPr>
      </w:pPr>
      <w:r>
        <w:rPr>
          <w:b/>
          <w:bCs/>
          <w:lang w:val="el" w:eastAsia="el"/>
        </w:rPr>
        <w:t>Από 1601 - 1800 « « 17%</w:t>
      </w:r>
    </w:p>
    <w:p>
      <w:pPr>
        <w:spacing w:before="240" w:after="240"/>
        <w:rPr>
          <w:lang w:val="el" w:eastAsia="el"/>
        </w:rPr>
      </w:pPr>
      <w:r>
        <w:rPr>
          <w:b/>
          <w:bCs/>
          <w:lang w:val="el" w:eastAsia="el"/>
        </w:rPr>
        <w:t>Από 1801 κυβικά εκατοστά και πάνω 25%».</w:t>
      </w:r>
    </w:p>
    <w:p>
      <w:pPr>
        <w:spacing w:before="240" w:after="240"/>
        <w:rPr>
          <w:lang w:val="el" w:eastAsia="el"/>
        </w:rPr>
      </w:pPr>
      <w:r>
        <w:rPr>
          <w:b/>
          <w:bCs/>
          <w:lang w:val="el" w:eastAsia="el"/>
        </w:rPr>
        <w:t>β. Επιβατικά αυτοκίνητα και μοτοσικλέτες για τα οποία μέχρι την έναρξη ισχύος του παρόντος άρθρου είχαν κατατεθεί παραστατικά τελωνισμού και δεν έχουν εκδοθεί αποδεικτικά είσπραξης ή είχαν παραληφθεί κατ` εφαρμογή των διατάξεων της παραγράφου 3 του άρθρου 11 του Ν. 1477/1984 (ΦΕΚ 144 Α) ή της παραγράφου 3 του άρθρου 133 του Ν. 2960/2001 διέπονται από τις διατάξεις του άρθρου αυτού.</w:t>
      </w:r>
    </w:p>
    <w:p>
      <w:pPr>
        <w:spacing w:before="240" w:after="240"/>
        <w:rPr>
          <w:lang w:val="el" w:eastAsia="el"/>
        </w:rPr>
      </w:pPr>
      <w:r>
        <w:rPr>
          <w:b/>
          <w:bCs/>
          <w:lang w:val="el" w:eastAsia="el"/>
        </w:rPr>
        <w:t>Επιβατικά αυτοκίνητα καί μοτοσικλέτες για τα οποία έχουν εκδοθεί αποδεικτικά είσπραξης του τέλους ταξινόμησης, πλην όμως δεν έχουν ταξινομηθεί και πωληθεί από τις εμπορικές επιχειρήσεις μπορούν, με αίτησή τους, να υπαχθούν στις διατάξεις του παρόντος άρθρου με επανυπολογισμό του τέλους ταξινόμησης και συμψηφισμό του καταβληθέντος τέλους και επιστροφή της προκύπτουσας διαφοράς. Στη ρύθμιση αυτήν υπάγονται και τα παραπάνω οχήματα τα οποία μέχρι την έναρξη ισχύος του παρόντος άρθρου είχαν τιμολογηθεί από τις εμπορικές επιχειρήσεις, πλην όμως για τη μεταβίβαση στον ιδιώτη δεν έχει γίνει θεώρηση του πιστοποιητικού ταξινόμησης από την αρμόδια Δημόσια Οικονομική Υπηρεσία (Δ.Ο.Υ.) για την καταβολή των οφειλόμενων τελών ή είχε γίνει η θεώρηση αυτή, αλλά τα οχήματα δεν είχαν τιμολογηθεί από τις εμπορικές επιχειρήσεις.</w:t>
      </w:r>
    </w:p>
    <w:p>
      <w:pPr>
        <w:spacing w:before="240" w:after="240"/>
        <w:rPr>
          <w:lang w:val="el" w:eastAsia="el"/>
        </w:rPr>
      </w:pPr>
      <w:r>
        <w:rPr>
          <w:b/>
          <w:bCs/>
          <w:lang w:val="el" w:eastAsia="el"/>
        </w:rPr>
        <w:t>γ. Η ισχύς των διατάξεων της παραγράφου αυτής αρχίζει από 3.9.2003.</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του Υπουργείου Μεταφορών και Επικοινωνιών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τελωνειακές 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2"/>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3"/>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b/>
          <w:bCs/>
          <w:lang w:val="el" w:eastAsia="el"/>
        </w:rPr>
        <w:t xml:space="preserve"> Όπου στον παρόντα Κώδικα αναφέρεται ο όρος «πετρελαιοειδή προϊόντα» νοούνται τα ενεργειακά προϊόντα και η ηλεκτρική ενέργεια.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Όπου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73 του παρόντα Κώδικα.</w:t>
      </w:r>
      <w:r>
        <w:rPr>
          <w:rStyle w:val="Hyperlink"/>
          <w:b/>
          <w:bCs/>
          <w:color w:val="000000"/>
          <w:sz w:val="20"/>
          <w:szCs w:val="20"/>
          <w:u w:val="none" w:color="0000EE"/>
          <w:vertAlign w:val="superscript"/>
          <w:lang w:val="el" w:eastAsia="el"/>
        </w:rPr>
        <w:footnoteReference w:id="35"/>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1" w:history="1">
        <w:r>
          <w:rPr>
            <w:rStyle w:val="Hyperlink"/>
            <w:b/>
            <w:bCs/>
            <w:color w:val="0000EE"/>
            <w:u w:color="0000EE"/>
            <w:lang w:val="el" w:eastAsia="el"/>
          </w:rPr>
          <w:t>Τροποποίηση 3336/2005, Άρθρο 1</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1" w:history="1">
        <w:r>
          <w:rPr>
            <w:rStyle w:val="Hyperlink"/>
            <w:b/>
            <w:bCs/>
            <w:color w:val="0000EE"/>
            <w:u w:color="0000EE"/>
            <w:lang w:val="el" w:eastAsia="el"/>
          </w:rPr>
          <w:t>Τροποποίηση 3336/2005, Άρθρο 1</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1" w:history="1">
        <w:r>
          <w:rPr>
            <w:rStyle w:val="Hyperlink"/>
            <w:b/>
            <w:bCs/>
            <w:color w:val="0000EE"/>
            <w:u w:color="0000EE"/>
            <w:lang w:val="el" w:eastAsia="el"/>
          </w:rPr>
          <w:t>Τροποποίηση 3336/2005, Άρθρο 1</w:t>
        </w:r>
      </w:hyperlink>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 w:anchor="art_10" w:history="1">
        <w:r>
          <w:rPr>
            <w:rStyle w:val="Hyperlink"/>
            <w:b w:val="0"/>
            <w:bCs w:val="0"/>
            <w:i w:val="0"/>
            <w:iCs w:val="0"/>
            <w:smallCaps w:val="0"/>
            <w:color w:val="0000EE"/>
            <w:u w:color="0000EE"/>
            <w:lang w:val="el" w:eastAsia="el"/>
          </w:rPr>
          <w:t>Τροποποίηση 3483/2006, Άρθρο 10</w:t>
        </w:r>
      </w:hyperlink>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3336/2005,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3336/2005,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Τροποποίηση 3336/2005,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3336/2005,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3336/2005,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0" w:history="1">
        <w:r>
          <w:rPr>
            <w:rStyle w:val="Hyperlink"/>
            <w:b/>
            <w:bCs/>
            <w:color w:val="0000EE"/>
            <w:u w:color="0000EE"/>
            <w:lang w:val="el" w:eastAsia="el"/>
          </w:rPr>
          <w:t>Τροποποίηση 3483/2006, Άρθρο 10</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3336/2005,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3336/2005,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3336/2005,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2" w:history="1">
        <w:r>
          <w:rPr>
            <w:rStyle w:val="Hyperlink"/>
            <w:b/>
            <w:bCs/>
            <w:color w:val="0000EE"/>
            <w:u w:color="0000EE"/>
            <w:lang w:val="el" w:eastAsia="el"/>
          </w:rPr>
          <w:t>Προσθήκη 3336/2005, Άρθρο 12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6" w:history="1">
        <w:r>
          <w:rPr>
            <w:rStyle w:val="Hyperlink"/>
            <w:b/>
            <w:bCs/>
            <w:color w:val="0000EE"/>
            <w:u w:color="0000EE"/>
            <w:lang w:val="el" w:eastAsia="el"/>
          </w:rPr>
          <w:t>Τροποποίηση 3259/2004, Άρθρο 16</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7" w:history="1">
        <w:r>
          <w:rPr>
            <w:rStyle w:val="Hyperlink"/>
            <w:b/>
            <w:bCs/>
            <w:color w:val="0000EE"/>
            <w:u w:color="0000EE"/>
            <w:lang w:val="el" w:eastAsia="el"/>
          </w:rPr>
          <w:t>Τροποποίηση 3453/2006, Άρθρο 7</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45" w:history="1">
        <w:r>
          <w:rPr>
            <w:rStyle w:val="Hyperlink"/>
            <w:b/>
            <w:bCs/>
            <w:color w:val="0000EE"/>
            <w:u w:color="0000EE"/>
            <w:lang w:val="el" w:eastAsia="el"/>
          </w:rPr>
          <w:t>Αφαίρεση 2992/2002, Άρθρο 45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6" w:history="1">
        <w:r>
          <w:rPr>
            <w:rStyle w:val="Hyperlink"/>
            <w:b/>
            <w:bCs/>
            <w:color w:val="0000EE"/>
            <w:u w:color="0000EE"/>
            <w:lang w:val="el" w:eastAsia="el"/>
          </w:rPr>
          <w:t>Προσθήκη 3259/2004, Άρθρο 16</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Προσθήκη 3336/2005,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6" TargetMode="External" /><Relationship Id="rId10" Type="http://schemas.openxmlformats.org/officeDocument/2006/relationships/hyperlink" Target="http://data.aade.gr/eli/pri/law/2006/08/07/3483" TargetMode="External" /><Relationship Id="rId11" Type="http://schemas.openxmlformats.org/officeDocument/2006/relationships/hyperlink" Target="http://data.aade.gr/eli/pri/law/2005/04/20/3336" TargetMode="External" /><Relationship Id="rId12" Type="http://schemas.openxmlformats.org/officeDocument/2006/relationships/hyperlink" Target="http://data.aade.gr/eli/pri/law/2005/04/20/3336" TargetMode="External" /><Relationship Id="rId13" Type="http://schemas.openxmlformats.org/officeDocument/2006/relationships/hyperlink" Target="http://data.aade.gr/eli/pri/law/2005/04/20/3336" TargetMode="External" /><Relationship Id="rId14" Type="http://schemas.openxmlformats.org/officeDocument/2006/relationships/hyperlink" Target="http://data.aade.gr/eli/pri/law/2005/04/20/3336" TargetMode="External" /><Relationship Id="rId15" Type="http://schemas.openxmlformats.org/officeDocument/2006/relationships/hyperlink" Target="http://data.aade.gr/eli/pri/law/2004/08/04/3259" TargetMode="External" /><Relationship Id="rId16" Type="http://schemas.openxmlformats.org/officeDocument/2006/relationships/hyperlink" Target="http://data.aade.gr/eli/pri/law/2006/04/07/3453" TargetMode="External" /><Relationship Id="rId17" Type="http://schemas.openxmlformats.org/officeDocument/2006/relationships/hyperlink" Target="http://data.aade.gr/eli/pri/law/2002/03/20/2992" TargetMode="External" /><Relationship Id="rId18" Type="http://schemas.openxmlformats.org/officeDocument/2006/relationships/hyperlink" Target="http://data.aade.gr/eli/pri/law/2004/08/04/3259" TargetMode="External" /><Relationship Id="rId19" Type="http://schemas.openxmlformats.org/officeDocument/2006/relationships/hyperlink" Target="http://data.aade.gr/eli/pri/law/2005/04/20/3336" TargetMode="External" /><Relationship Id="rId2" Type="http://schemas.openxmlformats.org/officeDocument/2006/relationships/hyperlink" Target="http://data.aade.gr/eli/pri/law/2005/04/20/3336" TargetMode="External" /><Relationship Id="rId20" Type="http://schemas.openxmlformats.org/officeDocument/2006/relationships/hyperlink" Target="http://data.aade.gr/eli/pri/law/2005/04/20/3336" TargetMode="External" /><Relationship Id="rId3" Type="http://schemas.openxmlformats.org/officeDocument/2006/relationships/hyperlink" Target="http://data.aade.gr/eli/pri/law/2005/04/20/3336" TargetMode="External" /><Relationship Id="rId4" Type="http://schemas.openxmlformats.org/officeDocument/2006/relationships/hyperlink" Target="http://data.aade.gr/eli/pri/law/2006/08/07/3483" TargetMode="External" /><Relationship Id="rId5" Type="http://schemas.openxmlformats.org/officeDocument/2006/relationships/hyperlink" Target="http://data.aade.gr/eli/pri/law/2005/04/20/3336" TargetMode="External" /><Relationship Id="rId6" Type="http://schemas.openxmlformats.org/officeDocument/2006/relationships/hyperlink" Target="http://data.aade.gr/eli/pri/law/2005/04/20/3336" TargetMode="External" /><Relationship Id="rId7" Type="http://schemas.openxmlformats.org/officeDocument/2006/relationships/hyperlink" Target="http://data.aade.gr/eli/pri/law/2005/04/20/3336" TargetMode="External" /><Relationship Id="rId8" Type="http://schemas.openxmlformats.org/officeDocument/2006/relationships/hyperlink" Target="http://data.aade.gr/eli/pri/law/2005/04/20/3336" TargetMode="External" /><Relationship Id="rId9" Type="http://schemas.openxmlformats.org/officeDocument/2006/relationships/hyperlink" Target="http://data.aade.gr/eli/pri/law/2005/04/20/3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