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7"/>
        <w:gridCol w:w="1594"/>
        <w:gridCol w:w="954"/>
        <w:gridCol w:w="954"/>
        <w:gridCol w:w="954"/>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11 51 και 2711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3"/>
            </w: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5"/>
      </w:r>
      <w:r>
        <w:rPr>
          <w:b/>
          <w:bCs/>
          <w:lang w:val="el" w:eastAsia="el"/>
        </w:rPr>
        <w:t>.</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3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1623"/>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καύσης(DIESEL) που χρησιμοποιείται αποκλειστικά για την παραγωγή ηλεκτρικού ρεύματος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6"/>
            </w:r>
            <w:r>
              <w:rPr>
                <w:rStyle w:val="Hyperlink"/>
                <w:b w:val="0"/>
                <w:bCs w:val="0"/>
                <w:i w:val="0"/>
                <w:iCs w:val="0"/>
                <w:smallCaps w:val="0"/>
                <w:color w:val="000000"/>
                <w:sz w:val="20"/>
                <w:szCs w:val="20"/>
                <w:u w:val="none" w:color="0000EE"/>
                <w:vertAlign w:val="superscript"/>
                <w:lang w:val="el" w:eastAsia="el"/>
              </w:rPr>
              <w:footnoteReference w:id="4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4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2"/>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3"/>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57"/>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αλκοόλης.</w:t>
      </w:r>
    </w:p>
    <w:p>
      <w:pPr>
        <w:pStyle w:val="MainText"/>
        <w:spacing w:before="120" w:after="0"/>
        <w:rPr>
          <w:lang w:val="el" w:eastAsia="el"/>
        </w:rPr>
      </w:pPr>
      <w:r>
        <w:rPr>
          <w:b/>
          <w:bCs/>
          <w:lang w:val="el" w:eastAsia="el"/>
        </w:rPr>
        <w:t>2.</w:t>
      </w:r>
      <w:r>
        <w:rPr>
          <w:b/>
          <w:bCs/>
          <w:lang w:val="el" w:eastAsia="el"/>
        </w:rPr>
        <w:t xml:space="preserve"> Ο συντελεστής του Ειδικού Φόρου Κατανάλωσης (Ε.Φ.Κ.) αιθυλικής αλκοόλης καθορίζεται σε χίλια ενενήντα (1.090) ευρώ ανά εκατόλιτρο άνυδρης αιθυλικής αλκοόλης</w:t>
      </w:r>
      <w:r>
        <w:rPr>
          <w:rStyle w:val="Hyperlink"/>
          <w:b/>
          <w:bCs/>
          <w:color w:val="000000"/>
          <w:sz w:val="20"/>
          <w:szCs w:val="20"/>
          <w:u w:val="none" w:color="0000EE"/>
          <w:vertAlign w:val="superscript"/>
          <w:lang w:val="el" w:eastAsia="el"/>
        </w:rPr>
        <w:footnoteReference w:id="5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πεντακόσια σαράντα πέντε (545)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w:t>
      </w:r>
    </w:p>
    <w:p>
      <w:pPr>
        <w:spacing w:before="240" w:after="240"/>
        <w:rPr>
          <w:lang w:val="el" w:eastAsia="el"/>
        </w:rPr>
      </w:pPr>
      <w:r>
        <w:rPr>
          <w:b/>
          <w:bCs/>
          <w:lang w:val="el" w:eastAsia="el"/>
        </w:rPr>
        <w:t>(Ε.Φ.Κ.) εφαρμόζεται και στην περιοχή Δωδεκανήσου για την αιθυλική</w:t>
      </w:r>
    </w:p>
    <w:p>
      <w:pPr>
        <w:spacing w:before="240" w:after="240"/>
        <w:rPr>
          <w:lang w:val="el" w:eastAsia="el"/>
        </w:rPr>
      </w:pPr>
      <w:r>
        <w:rPr>
          <w:b/>
          <w:bCs/>
          <w:lang w:val="el" w:eastAsia="el"/>
        </w:rPr>
        <w:t>αλκοόλη που περιέχεται και στα λοιπά, πλην των παραπάνω, αλκοολούχα</w:t>
      </w:r>
    </w:p>
    <w:p>
      <w:pPr>
        <w:spacing w:before="240" w:after="240"/>
        <w:rPr>
          <w:lang w:val="el" w:eastAsia="el"/>
        </w:rPr>
      </w:pPr>
      <w:r>
        <w:rPr>
          <w:b/>
          <w:bCs/>
          <w:lang w:val="el" w:eastAsia="el"/>
        </w:rPr>
        <w:t>ποτά ή άλλα αλκοολούχα προϊόντα, τα οποία αποκτώνται από τα άλλα Κράτη</w:t>
      </w:r>
    </w:p>
    <w:p>
      <w:pPr>
        <w:pStyle w:val="StructureList1"/>
        <w:spacing w:before="120" w:after="0"/>
        <w:rPr>
          <w:lang w:val="el" w:eastAsia="el"/>
        </w:rPr>
      </w:pPr>
      <w:r>
        <w:rPr>
          <w:b/>
          <w:bCs/>
          <w:lang w:val="el" w:eastAsia="el"/>
        </w:rPr>
        <w:t>-</w:t>
      </w:r>
      <w:r>
        <w:rPr>
          <w:b/>
          <w:bCs/>
          <w:lang w:val="en" w:eastAsia="en"/>
        </w:rPr>
        <w:tab/>
      </w:r>
      <w:r>
        <w:rPr>
          <w:b/>
          <w:bCs/>
          <w:lang w:val="el" w:eastAsia="el"/>
        </w:rPr>
        <w:t>Μέλη της Κοινότητας, αποστέλλονται από φορολογική αποθήκη της λοιπής</w:t>
      </w:r>
    </w:p>
    <w:p>
      <w:pPr>
        <w:spacing w:before="240" w:after="240"/>
        <w:rPr>
          <w:lang w:val="el" w:eastAsia="el"/>
        </w:rPr>
      </w:pPr>
      <w:r>
        <w:rPr>
          <w:b/>
          <w:bCs/>
          <w:lang w:val="el" w:eastAsia="el"/>
        </w:rPr>
        <w:t>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w:t>
      </w:r>
    </w:p>
    <w:p>
      <w:pPr>
        <w:spacing w:before="240" w:after="240"/>
        <w:rPr>
          <w:lang w:val="el" w:eastAsia="el"/>
        </w:rPr>
      </w:pPr>
      <w:r>
        <w:rPr>
          <w:b/>
          <w:bCs/>
          <w:lang w:val="el" w:eastAsia="el"/>
        </w:rPr>
        <w:t>χρησιμοποιείται στην περιοχή αυτή για την παραγωγή των παραπάνω ποτών</w:t>
      </w:r>
    </w:p>
    <w:p>
      <w:pPr>
        <w:spacing w:before="240" w:after="240"/>
        <w:rPr>
          <w:lang w:val="el" w:eastAsia="el"/>
        </w:rPr>
      </w:pPr>
      <w:r>
        <w:rPr>
          <w:b/>
          <w:bCs/>
          <w:lang w:val="el" w:eastAsia="el"/>
        </w:rPr>
        <w:t>και προϊόντων.</w:t>
      </w:r>
    </w:p>
    <w:p>
      <w:pPr>
        <w:spacing w:before="240" w:after="240"/>
        <w:rPr>
          <w:lang w:val="el" w:eastAsia="el"/>
        </w:rPr>
      </w:pPr>
      <w:r>
        <w:rPr>
          <w:b/>
          <w:bCs/>
          <w:lang w:val="el" w:eastAsia="el"/>
        </w:rPr>
        <w:t>Οι όροι και προϋποθέσεις εφαρμογής των διατάξεων της παρούσας</w:t>
      </w:r>
    </w:p>
    <w:p>
      <w:pPr>
        <w:spacing w:before="240" w:after="240"/>
        <w:rPr>
          <w:lang w:val="el" w:eastAsia="el"/>
        </w:rPr>
      </w:pPr>
      <w:r>
        <w:rPr>
          <w:b/>
          <w:bCs/>
          <w:lang w:val="el" w:eastAsia="el"/>
        </w:rPr>
        <w:t>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0"/>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3"/>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66"/>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Ο φόρος αυτός ορίζεται σε ένα ευρώ και δεκατρία λεπτά (1,13) ανά</w:t>
      </w:r>
    </w:p>
    <w:p>
      <w:pPr>
        <w:spacing w:before="240" w:after="240"/>
        <w:rPr>
          <w:lang w:val="el" w:eastAsia="el"/>
        </w:rPr>
      </w:pPr>
      <w:r>
        <w:rPr>
          <w:b/>
          <w:bCs/>
          <w:lang w:val="el" w:eastAsia="el"/>
        </w:rPr>
        <w:t>βαθμό ΡLΑΤΟ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Εφαρμόζεται μειωμένος κατά πενήντα τοις εκατό (50%)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Ενωσης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 Ο μειωμένος αυτός συντελεστής καθορίζεται σε πενήντα επτά λεπτά (0,57)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Οικονομίας και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Συνετελεστές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προ.ίόντα του προηγούμενου άρθρου ορίζεται σε σαράντα πέντε (45)</w:t>
      </w:r>
    </w:p>
    <w:p>
      <w:pPr>
        <w:spacing w:before="240" w:after="240"/>
        <w:rPr>
          <w:lang w:val="el" w:eastAsia="el"/>
        </w:rPr>
      </w:pPr>
      <w:r>
        <w:rPr>
          <w:b/>
          <w:bCs/>
          <w:lang w:val="el" w:eastAsia="el"/>
        </w:rPr>
        <w:t>ευρώ ανά εκατόλιτρο τελικού προϊόντος, με εξαίρεση τα προϊόντα που</w:t>
      </w:r>
    </w:p>
    <w:p>
      <w:pPr>
        <w:spacing w:before="240" w:after="240"/>
        <w:rPr>
          <w:lang w:val="el" w:eastAsia="el"/>
        </w:rPr>
      </w:pPr>
      <w:r>
        <w:rPr>
          <w:b/>
          <w:bCs/>
          <w:lang w:val="el" w:eastAsia="el"/>
        </w:rPr>
        <w:t>ορίζονται στα σημεία 5, 6 και 7 του μέρους ΙΒ του Παραρτήματος γι του</w:t>
      </w:r>
    </w:p>
    <w:p>
      <w:pPr>
        <w:spacing w:before="240" w:after="240"/>
        <w:rPr>
          <w:lang w:val="el" w:eastAsia="el"/>
        </w:rPr>
      </w:pPr>
      <w:r>
        <w:rPr>
          <w:b/>
          <w:bCs/>
          <w:lang w:val="el" w:eastAsia="el"/>
        </w:rPr>
        <w:t>Κανονισμού ΕΚ του Συμβουλίου αριθμός 1493/1999 (ΕΕL 179/14.7.1999), για</w:t>
      </w:r>
    </w:p>
    <w:p>
      <w:pPr>
        <w:spacing w:before="240" w:after="240"/>
        <w:rPr>
          <w:lang w:val="el" w:eastAsia="el"/>
        </w:rPr>
      </w:pPr>
      <w:r>
        <w:rPr>
          <w:b/>
          <w:bCs/>
          <w:lang w:val="el" w:eastAsia="el"/>
        </w:rPr>
        <w:t>τα οποία ο συντελεστής ορίζεται σε είκοσι δύο ευρώ και πενήντα λεπτά</w:t>
      </w:r>
    </w:p>
    <w:p>
      <w:pPr>
        <w:spacing w:before="240" w:after="240"/>
        <w:rPr>
          <w:lang w:val="el" w:eastAsia="el"/>
        </w:rPr>
      </w:pPr>
      <w:r>
        <w:rPr>
          <w:b/>
          <w:bCs/>
          <w:lang w:val="el" w:eastAsia="el"/>
        </w:rPr>
        <w:t>(22,5)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 </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1η Ιανουαρίου του δεύτερου έτους που έπεται εκείνου της μεταβολής.</w:t>
      </w:r>
    </w:p>
    <w:p>
      <w:pPr>
        <w:spacing w:before="240" w:after="240"/>
        <w:rPr>
          <w:lang w:val="el" w:eastAsia="el"/>
        </w:rPr>
      </w:pPr>
      <w:r>
        <w:rPr>
          <w:b/>
          <w:bCs/>
          <w:lang w:val="el" w:eastAsia="el"/>
        </w:rPr>
        <w:t xml:space="preserve">Ο Ειδικός Φόρος Κατανάλωσης (Ε.Φ.Κ.) διαρθρώνεται: </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 δα προϊόντος, το ποσό του οποίου είναι ίσο προς 5% της συνολικής φορολογικής επιβάρυνσης, η οποία προκύπτει από το άθροισμα του Ειδικού Φόρου Κατανάλωσης (Ε.Φ.Κ.) καπνού και του Φόρου Προστιθέμενης Αξίας (Φ.Π.Α.),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πώλησής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53,8625% και προκύπτει από το κλάσμα που έχει ως αριθμητή το γινόμενο του συντελεστή του Ειδικού Φόρου Κατανάλωσης (Ε.Φ.Κ.)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53,8625%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rStyle w:val="Hyperlink"/>
          <w:b/>
          <w:bCs/>
          <w:color w:val="000000"/>
          <w:sz w:val="20"/>
          <w:szCs w:val="20"/>
          <w:u w:val="none" w:color="0000EE"/>
          <w:vertAlign w:val="superscript"/>
          <w:lang w:val="el" w:eastAsia="el"/>
        </w:rPr>
        <w:footnoteReference w:id="68"/>
      </w:r>
      <w:r>
        <w:rPr>
          <w:b/>
          <w:bCs/>
          <w:lang w:val="el" w:eastAsia="el"/>
        </w:rPr>
        <w:t>Στα τσιγάρα που πωλούνται σε τιμή μικρότερη από την τιμή λιανικής πώλησης των τσιγάρων της πλέον ζητούμενης τιμής (Π.Ζ.Τ.), το συνολικό ποσό του Ειδικού Φόρου Κατανάλωσης, που υπολογίζεται σύμφωνα με τις ανωτέρω περιπτώσεις α΄ και β΄, δεν μπορεί να είναι κατώτερο του εξήντα πέντε τοις εκατό (65%) του συνολικού Ειδικού Φόρου Κατανάλωσης που επιβάλλεται στην πλέον ζητούμενη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λοιπά βιομηχανοποιημένα καπνά ο συντελεστής του Ειδικού Φόρου Κατανάλωσης (Ε.Φ.Κ.)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26% επί της κα- τά χιλιόγραμμο τιμής λιανικής πώλησής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 πνά για κάπνισμα, σε ποσοστό 59% επί της κατά χιλιό- γραμμο τιμής λιανικής πώλησής τους.</w:t>
      </w:r>
    </w:p>
    <w:p>
      <w:pPr>
        <w:pStyle w:val="MainText"/>
        <w:spacing w:before="120" w:after="0"/>
        <w:rPr>
          <w:lang w:val="el" w:eastAsia="el"/>
        </w:rPr>
      </w:pPr>
      <w:r>
        <w:rPr>
          <w:b/>
          <w:bCs/>
          <w:lang w:val="el" w:eastAsia="el"/>
        </w:rPr>
        <w:t>3.</w:t>
      </w:r>
      <w:r>
        <w:rPr>
          <w:b/>
          <w:bCs/>
          <w:lang w:val="el" w:eastAsia="el"/>
        </w:rPr>
        <w:t xml:space="preserve"> Για τα βιομηχανοποιημένα καπνά που παράγονται κα- τόπιν ειδικής παραγγελίας και δεν προορίζονται για εμπο- ρία, καθώς και τα προϊόντα που διατίθενται στην αγορά δωρεάν για ερευνητικούς σκοπούς, ανεξάρτητα από την προέλευσή τους, συσκευασμένα σε λευκά πακέτα χωρίς ενδείξεις και τιμή λιανικής πώλησης, ο Ειδικός Φόρος Κα- τανάλωσης (Ε.Φ.Κ.) υπολογίζεται στην ανώτατη τιμή λια- 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4.</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(Ε.Φ.Κ.) υπολογίζεται, προκειμένου για τσιγάρα στην πλέον ζη- τούμενη τιμή λιανικής πώλησης που ισχύει κάθε φορά, προσαυξημένη κατά δέκα τοις εκατό (10%), και για τα λοι- πά καπνοβιομηχανικά προϊόντα στην ανώτατη τιμή λιανι- 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70"/>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71"/>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2"/>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ενεργείται επί παραστατικού εγγράφου, το οποίο κατατίθεται από τον υπόχρεο στην αρμόδια Αρχή και αποτελεί τίτλο υπέρ του Δημοσίου,</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74"/>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75"/>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7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0"/>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8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8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 ευνοϊκά φορολογικά καθεστώτα.</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89"/>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1"/>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92"/>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93"/>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94"/>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του παρόντος άρθρου. Ο έλεγχος της κανονικότητας των αναγραφομένων</w:t>
      </w:r>
    </w:p>
    <w:p>
      <w:pPr>
        <w:spacing w:before="240" w:after="240"/>
        <w:rPr>
          <w:lang w:val="el" w:eastAsia="el"/>
        </w:rPr>
      </w:pPr>
      <w:r>
        <w:rPr>
          <w:b/>
          <w:bCs/>
          <w:lang w:val="el" w:eastAsia="el"/>
        </w:rPr>
        <w:t>τιμών επί των τιμοκαταλόγων των φορτηγών αυτοκινήτων και των λοιπών</w:t>
      </w:r>
    </w:p>
    <w:p>
      <w:pPr>
        <w:spacing w:before="240" w:after="240"/>
        <w:rPr>
          <w:lang w:val="el" w:eastAsia="el"/>
        </w:rPr>
      </w:pPr>
      <w:r>
        <w:rPr>
          <w:b/>
          <w:bCs/>
          <w:lang w:val="el" w:eastAsia="el"/>
        </w:rPr>
        <w:t>δικαιολογητικών στοιχείων, καθώς κι ο προσδιορισμός της φορολογητέας</w:t>
      </w:r>
    </w:p>
    <w:p>
      <w:pPr>
        <w:spacing w:before="240" w:after="240"/>
        <w:rPr>
          <w:lang w:val="el" w:eastAsia="el"/>
        </w:rPr>
      </w:pPr>
      <w:r>
        <w:rPr>
          <w:b/>
          <w:bCs/>
          <w:lang w:val="el" w:eastAsia="el"/>
        </w:rPr>
        <w:t>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96"/>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w:t>
      </w:r>
    </w:p>
    <w:p>
      <w:pPr>
        <w:spacing w:before="240" w:after="240"/>
        <w:rPr>
          <w:lang w:val="el" w:eastAsia="el"/>
        </w:rPr>
      </w:pPr>
      <w:r>
        <w:rPr>
          <w:b/>
          <w:bCs/>
          <w:lang w:val="el" w:eastAsia="el"/>
        </w:rPr>
        <w:t>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b/>
          <w:bCs/>
          <w:lang w:val="el" w:eastAsia="el"/>
        </w:rPr>
        <w:t xml:space="preserve">Με </w:t>
      </w:r>
      <w:r>
        <w:rPr>
          <w:rStyle w:val="Hyperlink"/>
          <w:b/>
          <w:bCs/>
          <w:color w:val="000000"/>
          <w:sz w:val="20"/>
          <w:szCs w:val="20"/>
          <w:u w:val="none" w:color="0000EE"/>
          <w:vertAlign w:val="superscript"/>
          <w:lang w:val="el" w:eastAsia="el"/>
        </w:rPr>
        <w:footnoteReference w:id="98"/>
      </w:r>
      <w:r>
        <w:rPr>
          <w:b/>
          <w:bCs/>
          <w:lang w:val="el" w:eastAsia="el"/>
        </w:rPr>
        <w:t>όμοια απόφαση συνιστάται Ειδική Επιτροπή για τον έλεγχο της κανονικότητας των αναγραφόμενων τιμών επί των τιμοκαταλόγων των επισήμων διανομέων αυτοκινήτων και των τιμών αγοράς των μεταχειρισμένων επιβατικών αυτοκινήτων. Από την ίδια Επιτροπή προσδιορίζεται και η φορολογητέα αξία των εγχωρίως παραγόμενων αυτοκινήτων.</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99"/>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02"/>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1"/>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1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1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2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Δικονομίας προσφυγή.</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3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3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3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3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3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3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4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1" w:anchor="art_10" w:history="1">
        <w:r>
          <w:rPr>
            <w:rStyle w:val="Hyperlink"/>
            <w:b w:val="0"/>
            <w:bCs w:val="0"/>
            <w:i w:val="0"/>
            <w:iCs w:val="0"/>
            <w:smallCaps w:val="0"/>
            <w:color w:val="0000EE"/>
            <w:u w:color="0000EE"/>
            <w:lang w:val="el" w:eastAsia="el"/>
          </w:rPr>
          <w:t>Τροποποίηση 3483/2006, Άρθρο 10</w:t>
        </w:r>
      </w:hyperlink>
    </w:p>
  </w:footnote>
  <w:footnote w:id="3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Προσθήκη 3634/2008,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1" w:history="1">
        <w:r>
          <w:rPr>
            <w:rStyle w:val="Hyperlink"/>
            <w:b/>
            <w:bCs/>
            <w:color w:val="0000EE"/>
            <w:u w:color="0000EE"/>
            <w:lang w:val="el" w:eastAsia="el"/>
          </w:rPr>
          <w:t>Τροποποίηση 3336/2005,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0" w:history="1">
        <w:r>
          <w:rPr>
            <w:rStyle w:val="Hyperlink"/>
            <w:b/>
            <w:bCs/>
            <w:color w:val="0000EE"/>
            <w:u w:color="0000EE"/>
            <w:lang w:val="el" w:eastAsia="el"/>
          </w:rPr>
          <w:t>Αφαίρεση 3634/2008, Άρθρο 30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Προσθήκη 3583/2007, Άρθρο 1</w:t>
        </w:r>
      </w:hyperlink>
    </w:p>
  </w:footnote>
  <w:footnote w:id="4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0" w:anchor="art_1" w:history="1">
        <w:r>
          <w:rPr>
            <w:rStyle w:val="Hyperlink"/>
            <w:b w:val="0"/>
            <w:bCs w:val="0"/>
            <w:i w:val="0"/>
            <w:iCs w:val="0"/>
            <w:smallCaps w:val="0"/>
            <w:color w:val="0000EE"/>
            <w:u w:color="0000EE"/>
            <w:lang w:val="el" w:eastAsia="el"/>
          </w:rPr>
          <w:t>Αφαίρεση 3583/2007, Άρθρο 1</w:t>
        </w:r>
      </w:hyperlink>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1" w:anchor="art_1" w:history="1">
        <w:r>
          <w:rPr>
            <w:rStyle w:val="Hyperlink"/>
            <w:b w:val="0"/>
            <w:bCs w:val="0"/>
            <w:i w:val="0"/>
            <w:iCs w:val="0"/>
            <w:smallCaps w:val="0"/>
            <w:color w:val="0000EE"/>
            <w:u w:color="0000EE"/>
            <w:lang w:val="el" w:eastAsia="el"/>
          </w:rPr>
          <w:t>Τροποποίηση 3583/2007, Άρθρο 1</w:t>
        </w:r>
      </w:hyperlink>
    </w:p>
  </w:footnote>
  <w:footnote w:id="4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2" w:anchor="art_1" w:history="1">
        <w:r>
          <w:rPr>
            <w:rStyle w:val="Hyperlink"/>
            <w:b w:val="0"/>
            <w:bCs w:val="0"/>
            <w:i w:val="0"/>
            <w:iCs w:val="0"/>
            <w:smallCaps w:val="0"/>
            <w:color w:val="0000EE"/>
            <w:u w:color="0000EE"/>
            <w:lang w:val="el" w:eastAsia="el"/>
          </w:rPr>
          <w:t>Τροποποίηση 3583/2007, Άρθρο 1</w:t>
        </w:r>
      </w:hyperlink>
    </w:p>
  </w:footnote>
  <w:footnote w:id="4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22" w:history="1">
        <w:r>
          <w:rPr>
            <w:rStyle w:val="Hyperlink"/>
            <w:b w:val="0"/>
            <w:bCs w:val="0"/>
            <w:i w:val="0"/>
            <w:iCs w:val="0"/>
            <w:smallCaps w:val="0"/>
            <w:color w:val="0000EE"/>
            <w:u w:color="0000EE"/>
            <w:lang w:val="el" w:eastAsia="el"/>
          </w:rPr>
          <w:t>Αφαίρεση 3634/2008, Άρθρο 22</w:t>
        </w:r>
      </w:hyperlink>
    </w:p>
  </w:footnote>
  <w:footnote w:id="4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Αφαίρεση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0" w:history="1">
        <w:r>
          <w:rPr>
            <w:rStyle w:val="Hyperlink"/>
            <w:b/>
            <w:bCs/>
            <w:color w:val="0000EE"/>
            <w:u w:color="0000EE"/>
            <w:lang w:val="el" w:eastAsia="el"/>
          </w:rPr>
          <w:t>Τροποποίηση 3483/2006, Άρθρο 10</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2" w:history="1">
        <w:r>
          <w:rPr>
            <w:rStyle w:val="Hyperlink"/>
            <w:b/>
            <w:bCs/>
            <w:color w:val="0000EE"/>
            <w:u w:color="0000EE"/>
            <w:lang w:val="el" w:eastAsia="el"/>
          </w:rPr>
          <w:t>Αφαίρεση 3634/2008,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3634/2008,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3634/2008, Άρθρο 22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Προσθήκη 3583/2007, Άρθρο 1</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Προσθήκη 3583/2007,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Προσθήκη 3583/2007,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3583/2007,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Προσθήκη 3583/2007,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3583/2007,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2" w:history="1">
        <w:r>
          <w:rPr>
            <w:rStyle w:val="Hyperlink"/>
            <w:b/>
            <w:bCs/>
            <w:color w:val="0000EE"/>
            <w:u w:color="0000EE"/>
            <w:lang w:val="el" w:eastAsia="el"/>
          </w:rPr>
          <w:t>Προσθήκη 3336/2005, Άρθρο 12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3583/2007,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8" w:history="1">
        <w:r>
          <w:rPr>
            <w:rStyle w:val="Hyperlink"/>
            <w:b/>
            <w:bCs/>
            <w:color w:val="0000EE"/>
            <w:u w:color="0000EE"/>
            <w:lang w:val="el" w:eastAsia="el"/>
          </w:rPr>
          <w:t>Προσθήκη 3634/2008, Άρθρο 28</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8" w:history="1">
        <w:r>
          <w:rPr>
            <w:rStyle w:val="Hyperlink"/>
            <w:b/>
            <w:bCs/>
            <w:color w:val="0000EE"/>
            <w:u w:color="0000EE"/>
            <w:lang w:val="el" w:eastAsia="el"/>
          </w:rPr>
          <w:t>Προσθήκη 3634/2008, Άρθρο 28</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8" w:history="1">
        <w:r>
          <w:rPr>
            <w:rStyle w:val="Hyperlink"/>
            <w:b/>
            <w:bCs/>
            <w:color w:val="0000EE"/>
            <w:u w:color="0000EE"/>
            <w:lang w:val="el" w:eastAsia="el"/>
          </w:rPr>
          <w:t>Τροποποίηση 3634/2008, Άρθρο 28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3583/2007,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Αφαίρεση 3583/2007,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Προσθήκη 3583/2007,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Προσθήκη 3583/2007,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Προσθήκη 3583/2007,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Προσθήκη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4" w:history="1">
        <w:r>
          <w:rPr>
            <w:rStyle w:val="Hyperlink"/>
            <w:b/>
            <w:bCs/>
            <w:color w:val="0000EE"/>
            <w:u w:color="0000EE"/>
            <w:lang w:val="el" w:eastAsia="el"/>
          </w:rPr>
          <w:t>Τροποποίηση 3610/2007, Άρθρο 24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6" w:history="1">
        <w:r>
          <w:rPr>
            <w:rStyle w:val="Hyperlink"/>
            <w:b/>
            <w:bCs/>
            <w:color w:val="0000EE"/>
            <w:u w:color="0000EE"/>
            <w:lang w:val="el" w:eastAsia="el"/>
          </w:rPr>
          <w:t>Τροποποίηση 3259/2004, Άρθρο 16</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7" w:history="1">
        <w:r>
          <w:rPr>
            <w:rStyle w:val="Hyperlink"/>
            <w:b/>
            <w:bCs/>
            <w:color w:val="0000EE"/>
            <w:u w:color="0000EE"/>
            <w:lang w:val="el" w:eastAsia="el"/>
          </w:rPr>
          <w:t>Τροποποίηση 3453/2006, Άρθρο 7</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Προσθήκη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4" w:history="1">
        <w:r>
          <w:rPr>
            <w:rStyle w:val="Hyperlink"/>
            <w:b/>
            <w:bCs/>
            <w:color w:val="0000EE"/>
            <w:u w:color="0000EE"/>
            <w:lang w:val="el" w:eastAsia="el"/>
          </w:rPr>
          <w:t>Προσθήκη 3610/2007,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Προσθήκη 3583/2007, Άρθρο 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Αφαίρεση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Αφαίρεση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3610/2007,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45" w:history="1">
        <w:r>
          <w:rPr>
            <w:rStyle w:val="Hyperlink"/>
            <w:b/>
            <w:bCs/>
            <w:color w:val="0000EE"/>
            <w:u w:color="0000EE"/>
            <w:lang w:val="el" w:eastAsia="el"/>
          </w:rPr>
          <w:t>Αφαίρεση 2992/2002, Άρθρο 45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6" w:history="1">
        <w:r>
          <w:rPr>
            <w:rStyle w:val="Hyperlink"/>
            <w:b/>
            <w:bCs/>
            <w:color w:val="0000EE"/>
            <w:u w:color="0000EE"/>
            <w:lang w:val="el" w:eastAsia="el"/>
          </w:rPr>
          <w:t>Προσθήκη 3259/2004, Άρθρο 16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3336/2005,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11/22/3610"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7/11/22/3610"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2/03/20/2992" TargetMode="External" /><Relationship Id="rId122" Type="http://schemas.openxmlformats.org/officeDocument/2006/relationships/hyperlink" Target="http://data.aade.gr/eli/pri/law/2004/08/04/3259"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5/04/20/3336"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5/04/20/3336" TargetMode="External" /><Relationship Id="rId13"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06/08/07/34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05/04/20/3336"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05/04/20/3336"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8/01/29/3634" TargetMode="External" /><Relationship Id="rId39" Type="http://schemas.openxmlformats.org/officeDocument/2006/relationships/hyperlink" Target="http://data.aade.gr/eli/pri/law/2007/06/28/3583"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06/08/07/34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8/01/29/3634"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6/28/3583"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7/06/28/3583"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07/06/28/3583"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07/06/28/358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7/06/28/358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11/22/3610" TargetMode="External" /><Relationship Id="rId95" Type="http://schemas.openxmlformats.org/officeDocument/2006/relationships/hyperlink" Target="http://data.aade.gr/eli/pri/law/2004/08/04/3259" TargetMode="External" /><Relationship Id="rId96" Type="http://schemas.openxmlformats.org/officeDocument/2006/relationships/hyperlink" Target="http://data.aade.gr/eli/pri/law/2007/06/28/3583" TargetMode="External" /><Relationship Id="rId97" Type="http://schemas.openxmlformats.org/officeDocument/2006/relationships/hyperlink" Target="http://data.aade.gr/eli/pri/law/2006/04/07/345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