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 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8"/>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3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3"/>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4"/>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rStyle w:val="Hyperlink"/>
          <w:b/>
          <w:bCs/>
          <w:color w:val="000000"/>
          <w:sz w:val="20"/>
          <w:szCs w:val="20"/>
          <w:u w:val="none" w:color="0000EE"/>
          <w:vertAlign w:val="superscript"/>
          <w:lang w:val="el" w:eastAsia="el"/>
        </w:rPr>
        <w:footnoteReference w:id="35"/>
      </w:r>
      <w:r>
        <w:rPr>
          <w:b/>
          <w:bCs/>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 Κ.) της περίπτωσης ζ` της παραγράφου 1 και επιστρέφεται το ποσό του Ε.Φ.Κ., που υπολογίζεται με βάση τη</w:t>
      </w:r>
    </w:p>
    <w:p>
      <w:pPr>
        <w:spacing w:before="240" w:after="240"/>
        <w:rPr>
          <w:lang w:val="el" w:eastAsia="el"/>
        </w:rPr>
      </w:pPr>
      <w:r>
        <w:rPr>
          <w:b/>
          <w:bCs/>
          <w:lang w:val="el" w:eastAsia="el"/>
        </w:rPr>
        <w:t>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b/>
          <w:bCs/>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Μαίου κάθε έτους.</w:t>
      </w:r>
    </w:p>
    <w:p>
      <w:pPr>
        <w:spacing w:before="240" w:after="240"/>
        <w:rPr>
          <w:lang w:val="el" w:eastAsia="el"/>
        </w:rPr>
      </w:pPr>
      <w:r>
        <w:rPr>
          <w:b/>
          <w:bCs/>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χορηγείται επιστροφή του φόρου αυτού, σύμφωνα με τις ως άνω διατάξεις,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6"/>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40"/>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41"/>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42"/>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43"/>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4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4"/>
        <w:gridCol w:w="1623"/>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46"/>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7"/>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8"/>
            </w:r>
            <w:r>
              <w:rPr>
                <w:rStyle w:val="Hyperlink"/>
                <w:b w:val="0"/>
                <w:bCs w:val="0"/>
                <w:i w:val="0"/>
                <w:iCs w:val="0"/>
                <w:smallCaps w:val="0"/>
                <w:color w:val="000000"/>
                <w:sz w:val="20"/>
                <w:szCs w:val="20"/>
                <w:u w:val="none" w:color="0000EE"/>
                <w:vertAlign w:val="superscript"/>
                <w:lang w:val="el" w:eastAsia="el"/>
              </w:rPr>
              <w:footnoteReference w:id="4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5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1"/>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54"/>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55"/>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59"/>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0"/>
      </w:r>
      <w:r>
        <w:rPr>
          <w:b/>
          <w:bCs/>
          <w:lang w:val="el" w:eastAsia="el"/>
        </w:rPr>
        <w:t>Ο συντελεστής του ειδικού φόρου κατανάλωσης αιθυλικής αλκοόλης καθορίζεται σε χίλια πεντακόσια εβδομήντα (1.570)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επτακόσια ογδόντα πέντε (785)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4"/>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8"/>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70"/>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b/>
          <w:bCs/>
          <w:lang w:val="el" w:eastAsia="el"/>
        </w:rPr>
        <w:t>Ο φόρος αυτός ορίζεται σε ένα ευρώ και εξήντα τρία λεπτά (1,63)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b/>
          <w:bCs/>
          <w:lang w:val="el" w:eastAsia="el"/>
        </w:rPr>
        <w:t>Ο μειωμένος αυτός συντελεστής καθορίζεται σε ογδόντα δύο λεπτά (0,82)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b/>
          <w:bCs/>
          <w:lang w:val="el" w:eastAsia="el"/>
        </w:rPr>
        <w:t>Ο συντελεστής του ειδικού φόρου κατανάλωσης που επιβάλλεται στα προϊόντα του προηγούμενου άρθρου ορίζεται σε εξήντα πέντε (65)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του Συμβουλίου 606/2009 (EEL 193/24.7.2009) για τα οποία ο συντελεστής ορίζεται σε τριάντα δύο ευρώ και πενήντα λεπτά (32,50)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b/>
          <w:bCs/>
          <w:lang w:val="el" w:eastAsia="el"/>
        </w:rPr>
        <w:t>Στα τσιγάρα και στα προϊόντα που εξομοιώνονται με αυτά, ως βάση υπολογισμού του φόρου λαμβάνεται, σύμφωνα με τα στοιχεία φορολογίας που είναι γνωστά κατά την 1η Ιανουαρίου κάθε έτους, η πλέον ζητούμενη τιμή λιανικής πώλησης αυτών, ανεξάρτητα από το σήμα και την προέλευση τους. Στην τιμή αυτή ο συντελεστής του ειδικού φόρου κατανάλωσης ορίζεται σε ποσοστό 63%, με ελάχιστο φόρο είσπραξης, τα 75,60 ευρώ ανά 1.000 τσιγάρα.</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της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7,5% της συνολικής φορολογικής επιβάρυνσης, η οποία προ- κύπτει από το άθροισμα του ειδικού φόρου κατανάλωσης καπνού και του φόρου προστιθέμενης αξίας,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πώλησης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57,07725% και προκύπτει από το κλάσμα που έχει ως αριθμητή το γινόμενο του συντελεστή του ειδικού φόρου κατανάλωσης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57,07725%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Στα τσιγάρα που πωλούνται σε τιμή μικρότερη από την τιμή λιανικής πώλησης των τσιγάρων της πλέον ζητούμενης κατηγορίας τιμών, το συνολικό ποσό του ειδικού φόρου κατανάλωσης, που υπολογίζεται σύμφωνα με τις ανωτέρω περιπτώσεις α) και β) δεν μπορεί να είναι κατώτερο του εβδομήντα πέντε τοις εκατό (75%) του συνολικού ειδικού φόρου κατανάλωσης που επιβάλλεται στα τσιγάρα της πλέον ζητούμενης κατηγορίας τιμών.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1"/>
      </w:r>
      <w:r>
        <w:rPr>
          <w:b/>
          <w:bCs/>
          <w:lang w:val="el" w:eastAsia="el"/>
        </w:rPr>
        <w:t>Στα λοιπά βιομηχανοποιημένα καπνά ο συντελεστής του ειδικού φόρου κατανάλωσης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30% επί της κατά χιλιόγραμμο τιμής λιανικής πώλησης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καπνά για κάπνισμα, σε ποσοστό 65% επί της κατά χιλιόγραμμο τιμής λιανικής πώλησης τους.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82"/>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8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8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8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87"/>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spacing w:before="240" w:after="240"/>
        <w:rPr>
          <w:lang w:val="el" w:eastAsia="el"/>
        </w:rPr>
      </w:pPr>
      <w:r>
        <w:rPr>
          <w:rStyle w:val="Hyperlink"/>
          <w:b/>
          <w:bCs/>
          <w:color w:val="000000"/>
          <w:sz w:val="20"/>
          <w:szCs w:val="20"/>
          <w:u w:val="none" w:color="0000EE"/>
          <w:vertAlign w:val="superscript"/>
          <w:lang w:val="el" w:eastAsia="el"/>
        </w:rPr>
        <w:footnoteReference w:id="88"/>
      </w:r>
      <w:r>
        <w:rPr>
          <w:b/>
          <w:bCs/>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0"/>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91"/>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92"/>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3"/>
      </w:r>
      <w:r>
        <w:rPr>
          <w:b/>
          <w:bCs/>
          <w:lang w:val="el" w:eastAsia="el"/>
        </w:rPr>
        <w:t>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94"/>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95"/>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8"/>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99"/>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0"/>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2"/>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04"/>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06"/>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07"/>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08"/>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09"/>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10"/>
      </w:r>
      <w:r>
        <w:rPr>
          <w:b/>
          <w:bCs/>
          <w:lang w:val="el" w:eastAsia="el"/>
        </w:rPr>
        <w:t>...</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13"/>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17"/>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20"/>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1"/>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23"/>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29"/>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32"/>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4"/>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5"/>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6"/>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7"/>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8"/>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0"/>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1"/>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5"/>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6"/>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47"/>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48"/>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149"/>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50"/>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51"/>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153"/>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54"/>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5"/>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56"/>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5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0"/>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2"/>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3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1" w:anchor="art_10" w:history="1">
        <w:r>
          <w:rPr>
            <w:rStyle w:val="Hyperlink"/>
            <w:b w:val="0"/>
            <w:bCs w:val="0"/>
            <w:i w:val="0"/>
            <w:iCs w:val="0"/>
            <w:smallCaps w:val="0"/>
            <w:color w:val="0000EE"/>
            <w:u w:color="0000EE"/>
            <w:lang w:val="el" w:eastAsia="el"/>
          </w:rPr>
          <w:t>Τροποποίηση 3483/2006, Άρθρο 10</w:t>
        </w:r>
      </w:hyperlink>
    </w:p>
  </w:footnote>
  <w:footnote w:id="3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Προσθήκη 3634/2008,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3336/2005,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3336/2005,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3336/2005,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3336/2005,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Τροποποίηση 3336/2005,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0" w:history="1">
        <w:r>
          <w:rPr>
            <w:rStyle w:val="Hyperlink"/>
            <w:b/>
            <w:bCs/>
            <w:color w:val="0000EE"/>
            <w:u w:color="0000EE"/>
            <w:lang w:val="el" w:eastAsia="el"/>
          </w:rPr>
          <w:t>Αφαίρεση 3634/2008, Άρθρο 30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Προσθήκη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0" w:anchor="art_1" w:history="1">
        <w:r>
          <w:rPr>
            <w:rStyle w:val="Hyperlink"/>
            <w:b w:val="0"/>
            <w:bCs w:val="0"/>
            <w:i w:val="0"/>
            <w:iCs w:val="0"/>
            <w:smallCaps w:val="0"/>
            <w:color w:val="0000EE"/>
            <w:u w:color="0000EE"/>
            <w:lang w:val="el" w:eastAsia="el"/>
          </w:rPr>
          <w:t>Αφαίρεση 3583/2007, Άρθρο 1</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1" w:anchor="art_1" w:history="1">
        <w:r>
          <w:rPr>
            <w:rStyle w:val="Hyperlink"/>
            <w:b w:val="0"/>
            <w:bCs w:val="0"/>
            <w:i w:val="0"/>
            <w:iCs w:val="0"/>
            <w:smallCaps w:val="0"/>
            <w:color w:val="0000EE"/>
            <w:u w:color="0000EE"/>
            <w:lang w:val="el" w:eastAsia="el"/>
          </w:rPr>
          <w:t>Τροποποίηση 3583/2007, Άρθρο 1</w:t>
        </w:r>
      </w:hyperlink>
    </w:p>
  </w:footnote>
  <w:footnote w:id="4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1" w:history="1">
        <w:r>
          <w:rPr>
            <w:rStyle w:val="Hyperlink"/>
            <w:b w:val="0"/>
            <w:bCs w:val="0"/>
            <w:i w:val="0"/>
            <w:iCs w:val="0"/>
            <w:smallCaps w:val="0"/>
            <w:color w:val="0000EE"/>
            <w:u w:color="0000EE"/>
            <w:lang w:val="el" w:eastAsia="el"/>
          </w:rPr>
          <w:t>Τροποποίηση 3583/2007, Άρθρο 1</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2" w:history="1">
        <w:r>
          <w:rPr>
            <w:rStyle w:val="Hyperlink"/>
            <w:b w:val="0"/>
            <w:bCs w:val="0"/>
            <w:i w:val="0"/>
            <w:iCs w:val="0"/>
            <w:smallCaps w:val="0"/>
            <w:color w:val="0000EE"/>
            <w:u w:color="0000EE"/>
            <w:lang w:val="el" w:eastAsia="el"/>
          </w:rPr>
          <w:t>Αφαίρεση 3634/2008, Άρθρο 22</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4" w:anchor="art_1" w:history="1">
        <w:r>
          <w:rPr>
            <w:rStyle w:val="Hyperlink"/>
            <w:b w:val="0"/>
            <w:bCs w:val="0"/>
            <w:i w:val="0"/>
            <w:iCs w:val="0"/>
            <w:smallCaps w:val="0"/>
            <w:color w:val="0000EE"/>
            <w:u w:color="0000EE"/>
            <w:lang w:val="el" w:eastAsia="el"/>
          </w:rPr>
          <w:t>Αφαίρεση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0" w:history="1">
        <w:r>
          <w:rPr>
            <w:rStyle w:val="Hyperlink"/>
            <w:b/>
            <w:bCs/>
            <w:color w:val="0000EE"/>
            <w:u w:color="0000EE"/>
            <w:lang w:val="el" w:eastAsia="el"/>
          </w:rPr>
          <w:t>Τροποποίηση 3483/2006, Άρθρο 10</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Αφαίρεση 3634/2008,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3634/2008,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3634/2008,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3336/2005,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3634/2008,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0" w:history="1">
        <w:r>
          <w:rPr>
            <w:rStyle w:val="Hyperlink"/>
            <w:b/>
            <w:bCs/>
            <w:color w:val="0000EE"/>
            <w:u w:color="0000EE"/>
            <w:lang w:val="el" w:eastAsia="el"/>
          </w:rPr>
          <w:t>Τροποποίηση 3752/2009, Άρθρο 10</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Προσθήκη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3583/2007,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3583/2007,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Προσθήκη 3583/2007,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3583/2007,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0" w:history="1">
        <w:r>
          <w:rPr>
            <w:rStyle w:val="Hyperlink"/>
            <w:b/>
            <w:bCs/>
            <w:color w:val="0000EE"/>
            <w:u w:color="0000EE"/>
            <w:lang w:val="el" w:eastAsia="el"/>
          </w:rPr>
          <w:t>Τροποποίηση 3752/2009, Άρθρο 10</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0" w:history="1">
        <w:r>
          <w:rPr>
            <w:rStyle w:val="Hyperlink"/>
            <w:b/>
            <w:bCs/>
            <w:color w:val="0000EE"/>
            <w:u w:color="0000EE"/>
            <w:lang w:val="el" w:eastAsia="el"/>
          </w:rPr>
          <w:t>Τροποποίηση 3752/2009, Άρθρο 10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0" w:history="1">
        <w:r>
          <w:rPr>
            <w:rStyle w:val="Hyperlink"/>
            <w:b/>
            <w:bCs/>
            <w:color w:val="0000EE"/>
            <w:u w:color="0000EE"/>
            <w:lang w:val="el" w:eastAsia="el"/>
          </w:rPr>
          <w:t>Τροποποίηση 3752/2009, Άρθρο 10</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2" w:history="1">
        <w:r>
          <w:rPr>
            <w:rStyle w:val="Hyperlink"/>
            <w:b/>
            <w:bCs/>
            <w:color w:val="0000EE"/>
            <w:u w:color="0000EE"/>
            <w:lang w:val="el" w:eastAsia="el"/>
          </w:rPr>
          <w:t>Προσθήκη 3336/2005, Άρθρο 12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0" w:history="1">
        <w:r>
          <w:rPr>
            <w:rStyle w:val="Hyperlink"/>
            <w:b/>
            <w:bCs/>
            <w:color w:val="0000EE"/>
            <w:u w:color="0000EE"/>
            <w:lang w:val="el" w:eastAsia="el"/>
          </w:rPr>
          <w:t>Τροποποίηση 3752/2009, Άρθρο 10</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3583/2007,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3583/2007,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3583/2007,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Προσθήκη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8" w:history="1">
        <w:r>
          <w:rPr>
            <w:rStyle w:val="Hyperlink"/>
            <w:b/>
            <w:bCs/>
            <w:color w:val="0000EE"/>
            <w:u w:color="0000EE"/>
            <w:lang w:val="el" w:eastAsia="el"/>
          </w:rPr>
          <w:t>Προσθήκη 3634/2008, Άρθρο 28</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8" w:history="1">
        <w:r>
          <w:rPr>
            <w:rStyle w:val="Hyperlink"/>
            <w:b/>
            <w:bCs/>
            <w:color w:val="0000EE"/>
            <w:u w:color="0000EE"/>
            <w:lang w:val="el" w:eastAsia="el"/>
          </w:rPr>
          <w:t>Προσθήκη 3634/2008, Άρθρο 28</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8" w:history="1">
        <w:r>
          <w:rPr>
            <w:rStyle w:val="Hyperlink"/>
            <w:b/>
            <w:bCs/>
            <w:color w:val="0000EE"/>
            <w:u w:color="0000EE"/>
            <w:lang w:val="el" w:eastAsia="el"/>
          </w:rPr>
          <w:t>Τροποποίηση 3634/2008, Άρθρο 28</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Αφαίρεση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6" w:history="1">
        <w:r>
          <w:rPr>
            <w:rStyle w:val="Hyperlink"/>
            <w:b/>
            <w:bCs/>
            <w:color w:val="0000EE"/>
            <w:u w:color="0000EE"/>
            <w:lang w:val="el" w:eastAsia="el"/>
          </w:rPr>
          <w:t>Προσθήκη 3763/2009, Άρθρο 26</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Προσθήκη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6" w:history="1">
        <w:r>
          <w:rPr>
            <w:rStyle w:val="Hyperlink"/>
            <w:b/>
            <w:bCs/>
            <w:color w:val="0000EE"/>
            <w:u w:color="0000EE"/>
            <w:lang w:val="el" w:eastAsia="el"/>
          </w:rPr>
          <w:t>Προσθήκη 3763/2009, Άρθρο 26</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6" w:history="1">
        <w:r>
          <w:rPr>
            <w:rStyle w:val="Hyperlink"/>
            <w:b/>
            <w:bCs/>
            <w:color w:val="0000EE"/>
            <w:u w:color="0000EE"/>
            <w:lang w:val="el" w:eastAsia="el"/>
          </w:rPr>
          <w:t>Αφαίρεση 3763/2009, Άρθρο 26</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6" w:history="1">
        <w:r>
          <w:rPr>
            <w:rStyle w:val="Hyperlink"/>
            <w:b/>
            <w:bCs/>
            <w:color w:val="0000EE"/>
            <w:u w:color="0000EE"/>
            <w:lang w:val="el" w:eastAsia="el"/>
          </w:rPr>
          <w:t>Προσθήκη 3763/2009, Άρθρο 26</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6" w:history="1">
        <w:r>
          <w:rPr>
            <w:rStyle w:val="Hyperlink"/>
            <w:b/>
            <w:bCs/>
            <w:color w:val="0000EE"/>
            <w:u w:color="0000EE"/>
            <w:lang w:val="el" w:eastAsia="el"/>
          </w:rPr>
          <w:t>Τροποποίηση 3763/2009, Άρθρο 26</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Προσθήκη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3583/2007,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4" w:history="1">
        <w:r>
          <w:rPr>
            <w:rStyle w:val="Hyperlink"/>
            <w:b/>
            <w:bCs/>
            <w:color w:val="0000EE"/>
            <w:u w:color="0000EE"/>
            <w:lang w:val="el" w:eastAsia="el"/>
          </w:rPr>
          <w:t>Τροποποίηση 3610/2007,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6" w:history="1">
        <w:r>
          <w:rPr>
            <w:rStyle w:val="Hyperlink"/>
            <w:b/>
            <w:bCs/>
            <w:color w:val="0000EE"/>
            <w:u w:color="0000EE"/>
            <w:lang w:val="el" w:eastAsia="el"/>
          </w:rPr>
          <w:t>Τροποποίηση 3259/2004, Άρθρο 16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9" w:history="1">
        <w:r>
          <w:rPr>
            <w:rStyle w:val="Hyperlink"/>
            <w:b/>
            <w:bCs/>
            <w:color w:val="0000EE"/>
            <w:u w:color="0000EE"/>
            <w:lang w:val="el" w:eastAsia="el"/>
          </w:rPr>
          <w:t>Προσθήκη 3790/2009, Άρθρο 9</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7" w:history="1">
        <w:r>
          <w:rPr>
            <w:rStyle w:val="Hyperlink"/>
            <w:b/>
            <w:bCs/>
            <w:color w:val="0000EE"/>
            <w:u w:color="0000EE"/>
            <w:lang w:val="el" w:eastAsia="el"/>
          </w:rPr>
          <w:t>Τροποποίηση 3453/2006, Άρθρο 7</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Προσθήκη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Προσθήκη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4" w:history="1">
        <w:r>
          <w:rPr>
            <w:rStyle w:val="Hyperlink"/>
            <w:b/>
            <w:bCs/>
            <w:color w:val="0000EE"/>
            <w:u w:color="0000EE"/>
            <w:lang w:val="el" w:eastAsia="el"/>
          </w:rPr>
          <w:t>Προσθήκη 3610/2007, Άρθρο 24</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6" w:history="1">
        <w:r>
          <w:rPr>
            <w:rStyle w:val="Hyperlink"/>
            <w:b/>
            <w:bCs/>
            <w:color w:val="0000EE"/>
            <w:u w:color="0000EE"/>
            <w:lang w:val="el" w:eastAsia="el"/>
          </w:rPr>
          <w:t>Προσθήκη 3583/2007, Άρθρο 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Αφαίρεση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Αφαίρεση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3610/2007,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45" w:history="1">
        <w:r>
          <w:rPr>
            <w:rStyle w:val="Hyperlink"/>
            <w:b/>
            <w:bCs/>
            <w:color w:val="0000EE"/>
            <w:u w:color="0000EE"/>
            <w:lang w:val="el" w:eastAsia="el"/>
          </w:rPr>
          <w:t>Αφαίρεση 2992/2002, Άρθρο 45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6" w:history="1">
        <w:r>
          <w:rPr>
            <w:rStyle w:val="Hyperlink"/>
            <w:b/>
            <w:bCs/>
            <w:color w:val="0000EE"/>
            <w:u w:color="0000EE"/>
            <w:lang w:val="el" w:eastAsia="el"/>
          </w:rPr>
          <w:t>Προσθήκη 3259/2004, Άρθρο 16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Προσθήκη 3336/2005,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Προσθήκη 3583/2007,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11/22/3610" TargetMode="External" /><Relationship Id="rId104" Type="http://schemas.openxmlformats.org/officeDocument/2006/relationships/hyperlink" Target="http://data.aade.gr/eli/pri/law/2004/08/04/3259" TargetMode="External" /><Relationship Id="rId105" Type="http://schemas.openxmlformats.org/officeDocument/2006/relationships/hyperlink" Target="http://data.aade.gr/eli/pri/law/2009/08/07/3790"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6/04/07/345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11/22/3610"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11/22/3610"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2/03/20/2992" TargetMode="External" /><Relationship Id="rId132" Type="http://schemas.openxmlformats.org/officeDocument/2006/relationships/hyperlink" Target="http://data.aade.gr/eli/pri/law/2004/08/04/3259"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05/04/20/3336" TargetMode="External" /><Relationship Id="rId136" Type="http://schemas.openxmlformats.org/officeDocument/2006/relationships/hyperlink" Target="http://data.aade.gr/eli/pri/law/2007/06/28/3583" TargetMode="External" /><Relationship Id="rId137" Type="http://schemas.openxmlformats.org/officeDocument/2006/relationships/hyperlink" Target="http://data.aade.gr/eli/pri/law/2005/04/20/3336" TargetMode="External" /><Relationship Id="rId14"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05/04/20/3336" TargetMode="External" /><Relationship Id="rId31" Type="http://schemas.openxmlformats.org/officeDocument/2006/relationships/hyperlink" Target="http://data.aade.gr/eli/pri/law/2006/08/07/34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05/04/20/3336" TargetMode="External" /><Relationship Id="rId34" Type="http://schemas.openxmlformats.org/officeDocument/2006/relationships/hyperlink" Target="http://data.aade.gr/eli/pri/law/2005/04/20/3336" TargetMode="External" /><Relationship Id="rId35" Type="http://schemas.openxmlformats.org/officeDocument/2006/relationships/hyperlink" Target="http://data.aade.gr/eli/pri/law/2005/04/20/3336" TargetMode="External" /><Relationship Id="rId36" Type="http://schemas.openxmlformats.org/officeDocument/2006/relationships/hyperlink" Target="http://data.aade.gr/eli/pri/law/2005/04/20/3336"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8/01/29/3634"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8/01/29/3634" TargetMode="External" /><Relationship Id="rId44" Type="http://schemas.openxmlformats.org/officeDocument/2006/relationships/hyperlink" Target="http://data.aade.gr/eli/pri/law/2007/06/28/3583" TargetMode="External" /><Relationship Id="rId45" Type="http://schemas.openxmlformats.org/officeDocument/2006/relationships/hyperlink" Target="http://data.aade.gr/eli/pri/law/2006/08/07/34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8/01/29/3634"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5/04/20/3336"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09/03/04/3752"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7/06/28/3583" TargetMode="External" /><Relationship Id="rId57" Type="http://schemas.openxmlformats.org/officeDocument/2006/relationships/hyperlink" Target="http://data.aade.gr/eli/pri/law/2007/06/28/3583" TargetMode="External" /><Relationship Id="rId58" Type="http://schemas.openxmlformats.org/officeDocument/2006/relationships/hyperlink" Target="http://data.aade.gr/eli/pri/law/2007/06/28/3583" TargetMode="External" /><Relationship Id="rId59" Type="http://schemas.openxmlformats.org/officeDocument/2006/relationships/hyperlink" Target="http://data.aade.gr/eli/pri/law/2007/06/28/358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09/03/04/3752" TargetMode="External" /><Relationship Id="rId62" Type="http://schemas.openxmlformats.org/officeDocument/2006/relationships/hyperlink" Target="http://data.aade.gr/eli/pri/law/2009/03/04/3752" TargetMode="External" /><Relationship Id="rId63" Type="http://schemas.openxmlformats.org/officeDocument/2006/relationships/hyperlink" Target="http://data.aade.gr/eli/pri/law/2009/03/04/3752" TargetMode="External" /><Relationship Id="rId64" Type="http://schemas.openxmlformats.org/officeDocument/2006/relationships/hyperlink" Target="http://data.aade.gr/eli/pri/law/2005/04/20/3336" TargetMode="External" /><Relationship Id="rId65" Type="http://schemas.openxmlformats.org/officeDocument/2006/relationships/hyperlink" Target="http://data.aade.gr/eli/pri/law/2009/03/04/3752"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7/06/28/358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9/05/27/376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9/05/27/376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9/05/27/3763" TargetMode="External" /><Relationship Id="rId91" Type="http://schemas.openxmlformats.org/officeDocument/2006/relationships/hyperlink" Target="http://data.aade.gr/eli/pri/law/2009/05/27/376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9/05/27/376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