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265</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2960</w:t>
      </w:r>
    </w:p>
    <w:p>
      <w:pPr>
        <w:pStyle w:val="PreambelText"/>
        <w:spacing w:before="240" w:after="24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Ο πλοίαρχος δεν υποχρεούται στην τήρηση των διατάξεων του άρθρου αυτού, όταν το πλοίο, χωρίς να ελευθεροκοινωνήσει, αποπλέει πριν να περάσει η προθεσμία που ορίζεται από την παράγραφο 1.</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6"/>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7"/>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3"/>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
      </w:r>
      <w:r>
        <w:rPr>
          <w:rStyle w:val="Hyperlink"/>
          <w:b/>
          <w:bCs/>
          <w:color w:val="000000"/>
          <w:sz w:val="20"/>
          <w:szCs w:val="20"/>
          <w:u w:val="none" w:color="0000EE"/>
          <w:vertAlign w:val="superscript"/>
          <w:lang w:val="el" w:eastAsia="el"/>
        </w:rPr>
        <w:footnoteReference w:id="16"/>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1"/>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2"/>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3"/>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
      </w:r>
      <w:r>
        <w:rPr>
          <w:rStyle w:val="Hyperlink"/>
          <w:b/>
          <w:bCs/>
          <w:color w:val="000000"/>
          <w:sz w:val="20"/>
          <w:szCs w:val="20"/>
          <w:u w:val="none" w:color="0000EE"/>
          <w:vertAlign w:val="superscript"/>
          <w:lang w:val="el" w:eastAsia="el"/>
        </w:rPr>
        <w:footnoteReference w:id="27"/>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9"/>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0"/>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1"/>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2"/>
      </w:r>
      <w:r>
        <w:rPr>
          <w:b/>
          <w:bCs/>
          <w:lang w:val="el" w:eastAsia="el"/>
        </w:rPr>
        <w:t>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spacing w:before="240" w:after="240"/>
        <w:rPr>
          <w:lang w:val="el" w:eastAsia="el"/>
        </w:rPr>
      </w:pPr>
      <w:r>
        <w:rPr>
          <w:b/>
          <w:bCs/>
          <w:lang w:val="el" w:eastAsia="el"/>
        </w:rPr>
        <w:t>Ειδικά για τις φορολογικές αποθήκες πετρελαιοειδών προϊόντων στις οποίες κατέχονται ενεργειακά προϊόντα του άρθρου 72 εγκαθίστανται ολοκληρωμένα συστήματα ηλεκτρονικού ελέγχου εισροών-εκροών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Ανάπτυξης, Ανταγωνιστικότητας και Ναυτιλίας και Υποδομών, Μεταφορών και Δικτύων καθορίζονται οι προδιαγραφές και ρυθμίζονται τα θέματα εγκατάστασης των συστημάτων ελέγχου εισροών-εκροών,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3"/>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34"/>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35"/>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6"/>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7"/>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8"/>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9"/>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0"/>
      </w:r>
      <w:r>
        <w:rPr>
          <w:rStyle w:val="Hyperlink"/>
          <w:b/>
          <w:bCs/>
          <w:color w:val="000000"/>
          <w:sz w:val="20"/>
          <w:szCs w:val="20"/>
          <w:u w:val="none" w:color="0000EE"/>
          <w:vertAlign w:val="superscript"/>
          <w:lang w:val="el" w:eastAsia="el"/>
        </w:rPr>
        <w:footnoteReference w:id="41"/>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2"/>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3"/>
      </w:r>
      <w:r>
        <w:rPr>
          <w:rStyle w:val="Hyperlink"/>
          <w:b/>
          <w:bCs/>
          <w:color w:val="000000"/>
          <w:sz w:val="20"/>
          <w:szCs w:val="20"/>
          <w:u w:val="none" w:color="0000EE"/>
          <w:vertAlign w:val="superscript"/>
          <w:lang w:val="el" w:eastAsia="el"/>
        </w:rPr>
        <w:footnoteReference w:id="44"/>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45"/>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46"/>
      </w:r>
      <w:r>
        <w:rPr>
          <w:rStyle w:val="Hyperlink"/>
          <w:b/>
          <w:bCs/>
          <w:color w:val="000000"/>
          <w:sz w:val="20"/>
          <w:szCs w:val="20"/>
          <w:u w:val="none" w:color="0000EE"/>
          <w:vertAlign w:val="superscript"/>
          <w:lang w:val="el" w:eastAsia="el"/>
        </w:rPr>
        <w:footnoteReference w:id="47"/>
      </w:r>
      <w:r>
        <w:rPr>
          <w:rStyle w:val="Hyperlink"/>
          <w:b/>
          <w:bCs/>
          <w:color w:val="000000"/>
          <w:sz w:val="20"/>
          <w:szCs w:val="20"/>
          <w:u w:val="none" w:color="0000EE"/>
          <w:vertAlign w:val="superscript"/>
          <w:lang w:val="el" w:eastAsia="el"/>
        </w:rPr>
        <w:footnoteReference w:id="48"/>
      </w:r>
      <w:r>
        <w:rPr>
          <w:rStyle w:val="Hyperlink"/>
          <w:b/>
          <w:bCs/>
          <w:color w:val="000000"/>
          <w:sz w:val="20"/>
          <w:szCs w:val="20"/>
          <w:u w:val="none" w:color="0000EE"/>
          <w:vertAlign w:val="superscript"/>
          <w:lang w:val="el" w:eastAsia="el"/>
        </w:rPr>
        <w:footnoteReference w:id="49"/>
      </w:r>
      <w:r>
        <w:rPr>
          <w:rStyle w:val="Hyperlink"/>
          <w:b/>
          <w:bCs/>
          <w:color w:val="000000"/>
          <w:sz w:val="20"/>
          <w:szCs w:val="20"/>
          <w:u w:val="none" w:color="0000EE"/>
          <w:vertAlign w:val="superscript"/>
          <w:lang w:val="el" w:eastAsia="el"/>
        </w:rPr>
        <w:footnoteReference w:id="50"/>
      </w:r>
      <w:r>
        <w:rPr>
          <w:rStyle w:val="Hyperlink"/>
          <w:b/>
          <w:bCs/>
          <w:color w:val="000000"/>
          <w:sz w:val="20"/>
          <w:szCs w:val="20"/>
          <w:u w:val="none" w:color="0000EE"/>
          <w:vertAlign w:val="superscript"/>
          <w:lang w:val="el" w:eastAsia="el"/>
        </w:rPr>
        <w:footnoteReference w:id="5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14"/>
        <w:gridCol w:w="351"/>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2"/>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3"/>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4"/>
      </w:r>
      <w:r>
        <w:rPr>
          <w:rStyle w:val="Hyperlink"/>
          <w:b/>
          <w:bCs/>
          <w:color w:val="000000"/>
          <w:sz w:val="20"/>
          <w:szCs w:val="20"/>
          <w:u w:val="none" w:color="0000EE"/>
          <w:vertAlign w:val="superscript"/>
          <w:lang w:val="el" w:eastAsia="el"/>
        </w:rPr>
        <w:footnoteReference w:id="55"/>
      </w:r>
      <w:r>
        <w:rPr>
          <w:rStyle w:val="Hyperlink"/>
          <w:b/>
          <w:bCs/>
          <w:color w:val="000000"/>
          <w:sz w:val="20"/>
          <w:szCs w:val="20"/>
          <w:u w:val="none" w:color="0000EE"/>
          <w:vertAlign w:val="superscript"/>
          <w:lang w:val="el" w:eastAsia="el"/>
        </w:rPr>
        <w:footnoteReference w:id="56"/>
      </w:r>
      <w:r>
        <w:rPr>
          <w:rStyle w:val="Hyperlink"/>
          <w:b/>
          <w:bCs/>
          <w:color w:val="000000"/>
          <w:sz w:val="20"/>
          <w:szCs w:val="20"/>
          <w:u w:val="none" w:color="0000EE"/>
          <w:vertAlign w:val="superscript"/>
          <w:lang w:val="el" w:eastAsia="el"/>
        </w:rPr>
        <w:footnoteReference w:id="57"/>
      </w:r>
      <w:r>
        <w:rPr>
          <w:rStyle w:val="Hyperlink"/>
          <w:b/>
          <w:bCs/>
          <w:color w:val="000000"/>
          <w:sz w:val="20"/>
          <w:szCs w:val="20"/>
          <w:u w:val="none" w:color="0000EE"/>
          <w:vertAlign w:val="superscript"/>
          <w:lang w:val="el" w:eastAsia="el"/>
        </w:rPr>
        <w:footnoteReference w:id="58"/>
      </w:r>
      <w:r>
        <w:rPr>
          <w:rStyle w:val="Hyperlink"/>
          <w:b/>
          <w:bCs/>
          <w:color w:val="000000"/>
          <w:sz w:val="20"/>
          <w:szCs w:val="20"/>
          <w:u w:val="none" w:color="0000EE"/>
          <w:vertAlign w:val="superscript"/>
          <w:lang w:val="el" w:eastAsia="el"/>
        </w:rPr>
        <w:footnoteReference w:id="59"/>
      </w:r>
      <w:r>
        <w:rPr>
          <w:rStyle w:val="Hyperlink"/>
          <w:b/>
          <w:bCs/>
          <w:color w:val="000000"/>
          <w:sz w:val="20"/>
          <w:szCs w:val="20"/>
          <w:u w:val="none" w:color="0000EE"/>
          <w:vertAlign w:val="superscript"/>
          <w:lang w:val="el" w:eastAsia="el"/>
        </w:rPr>
        <w:footnoteReference w:id="60"/>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της περίπτωσης ζ το πετρέλαιο εσωτερικής καύσης (DIESEL), το οποίο χρησιμοποιείται ως καύσιμο θέρμανσης, διατίθεται κατά τη χρονική περίοδο από τη 15η Οκτωβρίου μέχρι και την 30ή Απριλίου κάθε έτους.</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61"/>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62"/>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63"/>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φυσικού αερίου στην αρμόδια υπηρεσία του Υπουργείου Οικονομικών, καθώς και η συχνότητα και ο τρόπος διαβίβασης τους.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66"/>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67"/>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68"/>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69"/>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70"/>
      </w:r>
      <w:r>
        <w:rPr>
          <w:b/>
          <w:bCs/>
          <w:lang w:val="el" w:eastAsia="el"/>
        </w:rPr>
        <w:t>Ο λιθάνθρακας, λιγνίτης και οπτάνθρακας (κοκ) της Σ.Ο. 2701, 2702 και 2704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71"/>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72"/>
      </w:r>
      <w:r>
        <w:rPr>
          <w:b/>
          <w:bCs/>
          <w:lang w:val="el" w:eastAsia="el"/>
        </w:rPr>
        <w:t xml:space="preserve"> Ο λιθάνθρακας, λιγνίτης και οπτάνθρακας (κοκ) του κωδικού της Σ.Ο. 2701, 2702 και 2704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73"/>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7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3"/>
        <w:gridCol w:w="1624"/>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75"/>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76"/>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77"/>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78"/>
            </w:r>
            <w:r>
              <w:rPr>
                <w:rStyle w:val="Hyperlink"/>
                <w:b w:val="0"/>
                <w:bCs w:val="0"/>
                <w:i w:val="0"/>
                <w:iCs w:val="0"/>
                <w:smallCaps w:val="0"/>
                <w:color w:val="000000"/>
                <w:sz w:val="20"/>
                <w:szCs w:val="20"/>
                <w:u w:val="none" w:color="0000EE"/>
                <w:vertAlign w:val="superscript"/>
                <w:lang w:val="el" w:eastAsia="el"/>
              </w:rPr>
              <w:footnoteReference w:id="79"/>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0"/>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81"/>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82"/>
      </w:r>
      <w:r>
        <w:rPr>
          <w:rStyle w:val="Hyperlink"/>
          <w:b/>
          <w:bCs/>
          <w:color w:val="000000"/>
          <w:sz w:val="20"/>
          <w:szCs w:val="20"/>
          <w:u w:val="none" w:color="0000EE"/>
          <w:vertAlign w:val="superscript"/>
          <w:lang w:val="el" w:eastAsia="el"/>
        </w:rPr>
        <w:footnoteReference w:id="83"/>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84"/>
      </w:r>
      <w:r>
        <w:rPr>
          <w:b/>
          <w:bCs/>
          <w:lang w:val="el" w:eastAsia="el"/>
        </w:rPr>
        <w:t>Για το πετρέλαιο εσωτερικής καύσης (DIESEL) κινητήρων, της περίπτωσης στ` της παραγράφου 1 του άρθρου 73, το οποίο χρησιμοποιείται αποκλειστικά στη</w:t>
      </w:r>
    </w:p>
    <w:p>
      <w:pPr>
        <w:spacing w:before="240" w:after="240"/>
        <w:rPr>
          <w:lang w:val="el" w:eastAsia="el"/>
        </w:rPr>
      </w:pPr>
      <w:r>
        <w:rPr>
          <w:b/>
          <w:bCs/>
          <w:lang w:val="el" w:eastAsia="el"/>
        </w:rPr>
        <w:t>γεωργία, ο συντελεστής Ειδικού Φόρου Κατανάλωσης (Ε.Φ.Κ.) ορίζεται σε είκοσι ένα (21)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είκοσι ένα (21) ευρώ ανά χιλιόλιτρο.</w:t>
      </w:r>
    </w:p>
    <w:p>
      <w:pPr>
        <w:spacing w:before="240" w:after="240"/>
        <w:rPr>
          <w:lang w:val="el" w:eastAsia="el"/>
        </w:rPr>
      </w:pPr>
      <w:r>
        <w:rPr>
          <w:b/>
          <w:bCs/>
          <w:lang w:val="el" w:eastAsia="el"/>
        </w:rPr>
        <w:t>Ως αποκλειστική χρήση στη γεωργία θεωρείται και η χρησιμοποίηση πετρελαίου εσωτερικής καύσης (DIESEL) κινητήρων από αυτοκίνητα τύπου JEEP γεωργικών χρήσεων κατά την έννοια των διατάξεων του άρθρου 1 του ν. 363/1976 (ΦΕΚ 152 Α`) και του άρθρου 3 του ν. 1906/1990 (ΦΕΚ 157 Α`), τελωνισθέντα και ταξινομηθέντα ως Αγροτικά Μηχανήματα Πολλαπλών Χρήσεων μέχρι και την 31.12.1992 προβλεπόμενη από το άρθρο 13 του ν. 2093/1992 (ΦΕΚ 181 Α`) προθεσμία και εφοδιασμένα με τις σχετικές άδειες της αρμόδιας Υπηρεσίας του Υπουργείου Αγροτικής Ανάπτυξης και Τροφίμων.</w:t>
      </w:r>
    </w:p>
    <w:p>
      <w:pPr>
        <w:spacing w:before="240" w:after="240"/>
        <w:rPr>
          <w:lang w:val="el" w:eastAsia="el"/>
        </w:rPr>
      </w:pPr>
      <w:r>
        <w:rPr>
          <w:b/>
          <w:bCs/>
          <w:lang w:val="el" w:eastAsia="el"/>
        </w:rPr>
        <w:t>Με κοινές αποφάσεις των Υπουργών Οικονομίας και Οικονομικών και Αγροτικής Ανάπτυξης και Τροφίμων καθορίζονται οι όροι, οι προϋποθέσεις, τα δικαιούχα προς επιστροφή πρόσωπα, οι ποσότητες για τις οποίες υπολογίζεται η επιστροφή,</w:t>
      </w:r>
    </w:p>
    <w:p>
      <w:pPr>
        <w:spacing w:before="240" w:after="240"/>
        <w:rPr>
          <w:lang w:val="el" w:eastAsia="el"/>
        </w:rPr>
      </w:pPr>
      <w:r>
        <w:rPr>
          <w:b/>
          <w:bCs/>
          <w:lang w:val="el" w:eastAsia="el"/>
        </w:rPr>
        <w:t>η διαδικασία επιστροφής του Ε.Φ.Κ., ο τρόπος ελέγχου της νόμιμης χρησιμοποίησης του πετρελαίου κινητήρων για το οποίο χορηγείται επιστροφή του</w:t>
      </w:r>
    </w:p>
    <w:p>
      <w:pPr>
        <w:spacing w:before="240" w:after="240"/>
        <w:rPr>
          <w:lang w:val="el" w:eastAsia="el"/>
        </w:rPr>
      </w:pPr>
      <w:r>
        <w:rPr>
          <w:b/>
          <w:bCs/>
          <w:lang w:val="el" w:eastAsia="el"/>
        </w:rPr>
        <w:t>φόρου αυτού, σύμφωνα με τη παράγραφο αυτή. Επίσης, με απόφαση του Υπουργού Οικονομίας και Οικονομικών καθορίζεται η αρμόδια για την επιστροφή Αρχή, καθώς και κάθε άλλη αναγκαία λεπτομέρεια.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85"/>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87"/>
      </w:r>
      <w:r>
        <w:rPr>
          <w:rStyle w:val="Hyperlink"/>
          <w:b/>
          <w:bCs/>
          <w:color w:val="000000"/>
          <w:sz w:val="20"/>
          <w:szCs w:val="20"/>
          <w:u w:val="none" w:color="0000EE"/>
          <w:vertAlign w:val="superscript"/>
          <w:lang w:val="el" w:eastAsia="el"/>
        </w:rPr>
        <w:footnoteReference w:id="88"/>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Ειδικός Φόρος Κατανάλωσης αιθυλικής και ισοπροπυλικής </w:t>
      </w:r>
      <w:r>
        <w:rPr>
          <w:rStyle w:val="Hyperlink"/>
          <w:b/>
          <w:bCs/>
          <w:color w:val="000000"/>
          <w:sz w:val="20"/>
          <w:szCs w:val="20"/>
          <w:u w:val="none" w:color="0000EE"/>
          <w:vertAlign w:val="superscript"/>
          <w:lang w:val="el" w:eastAsia="el"/>
        </w:rPr>
        <w:footnoteReference w:id="89"/>
      </w:r>
      <w:r>
        <w:rPr>
          <w:b/>
          <w:bCs/>
          <w:lang w:val="el" w:eastAsia="el"/>
        </w:rPr>
        <w:t>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0"/>
      </w:r>
      <w:r>
        <w:rPr>
          <w:rStyle w:val="Hyperlink"/>
          <w:b/>
          <w:bCs/>
          <w:color w:val="000000"/>
          <w:sz w:val="20"/>
          <w:szCs w:val="20"/>
          <w:u w:val="none" w:color="0000EE"/>
          <w:vertAlign w:val="superscript"/>
          <w:lang w:val="el" w:eastAsia="el"/>
        </w:rPr>
        <w:footnoteReference w:id="91"/>
      </w:r>
      <w:r>
        <w:rPr>
          <w:rStyle w:val="Hyperlink"/>
          <w:b/>
          <w:bCs/>
          <w:color w:val="000000"/>
          <w:sz w:val="20"/>
          <w:szCs w:val="20"/>
          <w:u w:val="none" w:color="0000EE"/>
          <w:vertAlign w:val="superscript"/>
          <w:lang w:val="el" w:eastAsia="el"/>
        </w:rPr>
        <w:footnoteReference w:id="92"/>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93"/>
      </w:r>
      <w:r>
        <w:rPr>
          <w:rStyle w:val="Hyperlink"/>
          <w:b/>
          <w:bCs/>
          <w:color w:val="000000"/>
          <w:sz w:val="20"/>
          <w:szCs w:val="20"/>
          <w:u w:val="none" w:color="0000EE"/>
          <w:vertAlign w:val="superscript"/>
          <w:lang w:val="el" w:eastAsia="el"/>
        </w:rPr>
        <w:footnoteReference w:id="94"/>
      </w:r>
      <w:r>
        <w:rPr>
          <w:rStyle w:val="Hyperlink"/>
          <w:b/>
          <w:bCs/>
          <w:color w:val="000000"/>
          <w:sz w:val="20"/>
          <w:szCs w:val="20"/>
          <w:u w:val="none" w:color="0000EE"/>
          <w:vertAlign w:val="superscript"/>
          <w:lang w:val="el" w:eastAsia="el"/>
        </w:rPr>
        <w:footnoteReference w:id="95"/>
      </w:r>
      <w:r>
        <w:rPr>
          <w:rStyle w:val="Hyperlink"/>
          <w:b/>
          <w:bCs/>
          <w:color w:val="000000"/>
          <w:sz w:val="20"/>
          <w:szCs w:val="20"/>
          <w:u w:val="none" w:color="0000EE"/>
          <w:vertAlign w:val="superscript"/>
          <w:lang w:val="el" w:eastAsia="el"/>
        </w:rPr>
        <w:footnoteReference w:id="96"/>
      </w:r>
      <w:r>
        <w:rPr>
          <w:rStyle w:val="Hyperlink"/>
          <w:b/>
          <w:bCs/>
          <w:color w:val="000000"/>
          <w:sz w:val="20"/>
          <w:szCs w:val="20"/>
          <w:u w:val="none" w:color="0000EE"/>
          <w:vertAlign w:val="superscript"/>
          <w:lang w:val="el" w:eastAsia="el"/>
        </w:rPr>
        <w:footnoteReference w:id="97"/>
      </w:r>
      <w:r>
        <w:rPr>
          <w:b/>
          <w:bCs/>
          <w:lang w:val="el" w:eastAsia="el"/>
        </w:rPr>
        <w:t>Εφαρμόζεται μειωμένος κατά πενήντα τοις εκατό (50%) ο συντελεστής ειδικού φόρου κατανάλωσης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 κατά τα παραπάνω μειωμένος συντελεστής ειδικού φόρου κατανάλωσης εφαρμόζεται και στην περιοχή Δωδεκανήσου για την αιθυλική αλκοόλη που περιέχεται και στα λοιπά, πλην των παραπάνω, αλκοολούχα ποτά ή άλλα αλκοολούχα προϊόντα, τα οποία αποκτώνται από άλλα Κράτη - Μέλη της Κοινότητας, αποστέλλονται από φορολογική αποθήκη της λοιπής Ελλάδος ή εισάγονται στην περιοχή αυτή από τρίτες χώρες.</w:t>
      </w:r>
    </w:p>
    <w:p>
      <w:pPr>
        <w:spacing w:before="240" w:after="240"/>
        <w:rPr>
          <w:lang w:val="el" w:eastAsia="el"/>
        </w:rPr>
      </w:pPr>
      <w:r>
        <w:rPr>
          <w:b/>
          <w:bCs/>
          <w:lang w:val="el" w:eastAsia="el"/>
        </w:rPr>
        <w:t>Η ίδια μείωση του φόρου ισχύει και για την αιθυλική αλκοόλη που χρησιμοποιείται στην περιοχή αυτή για την παραγωγή των παραπάνω ποτών και προϊόντων.</w:t>
      </w:r>
    </w:p>
    <w:p>
      <w:pPr>
        <w:spacing w:before="240" w:after="240"/>
        <w:rPr>
          <w:lang w:val="el" w:eastAsia="el"/>
        </w:rPr>
      </w:pPr>
      <w:r>
        <w:rPr>
          <w:b/>
          <w:bCs/>
          <w:lang w:val="el" w:eastAsia="el"/>
        </w:rPr>
        <w:t>Οι όροι και προϋποθέσεις εφαρμογής των διατάξεων της παρούσας παραγράφου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98"/>
      </w:r>
      <w:r>
        <w:rPr>
          <w:b/>
          <w:bCs/>
          <w:lang w:val="el" w:eastAsia="el"/>
        </w:rPr>
        <w:t>Επιβάλλεται ειδικός φόρος κατανάλωσης, το ύψος του οποίου καθορίζεται σε δύο ευρώ και ενενήντα τρία λεπτά (2,93) ανά χιλιόγραμμο καθαρού βάρους, στην εισαγόμενη από τρίτες χώρες, στην εγχωρίως παραγόμενη και στην προερχόμενη από τα λοιπά κράτη - μέλη της Ευρωπαϊκής Ενωσης, ισοπροπυλική αλκοόλη της δασμολογικής κλάσης 29.05 της Συνδυασμένης Ονοματολογίας.</w:t>
      </w:r>
    </w:p>
    <w:p>
      <w:pPr>
        <w:spacing w:before="240" w:after="240"/>
        <w:rPr>
          <w:lang w:val="el" w:eastAsia="el"/>
        </w:rPr>
      </w:pPr>
      <w:r>
        <w:rPr>
          <w:b/>
          <w:bCs/>
          <w:lang w:val="el" w:eastAsia="el"/>
        </w:rPr>
        <w:t>Με απόφαση του Υπουργού Οικονομίας και Οικονομικών καθορίζονται τα ποσοστά, καθώς και οι όροι και προϋποθέσεις για την αναγνώριση της φυσικής απομείωσης της ισοπροπυλικής αλκοόλης, που είναι εγγενής με τη φύση του προϊόντος αυτού και προκύπτει κατά την αποθήκευση της σε φορολογική αποθήκη ή στις χρήσεις αυτής.</w:t>
      </w:r>
    </w:p>
    <w:p>
      <w:pPr>
        <w:spacing w:before="240" w:after="240"/>
        <w:rPr>
          <w:lang w:val="el" w:eastAsia="el"/>
        </w:rPr>
      </w:pPr>
      <w:r>
        <w:rPr>
          <w:b/>
          <w:bCs/>
          <w:lang w:val="el" w:eastAsia="el"/>
        </w:rPr>
        <w:t>Η απώλεια (φύρα) που οφείλεται στην απομείωση αυτή απαλλάσσεται του ειδικού φόρου κατανάλωσης.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99"/>
      </w:r>
      <w:r>
        <w:rPr>
          <w:b/>
          <w:bCs/>
          <w:lang w:val="el" w:eastAsia="el"/>
        </w:rPr>
        <w:t>Η ισοπροπυλική αλκοόλη που παράγεται εγχωρίως ή μεταφέρεται από τα λοιπά κράτη - μέλη της Ευρωπαϊκής Ενωσης δύναται να τίθεται σε καθεστώς φορολογικής αποθήκης και για το χρονικό διάστημα που παραμένει στο καθεστώς αυτό τελεί σε αναστολή καταβολής του Ειδικού Φόρου Κατανάλωσης και του Φ.Π.Α..</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1"/>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02"/>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3"/>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104"/>
      </w:r>
      <w:r>
        <w:rPr>
          <w:b/>
          <w:bCs/>
          <w:lang w:val="el" w:eastAsia="el"/>
        </w:rPr>
        <w:t>. 4. Με αποφάσεις του Υπουργού Οικονομίας και Οικονομικών καθορίζονται οι ποσότητες, οι όροι και οι διατυπώσεις των απαλλαγών από τον ειδικό φόρο κατανάλωσης αιθυλικής και ισοπροπυλικής αλκοόλης των παραγράφων 1, 2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5"/>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06"/>
      </w:r>
      <w:r>
        <w:rPr>
          <w:rStyle w:val="Hyperlink"/>
          <w:b/>
          <w:bCs/>
          <w:color w:val="000000"/>
          <w:sz w:val="20"/>
          <w:szCs w:val="20"/>
          <w:u w:val="none" w:color="0000EE"/>
          <w:vertAlign w:val="superscript"/>
          <w:lang w:val="el" w:eastAsia="el"/>
        </w:rPr>
        <w:footnoteReference w:id="107"/>
      </w:r>
      <w:r>
        <w:rPr>
          <w:rStyle w:val="Hyperlink"/>
          <w:b/>
          <w:bCs/>
          <w:color w:val="000000"/>
          <w:sz w:val="20"/>
          <w:szCs w:val="20"/>
          <w:u w:val="none" w:color="0000EE"/>
          <w:vertAlign w:val="superscript"/>
          <w:lang w:val="el" w:eastAsia="el"/>
        </w:rPr>
        <w:footnoteReference w:id="108"/>
      </w:r>
      <w:r>
        <w:rPr>
          <w:rStyle w:val="Hyperlink"/>
          <w:b/>
          <w:bCs/>
          <w:color w:val="000000"/>
          <w:sz w:val="20"/>
          <w:szCs w:val="20"/>
          <w:u w:val="none" w:color="0000EE"/>
          <w:vertAlign w:val="superscript"/>
          <w:lang w:val="el" w:eastAsia="el"/>
        </w:rPr>
        <w:footnoteReference w:id="109"/>
      </w:r>
      <w:r>
        <w:rPr>
          <w:b/>
          <w:bCs/>
          <w:lang w:val="el" w:eastAsia="el"/>
        </w:rPr>
        <w:t>Ο φόρος αυτός ορίζεται σε δύο ευρώ και εξήντα λεπτά (2,60 €)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0"/>
      </w:r>
      <w:r>
        <w:rPr>
          <w:rStyle w:val="Hyperlink"/>
          <w:b/>
          <w:bCs/>
          <w:color w:val="000000"/>
          <w:sz w:val="20"/>
          <w:szCs w:val="20"/>
          <w:u w:val="none" w:color="0000EE"/>
          <w:vertAlign w:val="superscript"/>
          <w:lang w:val="el" w:eastAsia="el"/>
        </w:rPr>
        <w:footnoteReference w:id="111"/>
      </w:r>
      <w:r>
        <w:rPr>
          <w:rStyle w:val="Hyperlink"/>
          <w:b/>
          <w:bCs/>
          <w:color w:val="000000"/>
          <w:sz w:val="20"/>
          <w:szCs w:val="20"/>
          <w:u w:val="none" w:color="0000EE"/>
          <w:vertAlign w:val="superscript"/>
          <w:lang w:val="el" w:eastAsia="el"/>
        </w:rPr>
        <w:footnoteReference w:id="112"/>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13"/>
      </w:r>
      <w:r>
        <w:rPr>
          <w:rStyle w:val="Hyperlink"/>
          <w:b/>
          <w:bCs/>
          <w:color w:val="000000"/>
          <w:sz w:val="20"/>
          <w:szCs w:val="20"/>
          <w:u w:val="none" w:color="0000EE"/>
          <w:vertAlign w:val="superscript"/>
          <w:lang w:val="el" w:eastAsia="el"/>
        </w:rPr>
        <w:footnoteReference w:id="114"/>
      </w:r>
      <w:r>
        <w:rPr>
          <w:b/>
          <w:bCs/>
          <w:lang w:val="el" w:eastAsia="el"/>
        </w:rPr>
        <w:t>Ο μειωμένος αυτός συντελεστής καθορίζεται σε ένα ευρώ και τριάντα λεπτά (1,30 €)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15"/>
      </w:r>
      <w:r>
        <w:rPr>
          <w:rStyle w:val="Hyperlink"/>
          <w:b/>
          <w:bCs/>
          <w:color w:val="000000"/>
          <w:sz w:val="20"/>
          <w:szCs w:val="20"/>
          <w:u w:val="none" w:color="0000EE"/>
          <w:vertAlign w:val="superscript"/>
          <w:lang w:val="el" w:eastAsia="el"/>
        </w:rPr>
        <w:footnoteReference w:id="116"/>
      </w:r>
      <w:r>
        <w:rPr>
          <w:rStyle w:val="Hyperlink"/>
          <w:b/>
          <w:bCs/>
          <w:color w:val="000000"/>
          <w:sz w:val="20"/>
          <w:szCs w:val="20"/>
          <w:u w:val="none" w:color="0000EE"/>
          <w:vertAlign w:val="superscript"/>
          <w:lang w:val="el" w:eastAsia="el"/>
        </w:rPr>
        <w:footnoteReference w:id="117"/>
      </w:r>
      <w:r>
        <w:rPr>
          <w:rStyle w:val="Hyperlink"/>
          <w:b/>
          <w:bCs/>
          <w:color w:val="000000"/>
          <w:sz w:val="20"/>
          <w:szCs w:val="20"/>
          <w:u w:val="none" w:color="0000EE"/>
          <w:vertAlign w:val="superscript"/>
          <w:lang w:val="el" w:eastAsia="el"/>
        </w:rPr>
        <w:footnoteReference w:id="118"/>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19"/>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20"/>
      </w:r>
      <w:r>
        <w:rPr>
          <w:b/>
          <w:bCs/>
          <w:lang w:val="el" w:eastAsia="el"/>
        </w:rPr>
        <w:t>Ο ειδικός φόρος κατανάλωσης των βιομηχανοποιημένων καπνών ορίζεται, προκειμένου μεν για τα τσιγάρα, σε ποσοστό επί της σταθμισμένης μέσης τιμής λιανικής πώλησης των τσιγάρων που τίθενται σε ανάλωση στο εσωτερικό της χώρας και αποτελείται από ένα πάγιο στοιχείο (πάγιος φόρος) και από ένα αναλογικό στοιχείο (αναλογικός φόρος), προκειμένου δε για τα λοιπά προϊόντα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1"/>
      </w:r>
      <w:r>
        <w:rPr>
          <w:rStyle w:val="Hyperlink"/>
          <w:b/>
          <w:bCs/>
          <w:color w:val="000000"/>
          <w:sz w:val="20"/>
          <w:szCs w:val="20"/>
          <w:u w:val="none" w:color="0000EE"/>
          <w:vertAlign w:val="superscript"/>
          <w:lang w:val="el" w:eastAsia="el"/>
        </w:rPr>
        <w:footnoteReference w:id="122"/>
      </w:r>
      <w:r>
        <w:rPr>
          <w:rStyle w:val="Hyperlink"/>
          <w:b/>
          <w:bCs/>
          <w:color w:val="000000"/>
          <w:sz w:val="20"/>
          <w:szCs w:val="20"/>
          <w:u w:val="none" w:color="0000EE"/>
          <w:vertAlign w:val="superscript"/>
          <w:lang w:val="el" w:eastAsia="el"/>
        </w:rPr>
        <w:footnoteReference w:id="123"/>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ως βάση υπολογισμού του φόρου λαμβάνεται η σταθμισμένη μέση τιμή λιανικής πώλησης αυτών, ανεξάρτητα από το σήμα και την προέλευση τους. Η σταθμισμένη μέση τιμή λιανικής πώλησης των τσιγάρων υπολογίζεται, σύμφωνα με τα στοιχεία φορολογίας που είναι γνωστά κατά την 1 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 Στην τιμή αυτή ο συντελεστής του ειδικού φόρου κατανάλωσης ορίζεται σε ποσοστό 65%.</w:t>
      </w:r>
    </w:p>
    <w:p>
      <w:pPr>
        <w:spacing w:before="240" w:after="240"/>
        <w:rPr>
          <w:lang w:val="el" w:eastAsia="el"/>
        </w:rPr>
      </w:pPr>
      <w:r>
        <w:rPr>
          <w:b/>
          <w:bCs/>
          <w:lang w:val="el" w:eastAsia="el"/>
        </w:rPr>
        <w:t>Η σταθμισμένη μέση τιμή λιανικής πώλησης των τσιγάρων για τον υπολογισμό της νέας φορολογικής επιβάρυνσης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b/>
          <w:bCs/>
          <w:lang w:val="el" w:eastAsia="el"/>
        </w:rPr>
        <w:t>Σε περίπτωση που η μεταβολή της σταθμισμένης μέσης τιμής λιανικής πώλησης των τσιγάρων έχει ως αποτέλεσμα τη μείωση της συνολικής επίπτωσης που προκύπτει από το ποσοστό του φόρου που προβλέπεται στο δεύτερο εδάφιο, η έναρξη εφαρμογής της απόφασης αυτής επιτρέπεται να ορίζεται το αργότερο μέχρι την 1 η Ιανουαρίου του δεύτερου έτους που έπεται εκείνου της μεταβολής.</w:t>
      </w:r>
    </w:p>
    <w:p>
      <w:pPr>
        <w:spacing w:before="240" w:after="240"/>
        <w:rPr>
          <w:lang w:val="el" w:eastAsia="el"/>
        </w:rPr>
      </w:pPr>
      <w:r>
        <w:rPr>
          <w:b/>
          <w:bCs/>
          <w:lang w:val="el" w:eastAsia="el"/>
        </w:rPr>
        <w:t>Ο ειδικός φόρος κατανάλωσης των τσιγάρων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έναν πάγιο φόρο, ο οποίος επιβάλλεται ανά μονάδα προϊόντος, το ποσό του οποίου είναι ίσο προς 15% της συνολικής φορολογικής επιβάρυνσης, η οποία προκύπτει από το άθροισμα του ειδικού φόρου κατανάλωσης καπνού και του φόρου προστιθέμενης αξίας, που επιβάλλονται στη σταθμισμένη μέση τιμή λιανικής πώλησης των τσιγάρων και είναι το ίδιο (πάγιο στοιχείο) για όλες τις κατηγορίες τσιγάρων, ανεξάρτητα από την τιμή λιανικής πώλησης 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52,445% και προκύπτει από το κλάσμα που έχει ως αριθμητή το γινόμενο του συντελεστή του Ειδικού Φόρου Κατανάλωσης (Ε.Φ.Κ.) επί τη σταθμισμένη μέση τιμή μείον τον πάγιο φόρο και παρονομαστή τη σταθμισμένη μέση τιμή.</w:t>
      </w:r>
    </w:p>
    <w:p>
      <w:pPr>
        <w:spacing w:before="240" w:after="240"/>
        <w:rPr>
          <w:lang w:val="el" w:eastAsia="el"/>
        </w:rPr>
      </w:pPr>
      <w:r>
        <w:rPr>
          <w:b/>
          <w:bCs/>
          <w:lang w:val="el" w:eastAsia="el"/>
        </w:rPr>
        <w:t>Ο αναλογικός συντελεστής 52,445%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του εκατό τοις εκατό (100%) του συνολικού Ειδικού Φόρου Κατανάλωσης που επιβάλλεται στη σταθμισμένη μέση τιμή λιανικής πώλησης των τσιγάρων.</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34%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σε ποσοστό 67% επί της κατά χιλιόγραμμο τιμής λιανικής πώλησης τους.</w:t>
      </w:r>
    </w:p>
    <w:p>
      <w:pPr>
        <w:spacing w:before="240" w:after="240"/>
        <w:rPr>
          <w:lang w:val="el" w:eastAsia="el"/>
        </w:rPr>
      </w:pPr>
      <w:r>
        <w:rPr>
          <w:b/>
          <w:bCs/>
          <w:lang w:val="el" w:eastAsia="el"/>
        </w:rPr>
        <w:t>Ο ειδικός φόρος κατανάλωσης που υπολογίζεται με το συντελεστή αυτόν δεν μπορεί να είναι κατώτερος του εβδομήντα πέντε τοις εκατό (75%) της σταθμισμένης μέσης τιμής λιανικής πώλησης του λεπτοκομμένου καπνού που προορίζεται για την κατασκευή χειροποίητων τσιγάρων ο οποίος τίθεται σε ανάλωση στο εσωτερικό της χώρας, ανεξάρτητα από το σήμα και την προέλευση του.</w:t>
      </w:r>
    </w:p>
    <w:p>
      <w:pPr>
        <w:spacing w:before="240" w:after="240"/>
        <w:rPr>
          <w:lang w:val="el" w:eastAsia="el"/>
        </w:rPr>
      </w:pPr>
      <w:r>
        <w:rPr>
          <w:b/>
          <w:bCs/>
          <w:lang w:val="el" w:eastAsia="el"/>
        </w:rPr>
        <w:t>Η σταθμισμένη μέση τιμή λιανικής πώλησης του λεπτοκομμένου καπνού που προορίζεται για την κατασκευή χειροποίητων τσιγάρων υπολογίζεται, σύμφωνα με τα στοιχεία φορολογίας που είναι γνωστά κατά την 1 η Ιανουαρίου κάθε έτους, με αναγωγή στη συνολική αξία του λεπτοκομμένου καπνού που προορίζεται για την κατασκευή χειροποίητων τσιγάρων ο οποίος τίθεται σε ανάλωση, βάσει της λιανικής τιμής πώλησης, περιλαμβανομένων όλων των φόρων, η οποία διαιρείται δια της συνολικής ποσότητας λεπτοκομμένου καπνού που προορίζεται για την κατασκευή χειροποίητων τσιγάρων ο οποίος τίθεται σε ανάλωση.</w:t>
      </w:r>
    </w:p>
    <w:p>
      <w:pPr>
        <w:spacing w:before="240" w:after="240"/>
        <w:rPr>
          <w:lang w:val="el" w:eastAsia="el"/>
        </w:rPr>
      </w:pPr>
      <w:r>
        <w:rPr>
          <w:b/>
          <w:bCs/>
          <w:lang w:val="el" w:eastAsia="el"/>
        </w:rPr>
        <w:t>Η σταθμισμένη μέση τιμή λιανικής πώλησης του λεπτοκομμένου καπνού που προορίζεται για την κατασκευή χειροποίητων τσιγάρων, για τον υπολογισμό της νέας φορολογικής επιβάρυνσης,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σε ποσοστό 67% επί της κατά χιλιόγραμμο τιμής λιανικής πώλησης τους.</w:t>
      </w:r>
    </w:p>
    <w:p>
      <w:pPr>
        <w:spacing w:before="240" w:after="240"/>
        <w:rPr>
          <w:lang w:val="el" w:eastAsia="el"/>
        </w:rPr>
      </w:pPr>
      <w:r>
        <w:rPr>
          <w:b/>
          <w:bCs/>
          <w:lang w:val="el" w:eastAsia="el"/>
        </w:rPr>
        <w:t>Ο ειδικός φόρος κατανάλωσης που υπολογίζεται με το συντελεστή αυτόν δεν μπορεί να είναι κατώτερος του εβδομήντα πέντε τοις εκατό (75%) της σταθμισμένης μέσης τιμής λιανικής πώλησης των άλλων καπνών για κάπνισμα, τα οποία τίθενται σε ανάλωση στο εσωτερικό της χώρας ανεξάρτητα από το σήμα και την προέλευση τους.</w:t>
      </w:r>
    </w:p>
    <w:p>
      <w:pPr>
        <w:spacing w:before="240" w:after="240"/>
        <w:rPr>
          <w:lang w:val="el" w:eastAsia="el"/>
        </w:rPr>
      </w:pPr>
      <w:r>
        <w:rPr>
          <w:b/>
          <w:bCs/>
          <w:lang w:val="el" w:eastAsia="el"/>
        </w:rPr>
        <w:t>Η σταθμισμένη μέση τιμή λιανικής πώλησης των άλλων καπνών για κάπνισμα υπολογίζεται, σύμφωνα με τα στοιχεία φορολογίας που είναι γνωστά κατά την 1 η Ιανουαρίου κάθε έτους με αναγωγή στη συνολική αξία των άλλων καπνών για κάπνισμα τα οποία τίθενται σε ανάλωση, βάσει της λιανικής τιμής πώλησης, περιλαμβανομένων όλων των φόρων, η οποία διαιρείται δια της συνολικής ποσότητας των άλλων καπνών για κάπνισμα τα οποία τίθενται σε ανάλωση.</w:t>
      </w:r>
    </w:p>
    <w:p>
      <w:pPr>
        <w:spacing w:before="240" w:after="240"/>
        <w:rPr>
          <w:lang w:val="el" w:eastAsia="el"/>
        </w:rPr>
      </w:pPr>
      <w:r>
        <w:rPr>
          <w:b/>
          <w:bCs/>
          <w:lang w:val="el" w:eastAsia="el"/>
        </w:rPr>
        <w:t>Η σταθμισμένη μέση τιμή λιανικής πώλησης των άλλων καπνών για κάπνισμα, για τον υπολογισμό της νέας φορολογικής επιβάρυνσης,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 ης και 31 ης Ιανουαρίου κάθε έτους.</w:t>
      </w:r>
    </w:p>
    <w:p>
      <w:pPr>
        <w:pStyle w:val="MainText"/>
        <w:spacing w:before="120" w:after="0"/>
        <w:rPr>
          <w:lang w:val="el" w:eastAsia="el"/>
        </w:rPr>
      </w:pPr>
      <w:r>
        <w:rPr>
          <w:b/>
          <w:bCs/>
          <w:lang w:val="el" w:eastAsia="el"/>
        </w:rPr>
        <w:t>5.</w:t>
      </w:r>
      <w:r>
        <w:rPr>
          <w:b/>
          <w:bCs/>
          <w:lang w:val="el" w:eastAsia="el"/>
        </w:rPr>
        <w:t xml:space="preserve"> Για τα βιομηχανοποιημένα καπνά που παράγονται κατόπιν ειδικής παραγγελίας και δεν προορίζονται για εμπορία,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βιομηχανοποιημένα καπνά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λεπτοκομμένο καπνό που προορίζεται για την κατασκευή χειροποίητων (στριφτών) τσιγάρων και άλλα καπνά για κάπνισμα, στη σταθμισμένη μέση τιμή λιανικής πώλησης που καθορίζεται σύμφωνα με τις παραγράφους 1, 3 και 4 και ισχύει κάθε φορά ανά είδος προϊόντος,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βιομηχανοποιημένα καπνά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λεπτοκομμένο καπνό που προορίζεται για την κατασκευή χειροποίητων (στριφτών) τσιγάρων και άλλα καπνά για κάπνισμα, στη σταθμισμένη μέση τιμή λιανικής πώλησης που καθορίζεται σύμφωνα με τις παραγράφους 1, 3 και 4 και ισχύει κάθε φορά ανά είδος προϊόντος και για τα πούρα και τα πουράκια στην ανώτατη τιμή λιανικής πώλησης των ομοειδών προϊόντων που κυκλοφορούν στο εσωτερικό της χώρας.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προέρχονται από άλλα Κράτη - Μέλη ή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των βιομηχανοποιημένων καπνών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προηγούμενη παράγραφο.</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4"/>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25"/>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26"/>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27"/>
      </w:r>
      <w:r>
        <w:rPr>
          <w:rStyle w:val="Hyperlink"/>
          <w:b/>
          <w:bCs/>
          <w:color w:val="000000"/>
          <w:sz w:val="20"/>
          <w:szCs w:val="20"/>
          <w:u w:val="none" w:color="0000EE"/>
          <w:vertAlign w:val="superscript"/>
          <w:lang w:val="el" w:eastAsia="el"/>
        </w:rPr>
        <w:footnoteReference w:id="128"/>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29"/>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30"/>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31"/>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32"/>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33"/>
      </w:r>
      <w:r>
        <w:rPr>
          <w:rStyle w:val="Hyperlink"/>
          <w:b/>
          <w:bCs/>
          <w:color w:val="000000"/>
          <w:sz w:val="20"/>
          <w:szCs w:val="20"/>
          <w:u w:val="none" w:color="0000EE"/>
          <w:vertAlign w:val="superscript"/>
          <w:lang w:val="el" w:eastAsia="el"/>
        </w:rPr>
        <w:footnoteReference w:id="134"/>
      </w:r>
      <w:r>
        <w:rPr>
          <w:rStyle w:val="Hyperlink"/>
          <w:b/>
          <w:bCs/>
          <w:color w:val="000000"/>
          <w:sz w:val="20"/>
          <w:szCs w:val="20"/>
          <w:u w:val="none" w:color="0000EE"/>
          <w:vertAlign w:val="superscript"/>
          <w:lang w:val="el" w:eastAsia="el"/>
        </w:rPr>
        <w:footnoteReference w:id="135"/>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36"/>
      </w:r>
      <w:r>
        <w:rPr>
          <w:rStyle w:val="Hyperlink"/>
          <w:b/>
          <w:bCs/>
          <w:color w:val="000000"/>
          <w:sz w:val="20"/>
          <w:szCs w:val="20"/>
          <w:u w:val="none" w:color="0000EE"/>
          <w:vertAlign w:val="superscript"/>
          <w:lang w:val="el" w:eastAsia="el"/>
        </w:rPr>
        <w:footnoteReference w:id="137"/>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38"/>
      </w:r>
      <w:r>
        <w:rPr>
          <w:rStyle w:val="Hyperlink"/>
          <w:b/>
          <w:bCs/>
          <w:color w:val="000000"/>
          <w:sz w:val="20"/>
          <w:szCs w:val="20"/>
          <w:u w:val="none" w:color="0000EE"/>
          <w:vertAlign w:val="superscript"/>
          <w:lang w:val="el" w:eastAsia="el"/>
        </w:rPr>
        <w:footnoteReference w:id="139"/>
      </w:r>
      <w:r>
        <w:rPr>
          <w:b/>
          <w:bCs/>
          <w:lang w:val="el" w:eastAsia="el"/>
        </w:rPr>
        <w:t>Ο Ειδικός Φόρος Κατανάλωσης που αναλογεί στο φυσικό αέριο των περιπτώσεων ιζ` και ιη` της παραγράφου 1 του άρθρου 73 βεβαιώνεται και εισπράττεται από την αρμόδια αρχή, βάσει των εκδιδόμενων από τον διανομέα ή τον αναδιανομέα φορολογικών στοιχείων επί των οποίων προσδιορίζονται η μονάδα μέτρησης και οι ποσότητες που παραδίδονται, το αργότερο μέχρι την εικοστή (20ή) ημέρα του επόμενου μήνα από την έκδοση των ανωτέρω σχετικών φορολογικών στοιχείων.</w:t>
      </w:r>
    </w:p>
    <w:p>
      <w:pPr>
        <w:spacing w:before="240" w:after="240"/>
        <w:rPr>
          <w:lang w:val="el" w:eastAsia="el"/>
        </w:rPr>
      </w:pPr>
      <w:r>
        <w:rPr>
          <w:b/>
          <w:bCs/>
          <w:lang w:val="el" w:eastAsia="el"/>
        </w:rPr>
        <w:t>Με τον Ειδικό Φόρο Κατανάλωσης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Ειδικού Φόρου Κατανάλωσης.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40"/>
      </w:r>
      <w:r>
        <w:rPr>
          <w:rStyle w:val="Hyperlink"/>
          <w:b/>
          <w:bCs/>
          <w:color w:val="000000"/>
          <w:sz w:val="20"/>
          <w:szCs w:val="20"/>
          <w:u w:val="none" w:color="0000EE"/>
          <w:vertAlign w:val="superscript"/>
          <w:lang w:val="el" w:eastAsia="el"/>
        </w:rPr>
        <w:footnoteReference w:id="141"/>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142"/>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3"/>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4"/>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5"/>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6"/>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7"/>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8"/>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149"/>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0"/>
      </w:r>
      <w:r>
        <w:rPr>
          <w:rStyle w:val="Hyperlink"/>
          <w:b/>
          <w:bCs/>
          <w:color w:val="000000"/>
          <w:sz w:val="20"/>
          <w:szCs w:val="20"/>
          <w:u w:val="none" w:color="0000EE"/>
          <w:vertAlign w:val="superscript"/>
          <w:lang w:val="el" w:eastAsia="el"/>
        </w:rPr>
        <w:footnoteReference w:id="151"/>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2"/>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3"/>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4"/>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155"/>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156"/>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r>
        <w:rPr>
          <w:rStyle w:val="Hyperlink"/>
          <w:b/>
          <w:bCs/>
          <w:color w:val="000000"/>
          <w:sz w:val="20"/>
          <w:szCs w:val="20"/>
          <w:u w:val="none" w:color="0000EE"/>
          <w:vertAlign w:val="superscript"/>
          <w:lang w:val="el" w:eastAsia="el"/>
        </w:rPr>
        <w:footnoteReference w:id="157"/>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3.</w:t>
      </w:r>
      <w:r>
        <w:rPr>
          <w:b/>
          <w:bCs/>
          <w:lang w:val="el" w:eastAsia="el"/>
        </w:rPr>
        <w:t xml:space="preserve"> Για αυτοκινούμενα τροχόσπιτα της δασμολογικής κλάσης 87.03 της Συνδυασμένης Ονοματολογίας αντίστοιχης με τις περιπτώσεις (α), (β), (γ) και (δ) της προηγούμενης παραγράφου, αντιρρυπαντικής ή συμβατικής τεχνολογίας, οι κατά περίπτωση συντελεστές τέλους ταξινόμησης μειώνονται κατά πενήντα τοις εκατό (50%).</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59"/>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160"/>
      </w:r>
      <w:r>
        <w:rPr>
          <w:b/>
          <w:bCs/>
          <w:lang w:val="el" w:eastAsia="el"/>
        </w:rPr>
        <w:t>. Σε περίπτωση έναρξης ισχύος νέων προδιαγραφών τις οποίες πληρούν εκ κατασκευής τα οχήματα, με βάση ήδη εκδοθείσα ή νέα Κοινοτική Οδηγία αντιρρυπαντικής τεχνολογίας, από το χρόνο έναρξης εφαρμογής των αναγκαίων εθνικών μέτρων εναρμόνισης προς αυτές, για τα αυτοκίνητα που πληρούν τις προδιαγραφές αυτές, θα εφαρμόζονται οι συντελεστές τέλους ταξινόμησης της περίπτωσης α` της παραγράφου 2 του παρόντος άρθρου.</w:t>
      </w:r>
    </w:p>
    <w:p>
      <w:pPr>
        <w:spacing w:before="240" w:after="240"/>
        <w:rPr>
          <w:lang w:val="el" w:eastAsia="el"/>
        </w:rPr>
      </w:pPr>
      <w:r>
        <w:rPr>
          <w:b/>
          <w:bCs/>
          <w:lang w:val="el" w:eastAsia="el"/>
        </w:rPr>
        <w:t>Μετά την υπαγωγή στην περίπτωση α` των αυτοκινήτων με τις νέες προδιαγραφές, θα εφαρμόζονται για τα αυτοκίνητα με τις προηγούμενες προδιαγραφές, οι συντελεστές των περιπτώσεων β` και γ` αντίστοιχα..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61"/>
      </w:r>
      <w:r>
        <w:rPr>
          <w:b/>
          <w:bCs/>
          <w:lang w:val="el" w:eastAsia="el"/>
        </w:rPr>
        <w:t>Για την υπαγωγή στον αντίστοιχο συντελεστή τέλους ταξινόμησης της παραγράφου 2 του παρόντος άρθρου, η διαπίστωση της Κοινοτικής Οδηγίας αντιρρυπαντικής τεχνολογίας, τις προδιαγραφές της οποίας πληροί εκ κατασκευής το όχημα, θα πραγματοποιείται από την αρμόδια τελωνειακή αρχή με βάση την προσκομιζόμενη σε αυτήν έγκριση τύπου ή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οδηγιών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την αναγραφόμενη στην έγκριση τύπου ή στο δελτίο κοινοποίησης έγκρισης τύπου οδηγία αντιρρυπαντικής τεχνολογίας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62"/>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63"/>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164"/>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ανεξάρτητα από τη δασμολογική τους κατάταξη,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μεγαλύτερο του σαράντα τοις εκατό (40%) της απόστασης μεταξύ των κέντρων του μπροστινού και του πίσω τροχού της ίδιας πλευράς του οχήματος και ανεξάρτητα από το φορτίο που δύναται να μεταφέρουν, ποσοστό ίσο με το ποσοστό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μεγαλύτερου των πεντακοσίων (500) χιλιόγραμμων, ποσοστό διπλάσιο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ή ίσο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μικρότερου των πεντακοσίων (500) χιλιόγραμμων, ποσοστό ίσο με το πενήντα τοις εκατό των ποσοστών των περιπτώσεων α` έως και δ` της παραγράφου 2 του άρθρου 121, ανάλογα με τις προδιαγραφές των οδηγιών αντιρρυπαντικής τεχνολογίας που αυτά πληρούν εκ κατασκευής, που σε καμία περίπτωση δεν μπορεί να είναι μικρότερο του τριπλάσιου του ποσοστού της ανωτέρω περίπτωσης β`.</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spacing w:before="240" w:after="240"/>
        <w:rPr>
          <w:lang w:val="el" w:eastAsia="el"/>
        </w:rPr>
      </w:pPr>
      <w:r>
        <w:rPr>
          <w:rStyle w:val="Hyperlink"/>
          <w:b/>
          <w:bCs/>
          <w:color w:val="000000"/>
          <w:sz w:val="20"/>
          <w:szCs w:val="20"/>
          <w:u w:val="none" w:color="0000EE"/>
          <w:vertAlign w:val="superscript"/>
          <w:lang w:val="el" w:eastAsia="el"/>
        </w:rPr>
        <w:footnoteReference w:id="165"/>
      </w:r>
      <w:r>
        <w:rPr>
          <w:b/>
          <w:bCs/>
          <w:lang w:val="el" w:eastAsia="el"/>
        </w:rPr>
        <w:t>Η κατά το προηγούμενο εδάφιο προσαύξηση έχει εφαρμογή και στα οχήματα των δύο πρώτων υποπεριπτώσεων της περίπτωσης ε` που δεν πληρούν προδιαγραφές οδηγιών αντιρρυπαντικής τεχνολογίας</w:t>
      </w:r>
    </w:p>
    <w:p>
      <w:pPr>
        <w:pStyle w:val="StructureList1"/>
        <w:spacing w:before="120" w:after="0"/>
        <w:rPr>
          <w:lang w:val="el" w:eastAsia="el"/>
        </w:rPr>
      </w:pPr>
      <w:r>
        <w:rPr>
          <w:b/>
          <w:bCs/>
          <w:lang w:val="el" w:eastAsia="el"/>
        </w:rPr>
        <w:t>ζ)</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Κάτω των 50 κυβικών εκατοστών 0% </w:t>
      </w:r>
    </w:p>
    <w:p>
      <w:pPr>
        <w:spacing w:before="240" w:after="240"/>
        <w:rPr>
          <w:lang w:val="el" w:eastAsia="el"/>
        </w:rPr>
      </w:pPr>
      <w:r>
        <w:rPr>
          <w:b/>
          <w:bCs/>
          <w:lang w:val="el" w:eastAsia="el"/>
        </w:rPr>
        <w:t xml:space="preserve">Από 50 μέχρι και 500 κυβικά εκατοστά 4% </w:t>
      </w:r>
    </w:p>
    <w:p>
      <w:pPr>
        <w:spacing w:before="240" w:after="240"/>
        <w:rPr>
          <w:lang w:val="el" w:eastAsia="el"/>
        </w:rPr>
      </w:pPr>
      <w:r>
        <w:rPr>
          <w:b/>
          <w:bCs/>
          <w:lang w:val="el" w:eastAsia="el"/>
        </w:rPr>
        <w:t xml:space="preserve">Από 501 μέχρι και 900 κυβικά εκατοστά 8% </w:t>
      </w:r>
    </w:p>
    <w:p>
      <w:pPr>
        <w:spacing w:before="240" w:after="240"/>
        <w:rPr>
          <w:lang w:val="el" w:eastAsia="el"/>
        </w:rPr>
      </w:pPr>
      <w:r>
        <w:rPr>
          <w:b/>
          <w:bCs/>
          <w:lang w:val="el" w:eastAsia="el"/>
        </w:rPr>
        <w:t>Από 901 κυβικά εκατοστά και πάνω 14%</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66"/>
      </w:r>
      <w:r>
        <w:rPr>
          <w:b/>
          <w:bCs/>
          <w:lang w:val="el" w:eastAsia="el"/>
        </w:rPr>
        <w:t>Τα ανοικτά ή κλειστά φορτηγά αυτοκίνητα μικτού βάρους άνω των 3,5 τόνων που προέρχονται από διασκευή ελκυστήρων της δασμολογικής κλάσης (δ.κ.) 87.01, επιβατικών αυτοκινήτων (λεωφορείων) της δ.κ. 87.02,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rStyle w:val="Hyperlink"/>
          <w:b/>
          <w:bCs/>
          <w:color w:val="000000"/>
          <w:sz w:val="20"/>
          <w:szCs w:val="20"/>
          <w:u w:val="none" w:color="0000EE"/>
          <w:vertAlign w:val="superscript"/>
          <w:lang w:val="el" w:eastAsia="el"/>
        </w:rPr>
        <w:footnoteReference w:id="167"/>
      </w:r>
      <w:r>
        <w:rPr>
          <w:b/>
          <w:bCs/>
          <w:lang w:val="el" w:eastAsia="el"/>
        </w:rPr>
        <w:t xml:space="preserve"> Τα παραπάνω ποσά προσαυξάνονται κατά πεντακόσια (500) ευρώ στις περιπτώσεις που από τη μετασκευή προκύπτει ανατρεπόμενο ή βυτιοφόρο όχημα. </w:t>
      </w:r>
    </w:p>
    <w:p>
      <w:pPr>
        <w:spacing w:before="240" w:after="240"/>
        <w:rPr>
          <w:lang w:val="el" w:eastAsia="el"/>
        </w:rPr>
      </w:pPr>
      <w:r>
        <w:rPr>
          <w:b/>
          <w:bCs/>
          <w:lang w:val="el" w:eastAsia="el"/>
        </w:rPr>
        <w:t>8</w:t>
      </w:r>
      <w:r>
        <w:rPr>
          <w:rStyle w:val="Hyperlink"/>
          <w:b/>
          <w:bCs/>
          <w:color w:val="000000"/>
          <w:sz w:val="20"/>
          <w:szCs w:val="20"/>
          <w:u w:val="none" w:color="0000EE"/>
          <w:vertAlign w:val="superscript"/>
          <w:lang w:val="el" w:eastAsia="el"/>
        </w:rPr>
        <w:footnoteReference w:id="168"/>
      </w:r>
      <w:r>
        <w:rPr>
          <w:b/>
          <w:bCs/>
          <w:lang w:val="el" w:eastAsia="el"/>
        </w:rPr>
        <w:t>.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θα καθοριστούν με απόφαση του Υπουργού Οικονομίας και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Ενωσης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169"/>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λαμβάνεται η αξία της βάσης, όπως αυτή διαμορφώνεται σύμφωνα με τα οριζόμενα στην προηγούμενη παράγραφο 4, στην οποία προστίθεται και το κόστος της διασκευής.</w:t>
      </w:r>
    </w:p>
    <w:p>
      <w:pPr>
        <w:spacing w:before="240" w:after="240"/>
        <w:rPr>
          <w:lang w:val="el" w:eastAsia="el"/>
        </w:rPr>
      </w:pPr>
      <w:r>
        <w:rPr>
          <w:b/>
          <w:bCs/>
          <w:lang w:val="el" w:eastAsia="el"/>
        </w:rPr>
        <w:t>9</w:t>
      </w:r>
      <w:r>
        <w:rPr>
          <w:rStyle w:val="Hyperlink"/>
          <w:b/>
          <w:bCs/>
          <w:color w:val="000000"/>
          <w:sz w:val="20"/>
          <w:szCs w:val="20"/>
          <w:u w:val="none" w:color="0000EE"/>
          <w:vertAlign w:val="superscript"/>
          <w:lang w:val="el" w:eastAsia="el"/>
        </w:rPr>
        <w:footnoteReference w:id="170"/>
      </w:r>
      <w:r>
        <w:rPr>
          <w:b/>
          <w:bCs/>
          <w:lang w:val="el" w:eastAsia="el"/>
        </w:rPr>
        <w:t>.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 xml:space="preserve">του παρόντος άρθρου. </w:t>
      </w:r>
      <w:r>
        <w:rPr>
          <w:rStyle w:val="Hyperlink"/>
          <w:b/>
          <w:bCs/>
          <w:color w:val="000000"/>
          <w:sz w:val="20"/>
          <w:szCs w:val="20"/>
          <w:u w:val="none" w:color="0000EE"/>
          <w:vertAlign w:val="superscript"/>
          <w:lang w:val="el" w:eastAsia="el"/>
        </w:rPr>
        <w:footnoteReference w:id="171"/>
      </w:r>
      <w:r>
        <w:rPr>
          <w:b/>
          <w:bCs/>
          <w:lang w:val="el" w:eastAsia="el"/>
        </w:rPr>
        <w:t>...</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73"/>
      </w:r>
      <w:r>
        <w:rPr>
          <w:b/>
          <w:bCs/>
          <w:lang w:val="el" w:eastAsia="el"/>
        </w:rPr>
        <w:t>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 του παρόντος.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174"/>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κατά τύπο παραλλαγή και έκδοση αυτού, όπως αυτή εμφανίζεται στους υποβαλλόμενους τιμοκαταλόγους στην αρμόδια Τελωνειακή Αρχή από τους επίσημους</w:t>
      </w:r>
    </w:p>
    <w:p>
      <w:pPr>
        <w:spacing w:before="240" w:after="240"/>
        <w:rPr>
          <w:lang w:val="el" w:eastAsia="el"/>
        </w:rPr>
      </w:pPr>
      <w:r>
        <w:rPr>
          <w:b/>
          <w:bCs/>
          <w:lang w:val="el" w:eastAsia="el"/>
        </w:rPr>
        <w:t>διανομείς αυτοκινήτων, όπως αυτοί προσδιορίζονται από τον Κανονισμό (ΕΚ) 1400/2002 της Επιτροπής της 31 ης Ιουλίου 2002 (ΕΕ L203, της 1ης Αυγούστου 2002), συμπεριλαμβανομένης και της αξίας του προαιρετικού (EXTRA) αυτού εξοπλισμού. Για τα μεταχειρισμένα επιβατικά αυτοκίνητα λαμβάνεται υπόψη η κατά τα παραπάνω τιμή χονδρικής πώλησης του αντίστοιχου επιβατικού αυτοκινήτου κατά το χρόνο κυκλοφορίας του στη διεθνή αγορά, αφού αυτή μειωθεί</w:t>
      </w:r>
    </w:p>
    <w:p>
      <w:pPr>
        <w:spacing w:before="240" w:after="240"/>
        <w:rPr>
          <w:lang w:val="el" w:eastAsia="el"/>
        </w:rPr>
      </w:pPr>
      <w:r>
        <w:rPr>
          <w:b/>
          <w:bCs/>
          <w:lang w:val="el" w:eastAsia="el"/>
        </w:rPr>
        <w:t>λόγω παλαιότητας και λόγω διανυθέντων χιλιομέτρων με βάση τα παρακάτω ποσοστά</w:t>
      </w:r>
    </w:p>
    <w:p>
      <w:pPr>
        <w:spacing w:before="240" w:after="240"/>
        <w:rPr>
          <w:lang w:val="el" w:eastAsia="el"/>
        </w:rPr>
      </w:pPr>
      <w:r>
        <w:rPr>
          <w:b/>
          <w:bCs/>
          <w:lang w:val="el" w:eastAsia="el"/>
        </w:rPr>
        <w:t>μείωσης για κάθε μήνα κυκλοφορίας:</w:t>
      </w:r>
    </w:p>
    <w:p>
      <w:pPr>
        <w:spacing w:before="240" w:after="240"/>
        <w:rPr>
          <w:lang w:val="el" w:eastAsia="el"/>
        </w:rPr>
      </w:pPr>
      <w:r>
        <w:rPr>
          <w:b/>
          <w:bCs/>
          <w:lang w:val="el" w:eastAsia="el"/>
        </w:rPr>
        <w:t>Για τον πρώτο χρόνο, η μείωση θα ανέρχεται σε 1,30% για κάθε μήνα κυκλοφορίας.</w:t>
      </w:r>
    </w:p>
    <w:p>
      <w:pPr>
        <w:spacing w:before="240" w:after="240"/>
        <w:rPr>
          <w:lang w:val="el" w:eastAsia="el"/>
        </w:rPr>
      </w:pPr>
      <w:r>
        <w:rPr>
          <w:b/>
          <w:bCs/>
          <w:lang w:val="el" w:eastAsia="el"/>
        </w:rPr>
        <w:t>Για το δεύτερο χρόνο, η μείωση θα ανέρχεται σε 0,70% για κάθε μήνα κυκλοφορίας.</w:t>
      </w:r>
    </w:p>
    <w:p>
      <w:pPr>
        <w:spacing w:before="240" w:after="240"/>
        <w:rPr>
          <w:lang w:val="el" w:eastAsia="el"/>
        </w:rPr>
      </w:pPr>
      <w:r>
        <w:rPr>
          <w:b/>
          <w:bCs/>
          <w:lang w:val="el" w:eastAsia="el"/>
        </w:rPr>
        <w:t>Για τον τρίτο χρόνο, η μείωση θα ανέρχεται σε 0,50% για κάθε μήνα κυκλοφορίας.</w:t>
      </w:r>
    </w:p>
    <w:p>
      <w:pPr>
        <w:spacing w:before="240" w:after="240"/>
        <w:rPr>
          <w:lang w:val="el" w:eastAsia="el"/>
        </w:rPr>
      </w:pPr>
      <w:r>
        <w:rPr>
          <w:b/>
          <w:bCs/>
          <w:lang w:val="el" w:eastAsia="el"/>
        </w:rPr>
        <w:t>Για τα πέντε επόμενα χρόνια, η μείωση θα ανέρχεται σε 0,40% για κάθε μήνα κυκλοφορίας.</w:t>
      </w:r>
    </w:p>
    <w:p>
      <w:pPr>
        <w:spacing w:before="240" w:after="240"/>
        <w:rPr>
          <w:lang w:val="el" w:eastAsia="el"/>
        </w:rPr>
      </w:pPr>
      <w:r>
        <w:rPr>
          <w:b/>
          <w:bCs/>
          <w:lang w:val="el" w:eastAsia="el"/>
        </w:rPr>
        <w:t>Για τα τρία επόμενα χρόνια, η μείωση θα ανέρχεται σε 0,30% για κάθε μήνα κυκλοφορίας.</w:t>
      </w:r>
    </w:p>
    <w:p>
      <w:pPr>
        <w:spacing w:before="240" w:after="240"/>
        <w:rPr>
          <w:lang w:val="el" w:eastAsia="el"/>
        </w:rPr>
      </w:pPr>
      <w:r>
        <w:rPr>
          <w:b/>
          <w:bCs/>
          <w:lang w:val="el" w:eastAsia="el"/>
        </w:rPr>
        <w:t>Για τα δύο επόμενα χρόνια, η μείωση θα ανέρχεται σε 0,20% για κάθε μήνα κυκλοφορίας και</w:t>
      </w:r>
    </w:p>
    <w:p>
      <w:pPr>
        <w:spacing w:before="240" w:after="240"/>
        <w:rPr>
          <w:lang w:val="el" w:eastAsia="el"/>
        </w:rPr>
      </w:pPr>
      <w:r>
        <w:rPr>
          <w:b/>
          <w:bCs/>
          <w:lang w:val="el" w:eastAsia="el"/>
        </w:rPr>
        <w:t>Για τα επόμενα χρόνια, η μείωση θα ανέρχεται σε 0,10% για κάθε μήνα κυκλοφορίας.</w:t>
      </w:r>
    </w:p>
    <w:p>
      <w:pPr>
        <w:spacing w:before="240" w:after="240"/>
        <w:rPr>
          <w:lang w:val="el" w:eastAsia="el"/>
        </w:rPr>
      </w:pPr>
      <w:r>
        <w:rPr>
          <w:b/>
          <w:bCs/>
          <w:lang w:val="el" w:eastAsia="el"/>
        </w:rPr>
        <w:t>Στο συντελεστή παλαιότητας που προκύπτει με βάση τα προηγούμενα ποσοστά θα προστίθεται και ποσοστό 5% επί των διανυθέντων χιλιομέτρων δια χίλια πεντακόσια (1.500).</w:t>
      </w:r>
    </w:p>
    <w:p>
      <w:pPr>
        <w:spacing w:before="240" w:after="240"/>
        <w:rPr>
          <w:lang w:val="el" w:eastAsia="el"/>
        </w:rPr>
      </w:pPr>
      <w:r>
        <w:rPr>
          <w:b/>
          <w:bCs/>
          <w:lang w:val="el" w:eastAsia="el"/>
        </w:rPr>
        <w:t>Ο κατά τα παραπάνω διαμορφούμενος συντελεστής απομείωσης δεν δύναται να είναι ανώτερος του 81%.</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 Η κατά τα παραπάνω τιμή χονδρικής πώλησης δεν μπορεί να είναι μικρότερη της πράγματι πληρωθείσας ή πληρωτέας αξίας (τιμή αγοράς).</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176"/>
      </w:r>
      <w:r>
        <w:rPr>
          <w:rStyle w:val="Hyperlink"/>
          <w:b/>
          <w:bCs/>
          <w:color w:val="000000"/>
          <w:sz w:val="20"/>
          <w:szCs w:val="20"/>
          <w:u w:val="none" w:color="0000EE"/>
          <w:vertAlign w:val="superscript"/>
          <w:lang w:val="el" w:eastAsia="el"/>
        </w:rPr>
        <w:footnoteReference w:id="177"/>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178"/>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179"/>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181"/>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82"/>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83"/>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84"/>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85"/>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86"/>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87"/>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188"/>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90"/>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1"/>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2"/>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Η κατοχή ή η κυκλοφορία κοινοτικών οχημάτων από πρόσωπα εγκατεστημένα στην Ελλάδα, για τα οποία δεν πληρούνται οι όροι και οι προϋποθέσεις της παραγράφου 2 του άρθρου 133 του παρόντα Κώδικα, χωρίς να έχει τηρηθεί καμία από τις διατυπώσεις που προβλέπονται στα άρθρα 129 και 1130 αυτού, αποτελεί απλή τελωνειακή παράβαση κατά την έννοια της παραγράφου 1 του άρθρου 142 του παρόντα Κώδικα.</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193"/>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94"/>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95"/>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6"/>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97"/>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98"/>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9"/>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00"/>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01"/>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02"/>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03"/>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4"/>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05"/>
      </w:r>
      <w:r>
        <w:rPr>
          <w:rStyle w:val="Hyperlink"/>
          <w:b/>
          <w:bCs/>
          <w:color w:val="000000"/>
          <w:sz w:val="20"/>
          <w:szCs w:val="20"/>
          <w:u w:val="none" w:color="0000EE"/>
          <w:vertAlign w:val="superscript"/>
          <w:lang w:val="el" w:eastAsia="el"/>
        </w:rPr>
        <w:footnoteReference w:id="206"/>
      </w:r>
      <w:r>
        <w:rPr>
          <w:b/>
          <w:bCs/>
          <w:lang w:val="el" w:eastAsia="el"/>
        </w:rPr>
        <w:t>Σε περίπτωση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κατά το άρθρο 73 παράγραφος 2 περίπτωση α` του παρόντος νόμου χρονικής περιόδου, επιφυλασσομένων των περί λαθρεμπορίας διατάξεων, επιβάλλεται ανά φορολογικό στοιχείο πρόστιμο εκατό (100) ευρώ.</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5 παράγραφος 1 του ν. 3899/2010 προθεσμίας..</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07"/>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8"/>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9"/>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 xml:space="preserve">απαλλάσσει αυτούς από την ευθύνη, </w:t>
      </w:r>
      <w:r>
        <w:rPr>
          <w:rStyle w:val="Hyperlink"/>
          <w:b/>
          <w:bCs/>
          <w:color w:val="000000"/>
          <w:sz w:val="20"/>
          <w:szCs w:val="20"/>
          <w:u w:val="none" w:color="0000EE"/>
          <w:vertAlign w:val="superscript"/>
          <w:lang w:val="el" w:eastAsia="el"/>
        </w:rPr>
        <w:footnoteReference w:id="210"/>
      </w:r>
      <w:r>
        <w:rPr>
          <w:b/>
          <w:bCs/>
          <w:lang w:val="el" w:eastAsia="el"/>
        </w:rPr>
        <w:t>εκτός αν ήθελε αποδειχθεί ότι οι ανωτέρω δεν ηδύναντο να έχουν γνώση περί της πιθανότητας τέλεσης της παράβασης.</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211"/>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212"/>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213"/>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214"/>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215"/>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216"/>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217"/>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18"/>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219"/>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220"/>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b/>
          <w:bCs/>
          <w:lang w:val="el" w:eastAsia="el"/>
        </w:rPr>
        <w:t>Ο Οργανισμός Διαχείρισης Δημόσιου Υλικού εάν, μετά την παρέλευση (3)</w:t>
      </w:r>
    </w:p>
    <w:p>
      <w:pPr>
        <w:spacing w:before="240" w:after="240"/>
        <w:rPr>
          <w:lang w:val="el" w:eastAsia="el"/>
        </w:rPr>
      </w:pPr>
      <w:r>
        <w:rPr>
          <w:b/>
          <w:bCs/>
          <w:lang w:val="el" w:eastAsia="el"/>
        </w:rPr>
        <w:t>τριών μηνών από την ημερομηνία κατάσχεσης, δεν έχει λάβει την πιο πάνω</w:t>
      </w:r>
    </w:p>
    <w:p>
      <w:pPr>
        <w:spacing w:before="240" w:after="240"/>
        <w:rPr>
          <w:lang w:val="el" w:eastAsia="el"/>
        </w:rPr>
      </w:pPr>
      <w:r>
        <w:rPr>
          <w:b/>
          <w:bCs/>
          <w:lang w:val="el" w:eastAsia="el"/>
        </w:rPr>
        <w:t>έγγραφη γνωστοποίηση ή ανακοίνωση, προβαίνει στην εκποίηση ή διάθεση</w:t>
      </w:r>
    </w:p>
    <w:p>
      <w:pPr>
        <w:spacing w:before="240" w:after="240"/>
        <w:rPr>
          <w:lang w:val="el" w:eastAsia="el"/>
        </w:rPr>
      </w:pPr>
      <w:r>
        <w:rPr>
          <w:b/>
          <w:bCs/>
          <w:lang w:val="el" w:eastAsia="el"/>
        </w:rPr>
        <w:t>των μέσων αυτών.</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221"/>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22"/>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23"/>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24"/>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225"/>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26"/>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227"/>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 w:anchor="art_1" w:history="1">
        <w:r>
          <w:rPr>
            <w:rStyle w:val="Hyperlink"/>
            <w:b/>
            <w:bCs/>
            <w:color w:val="0000EE"/>
            <w:u w:color="0000EE"/>
            <w:lang w:val="el" w:eastAsia="el"/>
          </w:rPr>
          <w:t>Τροποποίηση 3583/2007, Άρθρο 1</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Προσθήκη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Τροποποίηση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Προσθήκη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1" w:history="1">
        <w:r>
          <w:rPr>
            <w:rStyle w:val="Hyperlink"/>
            <w:b/>
            <w:bCs/>
            <w:color w:val="0000EE"/>
            <w:u w:color="0000EE"/>
            <w:lang w:val="el" w:eastAsia="el"/>
          </w:rPr>
          <w:t>Προσθήκη 3583/2007, Άρθρο 1</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 w:history="1">
        <w:r>
          <w:rPr>
            <w:rStyle w:val="Hyperlink"/>
            <w:b/>
            <w:bCs/>
            <w:color w:val="0000EE"/>
            <w:u w:color="0000EE"/>
            <w:lang w:val="el" w:eastAsia="el"/>
          </w:rPr>
          <w:t>Τροποποίηση 3583/2007, Άρθρο 1</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Τροποποίηση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Τροποποίηση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41" w:history="1">
        <w:r>
          <w:rPr>
            <w:rStyle w:val="Hyperlink"/>
            <w:b/>
            <w:bCs/>
            <w:color w:val="0000EE"/>
            <w:u w:color="0000EE"/>
            <w:lang w:val="el" w:eastAsia="el"/>
          </w:rPr>
          <w:t>Τροποποίηση 4072/2012, Άρθρο 41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Τροποποίηση 3583/2007,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3336/2005,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85" w:history="1">
        <w:r>
          <w:rPr>
            <w:rStyle w:val="Hyperlink"/>
            <w:b/>
            <w:bCs/>
            <w:color w:val="0000EE"/>
            <w:u w:color="0000EE"/>
            <w:lang w:val="el" w:eastAsia="el"/>
          </w:rPr>
          <w:t>Τροποποίηση 3842/2010, Άρθρο 85</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85" w:history="1">
        <w:r>
          <w:rPr>
            <w:rStyle w:val="Hyperlink"/>
            <w:b/>
            <w:bCs/>
            <w:color w:val="0000EE"/>
            <w:u w:color="0000EE"/>
            <w:lang w:val="el" w:eastAsia="el"/>
          </w:rPr>
          <w:t>Τροποποίηση 3842/2010, Άρθρο 85</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85" w:history="1">
        <w:r>
          <w:rPr>
            <w:rStyle w:val="Hyperlink"/>
            <w:b/>
            <w:bCs/>
            <w:color w:val="0000EE"/>
            <w:u w:color="0000EE"/>
            <w:lang w:val="el" w:eastAsia="el"/>
          </w:rPr>
          <w:t>Τροποποίηση 3842/2010, Άρθρο 85</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85" w:history="1">
        <w:r>
          <w:rPr>
            <w:rStyle w:val="Hyperlink"/>
            <w:b/>
            <w:bCs/>
            <w:color w:val="0000EE"/>
            <w:u w:color="0000EE"/>
            <w:lang w:val="el" w:eastAsia="el"/>
          </w:rPr>
          <w:t>Τροποποίηση 3842/2010, Άρθρο 85</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85" w:history="1">
        <w:r>
          <w:rPr>
            <w:rStyle w:val="Hyperlink"/>
            <w:b/>
            <w:bCs/>
            <w:color w:val="0000EE"/>
            <w:u w:color="0000EE"/>
            <w:lang w:val="el" w:eastAsia="el"/>
          </w:rPr>
          <w:t>Τροποποίηση 3842/2010, Άρθρο 85</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85" w:history="1">
        <w:r>
          <w:rPr>
            <w:rStyle w:val="Hyperlink"/>
            <w:b/>
            <w:bCs/>
            <w:color w:val="0000EE"/>
            <w:u w:color="0000EE"/>
            <w:lang w:val="el" w:eastAsia="el"/>
          </w:rPr>
          <w:t>Τροποποίηση 3842/2010, Άρθρο 85</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85" w:history="1">
        <w:r>
          <w:rPr>
            <w:rStyle w:val="Hyperlink"/>
            <w:b/>
            <w:bCs/>
            <w:color w:val="0000EE"/>
            <w:u w:color="0000EE"/>
            <w:lang w:val="el" w:eastAsia="el"/>
          </w:rPr>
          <w:t>Τροποποίηση 3842/2010, Άρθρο 85</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320" w:history="1">
        <w:r>
          <w:rPr>
            <w:rStyle w:val="Hyperlink"/>
            <w:b/>
            <w:bCs/>
            <w:color w:val="0000EE"/>
            <w:u w:color="0000EE"/>
            <w:lang w:val="el" w:eastAsia="el"/>
          </w:rPr>
          <w:t>Προσθήκη 4072/2012, Άρθρο 320</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85" w:history="1">
        <w:r>
          <w:rPr>
            <w:rStyle w:val="Hyperlink"/>
            <w:b/>
            <w:bCs/>
            <w:color w:val="0000EE"/>
            <w:u w:color="0000EE"/>
            <w:lang w:val="el" w:eastAsia="el"/>
          </w:rPr>
          <w:t>Προσθήκη 3842/2010, Άρθρο 85</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Τροποποίηση 3842/2010, Άρθρο 85</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85" w:history="1">
        <w:r>
          <w:rPr>
            <w:rStyle w:val="Hyperlink"/>
            <w:b/>
            <w:bCs/>
            <w:color w:val="0000EE"/>
            <w:u w:color="0000EE"/>
            <w:lang w:val="el" w:eastAsia="el"/>
          </w:rPr>
          <w:t>Τροποποίηση 3842/2010, Άρθρο 85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85" w:history="1">
        <w:r>
          <w:rPr>
            <w:rStyle w:val="Hyperlink"/>
            <w:b/>
            <w:bCs/>
            <w:color w:val="0000EE"/>
            <w:u w:color="0000EE"/>
            <w:lang w:val="el" w:eastAsia="el"/>
          </w:rPr>
          <w:t>Τροποποίηση 3842/2010, Άρθρο 85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1" w:history="1">
        <w:r>
          <w:rPr>
            <w:rStyle w:val="Hyperlink"/>
            <w:b/>
            <w:bCs/>
            <w:color w:val="0000EE"/>
            <w:u w:color="0000EE"/>
            <w:lang w:val="el" w:eastAsia="el"/>
          </w:rPr>
          <w:t>Τροποποίηση 3583/2007, Άρθρο 1</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85" w:history="1">
        <w:r>
          <w:rPr>
            <w:rStyle w:val="Hyperlink"/>
            <w:b/>
            <w:bCs/>
            <w:color w:val="0000EE"/>
            <w:u w:color="0000EE"/>
            <w:lang w:val="el" w:eastAsia="el"/>
          </w:rPr>
          <w:t>Τροποποίηση 3842/2010, Άρθρο 85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1" w:history="1">
        <w:r>
          <w:rPr>
            <w:rStyle w:val="Hyperlink"/>
            <w:b/>
            <w:bCs/>
            <w:color w:val="0000EE"/>
            <w:u w:color="0000EE"/>
            <w:lang w:val="el" w:eastAsia="el"/>
          </w:rPr>
          <w:t>Προσθήκη 3583/2007, Άρθρο 1</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1" w:history="1">
        <w:r>
          <w:rPr>
            <w:rStyle w:val="Hyperlink"/>
            <w:b/>
            <w:bCs/>
            <w:color w:val="0000EE"/>
            <w:u w:color="0000EE"/>
            <w:lang w:val="el" w:eastAsia="el"/>
          </w:rPr>
          <w:t>Προσθήκη 3583/2007, Άρθρο 1</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1" w:history="1">
        <w:r>
          <w:rPr>
            <w:rStyle w:val="Hyperlink"/>
            <w:b/>
            <w:bCs/>
            <w:color w:val="0000EE"/>
            <w:u w:color="0000EE"/>
            <w:lang w:val="el" w:eastAsia="el"/>
          </w:rPr>
          <w:t>Τροποποίηση 3336/2005, Άρθρο 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1" w:history="1">
        <w:r>
          <w:rPr>
            <w:rStyle w:val="Hyperlink"/>
            <w:b/>
            <w:bCs/>
            <w:color w:val="0000EE"/>
            <w:u w:color="0000EE"/>
            <w:lang w:val="el" w:eastAsia="el"/>
          </w:rPr>
          <w:t>Τροποποίηση 3336/2005, Άρθρο 1</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4" w:history="1">
        <w:r>
          <w:rPr>
            <w:rStyle w:val="Hyperlink"/>
            <w:b/>
            <w:bCs/>
            <w:color w:val="0000EE"/>
            <w:u w:color="0000EE"/>
            <w:lang w:val="el" w:eastAsia="el"/>
          </w:rPr>
          <w:t>Τροποποίηση 3845/2010, Άρθρο 4</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15" w:history="1">
        <w:r>
          <w:rPr>
            <w:rStyle w:val="Hyperlink"/>
            <w:b/>
            <w:bCs/>
            <w:color w:val="0000EE"/>
            <w:u w:color="0000EE"/>
            <w:lang w:val="el" w:eastAsia="el"/>
          </w:rPr>
          <w:t>Τροποποίηση 3833/2010, Άρθρο 15</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7" w:history="1">
        <w:r>
          <w:rPr>
            <w:rStyle w:val="Hyperlink"/>
            <w:b/>
            <w:bCs/>
            <w:color w:val="0000EE"/>
            <w:u w:color="0000EE"/>
            <w:lang w:val="el" w:eastAsia="el"/>
          </w:rPr>
          <w:t>Τροποποίηση 3899/2010, Άρθρο 7</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36" w:history="1">
        <w:r>
          <w:rPr>
            <w:rStyle w:val="Hyperlink"/>
            <w:b/>
            <w:bCs/>
            <w:color w:val="0000EE"/>
            <w:u w:color="0000EE"/>
            <w:lang w:val="el" w:eastAsia="el"/>
          </w:rPr>
          <w:t>Τροποποίηση 3986/2011, Άρθρο 36</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5" w:history="1">
        <w:r>
          <w:rPr>
            <w:rStyle w:val="Hyperlink"/>
            <w:b/>
            <w:bCs/>
            <w:color w:val="0000EE"/>
            <w:u w:color="0000EE"/>
            <w:lang w:val="el" w:eastAsia="el"/>
          </w:rPr>
          <w:t>Τροποποίηση 4092/2012, Άρθρο 5</w:t>
        </w:r>
      </w:hyperlink>
    </w:p>
  </w:footnote>
  <w:footnote w:id="5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0" w:anchor="art_10" w:history="1">
        <w:r>
          <w:rPr>
            <w:rStyle w:val="Hyperlink"/>
            <w:b w:val="0"/>
            <w:bCs w:val="0"/>
            <w:i w:val="0"/>
            <w:iCs w:val="0"/>
            <w:smallCaps w:val="0"/>
            <w:color w:val="0000EE"/>
            <w:u w:color="0000EE"/>
            <w:lang w:val="el" w:eastAsia="el"/>
          </w:rPr>
          <w:t>Τροποποίηση 3483/2006, Άρθρο 10</w:t>
        </w:r>
      </w:hyperlink>
    </w:p>
  </w:footnote>
  <w:footnote w:id="5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5" w:history="1">
        <w:r>
          <w:rPr>
            <w:rStyle w:val="Hyperlink"/>
            <w:b/>
            <w:bCs/>
            <w:color w:val="0000EE"/>
            <w:u w:color="0000EE"/>
            <w:lang w:val="el" w:eastAsia="el"/>
          </w:rPr>
          <w:t>Τροποποίηση 3899/2010, Άρθρο 5</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22" w:history="1">
        <w:r>
          <w:rPr>
            <w:rStyle w:val="Hyperlink"/>
            <w:b/>
            <w:bCs/>
            <w:color w:val="0000EE"/>
            <w:u w:color="0000EE"/>
            <w:lang w:val="el" w:eastAsia="el"/>
          </w:rPr>
          <w:t>Προσθήκη 3634/2008, Άρθρο 22</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36" w:history="1">
        <w:r>
          <w:rPr>
            <w:rStyle w:val="Hyperlink"/>
            <w:b/>
            <w:bCs/>
            <w:color w:val="0000EE"/>
            <w:u w:color="0000EE"/>
            <w:lang w:val="el" w:eastAsia="el"/>
          </w:rPr>
          <w:t>Τροποποίηση 3986/2011, Άρθρο 36</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36" w:history="1">
        <w:r>
          <w:rPr>
            <w:rStyle w:val="Hyperlink"/>
            <w:b/>
            <w:bCs/>
            <w:color w:val="0000EE"/>
            <w:u w:color="0000EE"/>
            <w:lang w:val="el" w:eastAsia="el"/>
          </w:rPr>
          <w:t>Τροποποίηση 3986/2011, Άρθρο 36</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38" w:history="1">
        <w:r>
          <w:rPr>
            <w:rStyle w:val="Hyperlink"/>
            <w:b/>
            <w:bCs/>
            <w:color w:val="0000EE"/>
            <w:u w:color="0000EE"/>
            <w:lang w:val="el" w:eastAsia="el"/>
          </w:rPr>
          <w:t>Τροποποίηση 4024/2011, Άρθρο 38</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1" w:history="1">
        <w:r>
          <w:rPr>
            <w:rStyle w:val="Hyperlink"/>
            <w:b/>
            <w:bCs/>
            <w:color w:val="0000EE"/>
            <w:u w:color="0000EE"/>
            <w:lang w:val="el" w:eastAsia="el"/>
          </w:rPr>
          <w:t>Τροποποίηση 3336/2005, Άρθρο 1</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15" w:history="1">
        <w:r>
          <w:rPr>
            <w:rStyle w:val="Hyperlink"/>
            <w:b/>
            <w:bCs/>
            <w:color w:val="0000EE"/>
            <w:u w:color="0000EE"/>
            <w:lang w:val="el" w:eastAsia="el"/>
          </w:rPr>
          <w:t>Προσθήκη 3833/2010, Άρθρο 15</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36" w:history="1">
        <w:r>
          <w:rPr>
            <w:rStyle w:val="Hyperlink"/>
            <w:b/>
            <w:bCs/>
            <w:color w:val="0000EE"/>
            <w:u w:color="0000EE"/>
            <w:lang w:val="el" w:eastAsia="el"/>
          </w:rPr>
          <w:t>Τροποποίηση 3986/2011, Άρθρο 36</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 w:history="1">
        <w:r>
          <w:rPr>
            <w:rStyle w:val="Hyperlink"/>
            <w:b/>
            <w:bCs/>
            <w:color w:val="0000EE"/>
            <w:u w:color="0000EE"/>
            <w:lang w:val="el" w:eastAsia="el"/>
          </w:rPr>
          <w:t>Τροποποίηση 3336/2005, Άρθρο 1</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 w:history="1">
        <w:r>
          <w:rPr>
            <w:rStyle w:val="Hyperlink"/>
            <w:b/>
            <w:bCs/>
            <w:color w:val="0000EE"/>
            <w:u w:color="0000EE"/>
            <w:lang w:val="el" w:eastAsia="el"/>
          </w:rPr>
          <w:t>Τροποποίηση 3336/2005, Άρθρο 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85" w:history="1">
        <w:r>
          <w:rPr>
            <w:rStyle w:val="Hyperlink"/>
            <w:b/>
            <w:bCs/>
            <w:color w:val="0000EE"/>
            <w:u w:color="0000EE"/>
            <w:lang w:val="el" w:eastAsia="el"/>
          </w:rPr>
          <w:t>Τροποποίηση 3842/2010, Άρθρο 85</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 w:history="1">
        <w:r>
          <w:rPr>
            <w:rStyle w:val="Hyperlink"/>
            <w:b/>
            <w:bCs/>
            <w:color w:val="0000EE"/>
            <w:u w:color="0000EE"/>
            <w:lang w:val="el" w:eastAsia="el"/>
          </w:rPr>
          <w:t>Τροποποίηση 3336/2005, Άρθρο 1</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 w:history="1">
        <w:r>
          <w:rPr>
            <w:rStyle w:val="Hyperlink"/>
            <w:b/>
            <w:bCs/>
            <w:color w:val="0000EE"/>
            <w:u w:color="0000EE"/>
            <w:lang w:val="el" w:eastAsia="el"/>
          </w:rPr>
          <w:t>Τροποποίηση 3336/2005, Άρθρο 1</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30" w:history="1">
        <w:r>
          <w:rPr>
            <w:rStyle w:val="Hyperlink"/>
            <w:b/>
            <w:bCs/>
            <w:color w:val="0000EE"/>
            <w:u w:color="0000EE"/>
            <w:lang w:val="el" w:eastAsia="el"/>
          </w:rPr>
          <w:t>Αφαίρεση 3634/2008, Άρθρο 30</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 w:history="1">
        <w:r>
          <w:rPr>
            <w:rStyle w:val="Hyperlink"/>
            <w:b/>
            <w:bCs/>
            <w:color w:val="0000EE"/>
            <w:u w:color="0000EE"/>
            <w:lang w:val="el" w:eastAsia="el"/>
          </w:rPr>
          <w:t>Προσθήκη 3583/2007, Άρθρο 1</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5" w:history="1">
        <w:r>
          <w:rPr>
            <w:rStyle w:val="Hyperlink"/>
            <w:b/>
            <w:bCs/>
            <w:color w:val="0000EE"/>
            <w:u w:color="0000EE"/>
            <w:lang w:val="el" w:eastAsia="el"/>
          </w:rPr>
          <w:t>Προσθήκη 3833/2010, Άρθρο 15</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7" w:anchor="art_1" w:history="1">
        <w:r>
          <w:rPr>
            <w:rStyle w:val="Hyperlink"/>
            <w:b w:val="0"/>
            <w:bCs w:val="0"/>
            <w:i w:val="0"/>
            <w:iCs w:val="0"/>
            <w:smallCaps w:val="0"/>
            <w:color w:val="0000EE"/>
            <w:u w:color="0000EE"/>
            <w:lang w:val="el" w:eastAsia="el"/>
          </w:rPr>
          <w:t>Αφαίρεση 3583/2007, Άρθρο 1</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8" w:anchor="art_1" w:history="1">
        <w:r>
          <w:rPr>
            <w:rStyle w:val="Hyperlink"/>
            <w:b w:val="0"/>
            <w:bCs w:val="0"/>
            <w:i w:val="0"/>
            <w:iCs w:val="0"/>
            <w:smallCaps w:val="0"/>
            <w:color w:val="0000EE"/>
            <w:u w:color="0000EE"/>
            <w:lang w:val="el" w:eastAsia="el"/>
          </w:rPr>
          <w:t>Τροποποίηση 3583/2007, Άρθρο 1</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9" w:anchor="art_15" w:history="1">
        <w:r>
          <w:rPr>
            <w:rStyle w:val="Hyperlink"/>
            <w:b w:val="0"/>
            <w:bCs w:val="0"/>
            <w:i w:val="0"/>
            <w:iCs w:val="0"/>
            <w:smallCaps w:val="0"/>
            <w:color w:val="0000EE"/>
            <w:u w:color="0000EE"/>
            <w:lang w:val="el" w:eastAsia="el"/>
          </w:rPr>
          <w:t>Αφαίρεση 3833/2010, Άρθρο 15</w:t>
        </w:r>
      </w:hyperlink>
    </w:p>
  </w:footnote>
  <w:footnote w:id="78">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0" w:anchor="art_1" w:history="1">
        <w:r>
          <w:rPr>
            <w:rStyle w:val="Hyperlink"/>
            <w:b w:val="0"/>
            <w:bCs w:val="0"/>
            <w:i w:val="0"/>
            <w:iCs w:val="0"/>
            <w:smallCaps w:val="0"/>
            <w:color w:val="0000EE"/>
            <w:u w:color="0000EE"/>
            <w:lang w:val="el" w:eastAsia="el"/>
          </w:rPr>
          <w:t>Τροποποίηση 3583/2007, Άρθρο 1</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1" w:anchor="art_22" w:history="1">
        <w:r>
          <w:rPr>
            <w:rStyle w:val="Hyperlink"/>
            <w:b w:val="0"/>
            <w:bCs w:val="0"/>
            <w:i w:val="0"/>
            <w:iCs w:val="0"/>
            <w:smallCaps w:val="0"/>
            <w:color w:val="0000EE"/>
            <w:u w:color="0000EE"/>
            <w:lang w:val="el" w:eastAsia="el"/>
          </w:rPr>
          <w:t>Αφαίρεση 3634/2008, Άρθρο 22</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2" w:anchor="art_1" w:history="1">
        <w:r>
          <w:rPr>
            <w:rStyle w:val="Hyperlink"/>
            <w:b w:val="0"/>
            <w:bCs w:val="0"/>
            <w:i w:val="0"/>
            <w:iCs w:val="0"/>
            <w:smallCaps w:val="0"/>
            <w:color w:val="0000EE"/>
            <w:u w:color="0000EE"/>
            <w:lang w:val="el" w:eastAsia="el"/>
          </w:rPr>
          <w:t>Αφαίρεση 3583/2007, Άρθρο 1</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0" w:history="1">
        <w:r>
          <w:rPr>
            <w:rStyle w:val="Hyperlink"/>
            <w:b/>
            <w:bCs/>
            <w:color w:val="0000EE"/>
            <w:u w:color="0000EE"/>
            <w:lang w:val="el" w:eastAsia="el"/>
          </w:rPr>
          <w:t>Τροποποίηση 3483/2006, Άρθρο 10</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 w:history="1">
        <w:r>
          <w:rPr>
            <w:rStyle w:val="Hyperlink"/>
            <w:b/>
            <w:bCs/>
            <w:color w:val="0000EE"/>
            <w:u w:color="0000EE"/>
            <w:lang w:val="el" w:eastAsia="el"/>
          </w:rPr>
          <w:t>Προσθήκη 3583/2007, Άρθρο 1</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22" w:history="1">
        <w:r>
          <w:rPr>
            <w:rStyle w:val="Hyperlink"/>
            <w:b/>
            <w:bCs/>
            <w:color w:val="0000EE"/>
            <w:u w:color="0000EE"/>
            <w:lang w:val="el" w:eastAsia="el"/>
          </w:rPr>
          <w:t>Αφαίρεση 3634/2008, Άρθρο 22</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22" w:history="1">
        <w:r>
          <w:rPr>
            <w:rStyle w:val="Hyperlink"/>
            <w:b/>
            <w:bCs/>
            <w:color w:val="0000EE"/>
            <w:u w:color="0000EE"/>
            <w:lang w:val="el" w:eastAsia="el"/>
          </w:rPr>
          <w:t>Προσθήκη 3634/2008, Άρθρο 22</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22" w:history="1">
        <w:r>
          <w:rPr>
            <w:rStyle w:val="Hyperlink"/>
            <w:b/>
            <w:bCs/>
            <w:color w:val="0000EE"/>
            <w:u w:color="0000EE"/>
            <w:lang w:val="el" w:eastAsia="el"/>
          </w:rPr>
          <w:t>Τροποποίηση 3634/2008, Άρθρο 22</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 w:history="1">
        <w:r>
          <w:rPr>
            <w:rStyle w:val="Hyperlink"/>
            <w:b/>
            <w:bCs/>
            <w:color w:val="0000EE"/>
            <w:u w:color="0000EE"/>
            <w:lang w:val="el" w:eastAsia="el"/>
          </w:rPr>
          <w:t>Τροποποίηση 3336/2005, Άρθρο 1</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22" w:history="1">
        <w:r>
          <w:rPr>
            <w:rStyle w:val="Hyperlink"/>
            <w:b/>
            <w:bCs/>
            <w:color w:val="0000EE"/>
            <w:u w:color="0000EE"/>
            <w:lang w:val="el" w:eastAsia="el"/>
          </w:rPr>
          <w:t>Τροποποίηση 3634/2008, Άρθρο 22</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 w:history="1">
        <w:r>
          <w:rPr>
            <w:rStyle w:val="Hyperlink"/>
            <w:b/>
            <w:bCs/>
            <w:color w:val="0000EE"/>
            <w:u w:color="0000EE"/>
            <w:lang w:val="el" w:eastAsia="el"/>
          </w:rPr>
          <w:t>Προσθήκη 3583/2007, Άρθρο 1</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4" w:history="1">
        <w:r>
          <w:rPr>
            <w:rStyle w:val="Hyperlink"/>
            <w:b/>
            <w:bCs/>
            <w:color w:val="0000EE"/>
            <w:u w:color="0000EE"/>
            <w:lang w:val="el" w:eastAsia="el"/>
          </w:rPr>
          <w:t>Τροποποίηση 3833/2010, Άρθρο 14</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4" w:history="1">
        <w:r>
          <w:rPr>
            <w:rStyle w:val="Hyperlink"/>
            <w:b/>
            <w:bCs/>
            <w:color w:val="0000EE"/>
            <w:u w:color="0000EE"/>
            <w:lang w:val="el" w:eastAsia="el"/>
          </w:rPr>
          <w:t>Τροποποίηση 3845/2010, Άρθρο 4</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 w:history="1">
        <w:r>
          <w:rPr>
            <w:rStyle w:val="Hyperlink"/>
            <w:b/>
            <w:bCs/>
            <w:color w:val="0000EE"/>
            <w:u w:color="0000EE"/>
            <w:lang w:val="el" w:eastAsia="el"/>
          </w:rPr>
          <w:t>Τροποποίηση 3336/2005,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0" w:history="1">
        <w:r>
          <w:rPr>
            <w:rStyle w:val="Hyperlink"/>
            <w:b/>
            <w:bCs/>
            <w:color w:val="0000EE"/>
            <w:u w:color="0000EE"/>
            <w:lang w:val="el" w:eastAsia="el"/>
          </w:rPr>
          <w:t>Τροποποίηση 3752/2009, Άρθρο 10</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4" w:history="1">
        <w:r>
          <w:rPr>
            <w:rStyle w:val="Hyperlink"/>
            <w:b/>
            <w:bCs/>
            <w:color w:val="0000EE"/>
            <w:u w:color="0000EE"/>
            <w:lang w:val="el" w:eastAsia="el"/>
          </w:rPr>
          <w:t>Τροποποίηση 3833/2010, Άρθρο 14</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4" w:history="1">
        <w:r>
          <w:rPr>
            <w:rStyle w:val="Hyperlink"/>
            <w:b/>
            <w:bCs/>
            <w:color w:val="0000EE"/>
            <w:u w:color="0000EE"/>
            <w:lang w:val="el" w:eastAsia="el"/>
          </w:rPr>
          <w:t>Τροποποίηση 3845/2010, Άρθρο 4</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Προσθήκη 3583/2007, Άρθρο 1</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Προσθήκη 3583/2007, Άρθρο 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Τροποποίηση 3583/2007, Άρθρο 1</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Τροποποίηση 3583/2007,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 w:history="1">
        <w:r>
          <w:rPr>
            <w:rStyle w:val="Hyperlink"/>
            <w:b/>
            <w:bCs/>
            <w:color w:val="0000EE"/>
            <w:u w:color="0000EE"/>
            <w:lang w:val="el" w:eastAsia="el"/>
          </w:rPr>
          <w:t>Προσθήκη 3583/2007, Άρθρο 1</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 w:history="1">
        <w:r>
          <w:rPr>
            <w:rStyle w:val="Hyperlink"/>
            <w:b/>
            <w:bCs/>
            <w:color w:val="0000EE"/>
            <w:u w:color="0000EE"/>
            <w:lang w:val="el" w:eastAsia="el"/>
          </w:rPr>
          <w:t>Τροποποίηση 3583/2007, Άρθρο 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85" w:history="1">
        <w:r>
          <w:rPr>
            <w:rStyle w:val="Hyperlink"/>
            <w:b/>
            <w:bCs/>
            <w:color w:val="0000EE"/>
            <w:u w:color="0000EE"/>
            <w:lang w:val="el" w:eastAsia="el"/>
          </w:rPr>
          <w:t>Τροποποίηση 3842/2010, Άρθρο 85</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0" w:history="1">
        <w:r>
          <w:rPr>
            <w:rStyle w:val="Hyperlink"/>
            <w:b/>
            <w:bCs/>
            <w:color w:val="0000EE"/>
            <w:u w:color="0000EE"/>
            <w:lang w:val="el" w:eastAsia="el"/>
          </w:rPr>
          <w:t>Τροποποίηση 3752/2009, Άρθρο 10</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4" w:history="1">
        <w:r>
          <w:rPr>
            <w:rStyle w:val="Hyperlink"/>
            <w:b/>
            <w:bCs/>
            <w:color w:val="0000EE"/>
            <w:u w:color="0000EE"/>
            <w:lang w:val="el" w:eastAsia="el"/>
          </w:rPr>
          <w:t>Τροποποίηση 3833/2010, Άρθρο 14</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4" w:history="1">
        <w:r>
          <w:rPr>
            <w:rStyle w:val="Hyperlink"/>
            <w:b/>
            <w:bCs/>
            <w:color w:val="0000EE"/>
            <w:u w:color="0000EE"/>
            <w:lang w:val="el" w:eastAsia="el"/>
          </w:rPr>
          <w:t>Τροποποίηση 3845/2010, Άρθρο 4</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0" w:history="1">
        <w:r>
          <w:rPr>
            <w:rStyle w:val="Hyperlink"/>
            <w:b/>
            <w:bCs/>
            <w:color w:val="0000EE"/>
            <w:u w:color="0000EE"/>
            <w:lang w:val="el" w:eastAsia="el"/>
          </w:rPr>
          <w:t>Τροποποίηση 3752/2009, Άρθρο 10</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4" w:history="1">
        <w:r>
          <w:rPr>
            <w:rStyle w:val="Hyperlink"/>
            <w:b/>
            <w:bCs/>
            <w:color w:val="0000EE"/>
            <w:u w:color="0000EE"/>
            <w:lang w:val="el" w:eastAsia="el"/>
          </w:rPr>
          <w:t>Τροποποίηση 3833/2010, Άρθρο 14</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4" w:history="1">
        <w:r>
          <w:rPr>
            <w:rStyle w:val="Hyperlink"/>
            <w:b/>
            <w:bCs/>
            <w:color w:val="0000EE"/>
            <w:u w:color="0000EE"/>
            <w:lang w:val="el" w:eastAsia="el"/>
          </w:rPr>
          <w:t>Τροποποίηση 3845/2010, Άρθρο 4</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0" w:history="1">
        <w:r>
          <w:rPr>
            <w:rStyle w:val="Hyperlink"/>
            <w:b/>
            <w:bCs/>
            <w:color w:val="0000EE"/>
            <w:u w:color="0000EE"/>
            <w:lang w:val="el" w:eastAsia="el"/>
          </w:rPr>
          <w:t>Τροποποίηση 3752/2009, Άρθρο 10</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4" w:history="1">
        <w:r>
          <w:rPr>
            <w:rStyle w:val="Hyperlink"/>
            <w:b/>
            <w:bCs/>
            <w:color w:val="0000EE"/>
            <w:u w:color="0000EE"/>
            <w:lang w:val="el" w:eastAsia="el"/>
          </w:rPr>
          <w:t>Τροποποίηση 3833/2010, Άρθρο 14</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4" w:history="1">
        <w:r>
          <w:rPr>
            <w:rStyle w:val="Hyperlink"/>
            <w:b/>
            <w:bCs/>
            <w:color w:val="0000EE"/>
            <w:u w:color="0000EE"/>
            <w:lang w:val="el" w:eastAsia="el"/>
          </w:rPr>
          <w:t>Τροποποίηση 3845/2010, Άρθρο 4</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6" w:history="1">
        <w:r>
          <w:rPr>
            <w:rStyle w:val="Hyperlink"/>
            <w:b/>
            <w:bCs/>
            <w:color w:val="0000EE"/>
            <w:u w:color="0000EE"/>
            <w:lang w:val="el" w:eastAsia="el"/>
          </w:rPr>
          <w:t>Τροποποίηση 3899/2010, Άρθρο 6</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6" w:history="1">
        <w:r>
          <w:rPr>
            <w:rStyle w:val="Hyperlink"/>
            <w:b/>
            <w:bCs/>
            <w:color w:val="0000EE"/>
            <w:u w:color="0000EE"/>
            <w:lang w:val="el" w:eastAsia="el"/>
          </w:rPr>
          <w:t>Τροποποίηση 3899/2010, Άρθρο 6</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6" w:history="1">
        <w:r>
          <w:rPr>
            <w:rStyle w:val="Hyperlink"/>
            <w:b/>
            <w:bCs/>
            <w:color w:val="0000EE"/>
            <w:u w:color="0000EE"/>
            <w:lang w:val="el" w:eastAsia="el"/>
          </w:rPr>
          <w:t>Τροποποίηση 3899/2010, Άρθρο 6</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36" w:history="1">
        <w:r>
          <w:rPr>
            <w:rStyle w:val="Hyperlink"/>
            <w:b/>
            <w:bCs/>
            <w:color w:val="0000EE"/>
            <w:u w:color="0000EE"/>
            <w:lang w:val="el" w:eastAsia="el"/>
          </w:rPr>
          <w:t>Τροποποίηση 3986/2011, Άρθρο 36</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30" w:history="1">
        <w:r>
          <w:rPr>
            <w:rStyle w:val="Hyperlink"/>
            <w:b/>
            <w:bCs/>
            <w:color w:val="0000EE"/>
            <w:u w:color="0000EE"/>
            <w:lang w:val="el" w:eastAsia="el"/>
          </w:rPr>
          <w:t>Προσθήκη 3943/2011, Άρθρο 30</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 w:history="1">
        <w:r>
          <w:rPr>
            <w:rStyle w:val="Hyperlink"/>
            <w:b/>
            <w:bCs/>
            <w:color w:val="0000EE"/>
            <w:u w:color="0000EE"/>
            <w:lang w:val="el" w:eastAsia="el"/>
          </w:rPr>
          <w:t>Τροποποίηση 3583/2007,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 w:history="1">
        <w:r>
          <w:rPr>
            <w:rStyle w:val="Hyperlink"/>
            <w:b/>
            <w:bCs/>
            <w:color w:val="0000EE"/>
            <w:u w:color="0000EE"/>
            <w:lang w:val="el" w:eastAsia="el"/>
          </w:rPr>
          <w:t>Τροποποίηση 3583/2007, Άρθρο 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6" w:history="1">
        <w:r>
          <w:rPr>
            <w:rStyle w:val="Hyperlink"/>
            <w:b/>
            <w:bCs/>
            <w:color w:val="0000EE"/>
            <w:u w:color="0000EE"/>
            <w:lang w:val="el" w:eastAsia="el"/>
          </w:rPr>
          <w:t>Τροποποίηση 3899/2010, Άρθρο 6</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36" w:history="1">
        <w:r>
          <w:rPr>
            <w:rStyle w:val="Hyperlink"/>
            <w:b/>
            <w:bCs/>
            <w:color w:val="0000EE"/>
            <w:u w:color="0000EE"/>
            <w:lang w:val="el" w:eastAsia="el"/>
          </w:rPr>
          <w:t>Τροποποίηση 3986/2011, Άρθρο 36</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Τροποποίηση 3583/2007,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Τροποποίηση 3583/2007,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Προσθήκη 3583/2007,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5" w:history="1">
        <w:r>
          <w:rPr>
            <w:rStyle w:val="Hyperlink"/>
            <w:b/>
            <w:bCs/>
            <w:color w:val="0000EE"/>
            <w:u w:color="0000EE"/>
            <w:lang w:val="el" w:eastAsia="el"/>
          </w:rPr>
          <w:t>Τροποποίηση 3833/2010, Άρθρο 15</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Προσθήκη 3583/2007,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8" w:history="1">
        <w:r>
          <w:rPr>
            <w:rStyle w:val="Hyperlink"/>
            <w:b/>
            <w:bCs/>
            <w:color w:val="0000EE"/>
            <w:u w:color="0000EE"/>
            <w:lang w:val="el" w:eastAsia="el"/>
          </w:rPr>
          <w:t>Προσθήκη 3634/2008, Άρθρο 28</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5" w:history="1">
        <w:r>
          <w:rPr>
            <w:rStyle w:val="Hyperlink"/>
            <w:b/>
            <w:bCs/>
            <w:color w:val="0000EE"/>
            <w:u w:color="0000EE"/>
            <w:lang w:val="el" w:eastAsia="el"/>
          </w:rPr>
          <w:t>Τροποποίηση 3899/2010, Άρθρο 5</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28" w:history="1">
        <w:r>
          <w:rPr>
            <w:rStyle w:val="Hyperlink"/>
            <w:b/>
            <w:bCs/>
            <w:color w:val="0000EE"/>
            <w:u w:color="0000EE"/>
            <w:lang w:val="el" w:eastAsia="el"/>
          </w:rPr>
          <w:t>Προσθήκη 3634/2008, Άρθρο 28</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5" w:history="1">
        <w:r>
          <w:rPr>
            <w:rStyle w:val="Hyperlink"/>
            <w:b/>
            <w:bCs/>
            <w:color w:val="0000EE"/>
            <w:u w:color="0000EE"/>
            <w:lang w:val="el" w:eastAsia="el"/>
          </w:rPr>
          <w:t>Αφαίρεση 3899/2010, Άρθρο 5</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5" w:history="1">
        <w:r>
          <w:rPr>
            <w:rStyle w:val="Hyperlink"/>
            <w:b/>
            <w:bCs/>
            <w:color w:val="0000EE"/>
            <w:u w:color="0000EE"/>
            <w:lang w:val="el" w:eastAsia="el"/>
          </w:rPr>
          <w:t>Προσθήκη 3833/2010, Άρθρο 15</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36" w:history="1">
        <w:r>
          <w:rPr>
            <w:rStyle w:val="Hyperlink"/>
            <w:b/>
            <w:bCs/>
            <w:color w:val="0000EE"/>
            <w:u w:color="0000EE"/>
            <w:lang w:val="el" w:eastAsia="el"/>
          </w:rPr>
          <w:t>Τροποποίηση 3986/2011, Άρθρο 36</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8" w:history="1">
        <w:r>
          <w:rPr>
            <w:rStyle w:val="Hyperlink"/>
            <w:b/>
            <w:bCs/>
            <w:color w:val="0000EE"/>
            <w:u w:color="0000EE"/>
            <w:lang w:val="el" w:eastAsia="el"/>
          </w:rPr>
          <w:t>Τροποποίηση 3634/2008, Άρθρο 28</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5" w:history="1">
        <w:r>
          <w:rPr>
            <w:rStyle w:val="Hyperlink"/>
            <w:b/>
            <w:bCs/>
            <w:color w:val="0000EE"/>
            <w:u w:color="0000EE"/>
            <w:lang w:val="el" w:eastAsia="el"/>
          </w:rPr>
          <w:t>Τροποποίηση 3833/2010, Άρθρο 15</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 w:history="1">
        <w:r>
          <w:rPr>
            <w:rStyle w:val="Hyperlink"/>
            <w:b/>
            <w:bCs/>
            <w:color w:val="0000EE"/>
            <w:u w:color="0000EE"/>
            <w:lang w:val="el" w:eastAsia="el"/>
          </w:rPr>
          <w:t>Τροποποίηση 3583/2007, Άρθρο 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85" w:history="1">
        <w:r>
          <w:rPr>
            <w:rStyle w:val="Hyperlink"/>
            <w:b/>
            <w:bCs/>
            <w:color w:val="0000EE"/>
            <w:u w:color="0000EE"/>
            <w:lang w:val="el" w:eastAsia="el"/>
          </w:rPr>
          <w:t>Τροποποίηση 3842/2010, Άρθρο 85</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85" w:history="1">
        <w:r>
          <w:rPr>
            <w:rStyle w:val="Hyperlink"/>
            <w:b/>
            <w:bCs/>
            <w:color w:val="0000EE"/>
            <w:u w:color="0000EE"/>
            <w:lang w:val="el" w:eastAsia="el"/>
          </w:rPr>
          <w:t>Τροποποίηση 3842/2010, Άρθρο 85</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85" w:history="1">
        <w:r>
          <w:rPr>
            <w:rStyle w:val="Hyperlink"/>
            <w:b/>
            <w:bCs/>
            <w:color w:val="0000EE"/>
            <w:u w:color="0000EE"/>
            <w:lang w:val="el" w:eastAsia="el"/>
          </w:rPr>
          <w:t>Τροποποίηση 3842/2010, Άρθρο 85</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85" w:history="1">
        <w:r>
          <w:rPr>
            <w:rStyle w:val="Hyperlink"/>
            <w:b/>
            <w:bCs/>
            <w:color w:val="0000EE"/>
            <w:u w:color="0000EE"/>
            <w:lang w:val="el" w:eastAsia="el"/>
          </w:rPr>
          <w:t>Τροποποίηση 3842/2010, Άρθρο 85</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85" w:history="1">
        <w:r>
          <w:rPr>
            <w:rStyle w:val="Hyperlink"/>
            <w:b/>
            <w:bCs/>
            <w:color w:val="0000EE"/>
            <w:u w:color="0000EE"/>
            <w:lang w:val="el" w:eastAsia="el"/>
          </w:rPr>
          <w:t>Τροποποίηση 3842/2010, Άρθρο 85</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85" w:history="1">
        <w:r>
          <w:rPr>
            <w:rStyle w:val="Hyperlink"/>
            <w:b/>
            <w:bCs/>
            <w:color w:val="0000EE"/>
            <w:u w:color="0000EE"/>
            <w:lang w:val="el" w:eastAsia="el"/>
          </w:rPr>
          <w:t>Τροποποίηση 3842/2010, Άρθρο 85</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 w:history="1">
        <w:r>
          <w:rPr>
            <w:rStyle w:val="Hyperlink"/>
            <w:b/>
            <w:bCs/>
            <w:color w:val="0000EE"/>
            <w:u w:color="0000EE"/>
            <w:lang w:val="el" w:eastAsia="el"/>
          </w:rPr>
          <w:t>Τροποποίηση 3583/2007, Άρθρο 1</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1" w:history="1">
        <w:r>
          <w:rPr>
            <w:rStyle w:val="Hyperlink"/>
            <w:b/>
            <w:bCs/>
            <w:color w:val="0000EE"/>
            <w:u w:color="0000EE"/>
            <w:lang w:val="el" w:eastAsia="el"/>
          </w:rPr>
          <w:t>Τροποποίηση 3583/2007, Άρθρο 1</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85" w:history="1">
        <w:r>
          <w:rPr>
            <w:rStyle w:val="Hyperlink"/>
            <w:b/>
            <w:bCs/>
            <w:color w:val="0000EE"/>
            <w:u w:color="0000EE"/>
            <w:lang w:val="el" w:eastAsia="el"/>
          </w:rPr>
          <w:t>Τροποποίηση 3842/2010, Άρθρο 85</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85" w:history="1">
        <w:r>
          <w:rPr>
            <w:rStyle w:val="Hyperlink"/>
            <w:b/>
            <w:bCs/>
            <w:color w:val="0000EE"/>
            <w:u w:color="0000EE"/>
            <w:lang w:val="el" w:eastAsia="el"/>
          </w:rPr>
          <w:t>Τροποποίηση 3842/2010, Άρθρο 85</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85" w:history="1">
        <w:r>
          <w:rPr>
            <w:rStyle w:val="Hyperlink"/>
            <w:b/>
            <w:bCs/>
            <w:color w:val="0000EE"/>
            <w:u w:color="0000EE"/>
            <w:lang w:val="el" w:eastAsia="el"/>
          </w:rPr>
          <w:t>Προσθήκη 3842/2010, Άρθρο 85</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6" w:history="1">
        <w:r>
          <w:rPr>
            <w:rStyle w:val="Hyperlink"/>
            <w:b/>
            <w:bCs/>
            <w:color w:val="0000EE"/>
            <w:u w:color="0000EE"/>
            <w:lang w:val="el" w:eastAsia="el"/>
          </w:rPr>
          <w:t>Τροποποίηση 3943/2011, Άρθρο 26</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1" w:history="1">
        <w:r>
          <w:rPr>
            <w:rStyle w:val="Hyperlink"/>
            <w:b/>
            <w:bCs/>
            <w:color w:val="0000EE"/>
            <w:u w:color="0000EE"/>
            <w:lang w:val="el" w:eastAsia="el"/>
          </w:rPr>
          <w:t>Αφαίρεση 3583/2007, Άρθρο 1</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 w:history="1">
        <w:r>
          <w:rPr>
            <w:rStyle w:val="Hyperlink"/>
            <w:b/>
            <w:bCs/>
            <w:color w:val="0000EE"/>
            <w:u w:color="0000EE"/>
            <w:lang w:val="el" w:eastAsia="el"/>
          </w:rPr>
          <w:t>Προσθήκη 3583/2007, Άρθρο 1</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 w:history="1">
        <w:r>
          <w:rPr>
            <w:rStyle w:val="Hyperlink"/>
            <w:b/>
            <w:bCs/>
            <w:color w:val="0000EE"/>
            <w:u w:color="0000EE"/>
            <w:lang w:val="el" w:eastAsia="el"/>
          </w:rPr>
          <w:t>Προσθήκη 3583/2007, Άρθρο 1</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1" w:history="1">
        <w:r>
          <w:rPr>
            <w:rStyle w:val="Hyperlink"/>
            <w:b/>
            <w:bCs/>
            <w:color w:val="0000EE"/>
            <w:u w:color="0000EE"/>
            <w:lang w:val="el" w:eastAsia="el"/>
          </w:rPr>
          <w:t>Προσθήκη 3583/2007, Άρθρο 1</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1" w:history="1">
        <w:r>
          <w:rPr>
            <w:rStyle w:val="Hyperlink"/>
            <w:b/>
            <w:bCs/>
            <w:color w:val="0000EE"/>
            <w:u w:color="0000EE"/>
            <w:lang w:val="el" w:eastAsia="el"/>
          </w:rPr>
          <w:t>Προσθήκη 3583/2007, Άρθρο 1</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 w:history="1">
        <w:r>
          <w:rPr>
            <w:rStyle w:val="Hyperlink"/>
            <w:b/>
            <w:bCs/>
            <w:color w:val="0000EE"/>
            <w:u w:color="0000EE"/>
            <w:lang w:val="el" w:eastAsia="el"/>
          </w:rPr>
          <w:t>Τροποποίηση 3583/2007, Άρθρο 1</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6" w:history="1">
        <w:r>
          <w:rPr>
            <w:rStyle w:val="Hyperlink"/>
            <w:b/>
            <w:bCs/>
            <w:color w:val="0000EE"/>
            <w:u w:color="0000EE"/>
            <w:lang w:val="el" w:eastAsia="el"/>
          </w:rPr>
          <w:t>Προσθήκη 3763/2009, Άρθρο 26</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 w:history="1">
        <w:r>
          <w:rPr>
            <w:rStyle w:val="Hyperlink"/>
            <w:b/>
            <w:bCs/>
            <w:color w:val="0000EE"/>
            <w:u w:color="0000EE"/>
            <w:lang w:val="el" w:eastAsia="el"/>
          </w:rPr>
          <w:t>Προσθήκη 3583/2007, Άρθρο 1</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 w:history="1">
        <w:r>
          <w:rPr>
            <w:rStyle w:val="Hyperlink"/>
            <w:b/>
            <w:bCs/>
            <w:color w:val="0000EE"/>
            <w:u w:color="0000EE"/>
            <w:lang w:val="el" w:eastAsia="el"/>
          </w:rPr>
          <w:t>Τροποποίηση 3583/2007, Άρθρο 1</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 w:history="1">
        <w:r>
          <w:rPr>
            <w:rStyle w:val="Hyperlink"/>
            <w:b/>
            <w:bCs/>
            <w:color w:val="0000EE"/>
            <w:u w:color="0000EE"/>
            <w:lang w:val="el" w:eastAsia="el"/>
          </w:rPr>
          <w:t>Προσθήκη 3583/2007, Άρθρο 1</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6" w:history="1">
        <w:r>
          <w:rPr>
            <w:rStyle w:val="Hyperlink"/>
            <w:b/>
            <w:bCs/>
            <w:color w:val="0000EE"/>
            <w:u w:color="0000EE"/>
            <w:lang w:val="el" w:eastAsia="el"/>
          </w:rPr>
          <w:t>Προσθήκη 3763/2009, Άρθρο 26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 w:history="1">
        <w:r>
          <w:rPr>
            <w:rStyle w:val="Hyperlink"/>
            <w:b/>
            <w:bCs/>
            <w:color w:val="0000EE"/>
            <w:u w:color="0000EE"/>
            <w:lang w:val="el" w:eastAsia="el"/>
          </w:rPr>
          <w:t>Τροποποίηση 3583/2007, Άρθρο 1</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6" w:history="1">
        <w:r>
          <w:rPr>
            <w:rStyle w:val="Hyperlink"/>
            <w:b/>
            <w:bCs/>
            <w:color w:val="0000EE"/>
            <w:u w:color="0000EE"/>
            <w:lang w:val="el" w:eastAsia="el"/>
          </w:rPr>
          <w:t>Αφαίρεση 3763/2009, Άρθρο 26</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6" w:history="1">
        <w:r>
          <w:rPr>
            <w:rStyle w:val="Hyperlink"/>
            <w:b/>
            <w:bCs/>
            <w:color w:val="0000EE"/>
            <w:u w:color="0000EE"/>
            <w:lang w:val="el" w:eastAsia="el"/>
          </w:rPr>
          <w:t>Προσθήκη 3763/2009, Άρθρο 26</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1" w:history="1">
        <w:r>
          <w:rPr>
            <w:rStyle w:val="Hyperlink"/>
            <w:b/>
            <w:bCs/>
            <w:color w:val="0000EE"/>
            <w:u w:color="0000EE"/>
            <w:lang w:val="el" w:eastAsia="el"/>
          </w:rPr>
          <w:t>Τροποποίηση 3583/2007, Άρθρο 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 w:history="1">
        <w:r>
          <w:rPr>
            <w:rStyle w:val="Hyperlink"/>
            <w:b/>
            <w:bCs/>
            <w:color w:val="0000EE"/>
            <w:u w:color="0000EE"/>
            <w:lang w:val="el" w:eastAsia="el"/>
          </w:rPr>
          <w:t>Τροποποίηση 3583/2007, Άρθρο 1</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6" w:history="1">
        <w:r>
          <w:rPr>
            <w:rStyle w:val="Hyperlink"/>
            <w:b/>
            <w:bCs/>
            <w:color w:val="0000EE"/>
            <w:u w:color="0000EE"/>
            <w:lang w:val="el" w:eastAsia="el"/>
          </w:rPr>
          <w:t>Τροποποίηση 3763/2009, Άρθρο 26</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 w:history="1">
        <w:r>
          <w:rPr>
            <w:rStyle w:val="Hyperlink"/>
            <w:b/>
            <w:bCs/>
            <w:color w:val="0000EE"/>
            <w:u w:color="0000EE"/>
            <w:lang w:val="el" w:eastAsia="el"/>
          </w:rPr>
          <w:t>Προσθήκη 3583/2007, Άρθρο 1</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 w:history="1">
        <w:r>
          <w:rPr>
            <w:rStyle w:val="Hyperlink"/>
            <w:b/>
            <w:bCs/>
            <w:color w:val="0000EE"/>
            <w:u w:color="0000EE"/>
            <w:lang w:val="el" w:eastAsia="el"/>
          </w:rPr>
          <w:t>Τροποποίηση 3583/2007, Άρθρο 1</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 w:history="1">
        <w:r>
          <w:rPr>
            <w:rStyle w:val="Hyperlink"/>
            <w:b/>
            <w:bCs/>
            <w:color w:val="0000EE"/>
            <w:u w:color="0000EE"/>
            <w:lang w:val="el" w:eastAsia="el"/>
          </w:rPr>
          <w:t>Τροποποίηση 3583/2007, Άρθρο 1</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 w:history="1">
        <w:r>
          <w:rPr>
            <w:rStyle w:val="Hyperlink"/>
            <w:b/>
            <w:bCs/>
            <w:color w:val="0000EE"/>
            <w:u w:color="0000EE"/>
            <w:lang w:val="el" w:eastAsia="el"/>
          </w:rPr>
          <w:t>Προσθήκη 3583/2007, Άρθρο 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 w:history="1">
        <w:r>
          <w:rPr>
            <w:rStyle w:val="Hyperlink"/>
            <w:b/>
            <w:bCs/>
            <w:color w:val="0000EE"/>
            <w:u w:color="0000EE"/>
            <w:lang w:val="el" w:eastAsia="el"/>
          </w:rPr>
          <w:t>Προσθήκη 3583/2007, Άρθρο 1</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 w:history="1">
        <w:r>
          <w:rPr>
            <w:rStyle w:val="Hyperlink"/>
            <w:b/>
            <w:bCs/>
            <w:color w:val="0000EE"/>
            <w:u w:color="0000EE"/>
            <w:lang w:val="el" w:eastAsia="el"/>
          </w:rPr>
          <w:t>Προσθήκη 3583/2007, Άρθρο 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 w:history="1">
        <w:r>
          <w:rPr>
            <w:rStyle w:val="Hyperlink"/>
            <w:b/>
            <w:bCs/>
            <w:color w:val="0000EE"/>
            <w:u w:color="0000EE"/>
            <w:lang w:val="el" w:eastAsia="el"/>
          </w:rPr>
          <w:t>Τροποποίηση 3583/2007, Άρθρο 1</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 w:history="1">
        <w:r>
          <w:rPr>
            <w:rStyle w:val="Hyperlink"/>
            <w:b/>
            <w:bCs/>
            <w:color w:val="0000EE"/>
            <w:u w:color="0000EE"/>
            <w:lang w:val="el" w:eastAsia="el"/>
          </w:rPr>
          <w:t>Τροποποίηση 3583/2007, Άρθρο 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4" w:history="1">
        <w:r>
          <w:rPr>
            <w:rStyle w:val="Hyperlink"/>
            <w:b/>
            <w:bCs/>
            <w:color w:val="0000EE"/>
            <w:u w:color="0000EE"/>
            <w:lang w:val="el" w:eastAsia="el"/>
          </w:rPr>
          <w:t>Τροποποίηση 3610/2007, Άρθρο 24</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6" w:history="1">
        <w:r>
          <w:rPr>
            <w:rStyle w:val="Hyperlink"/>
            <w:b/>
            <w:bCs/>
            <w:color w:val="0000EE"/>
            <w:u w:color="0000EE"/>
            <w:lang w:val="el" w:eastAsia="el"/>
          </w:rPr>
          <w:t>Τροποποίηση 3259/2004, Άρθρο 16</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9" w:history="1">
        <w:r>
          <w:rPr>
            <w:rStyle w:val="Hyperlink"/>
            <w:b/>
            <w:bCs/>
            <w:color w:val="0000EE"/>
            <w:u w:color="0000EE"/>
            <w:lang w:val="el" w:eastAsia="el"/>
          </w:rPr>
          <w:t>Προσθήκη 3790/2009, Άρθρο 9</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 w:history="1">
        <w:r>
          <w:rPr>
            <w:rStyle w:val="Hyperlink"/>
            <w:b/>
            <w:bCs/>
            <w:color w:val="0000EE"/>
            <w:u w:color="0000EE"/>
            <w:lang w:val="el" w:eastAsia="el"/>
          </w:rPr>
          <w:t>Τροποποίηση 3583/2007, Άρθρο 1</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7" w:history="1">
        <w:r>
          <w:rPr>
            <w:rStyle w:val="Hyperlink"/>
            <w:b/>
            <w:bCs/>
            <w:color w:val="0000EE"/>
            <w:u w:color="0000EE"/>
            <w:lang w:val="el" w:eastAsia="el"/>
          </w:rPr>
          <w:t>Τροποποίηση 3453/2006, Άρθρο 7</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 w:history="1">
        <w:r>
          <w:rPr>
            <w:rStyle w:val="Hyperlink"/>
            <w:b/>
            <w:bCs/>
            <w:color w:val="0000EE"/>
            <w:u w:color="0000EE"/>
            <w:lang w:val="el" w:eastAsia="el"/>
          </w:rPr>
          <w:t>Τροποποίηση 3583/2007, Άρθρο 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Τροποποίηση 3583/2007, Άρθρο 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3583/2007, Άρθρο 1</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 w:history="1">
        <w:r>
          <w:rPr>
            <w:rStyle w:val="Hyperlink"/>
            <w:b/>
            <w:bCs/>
            <w:color w:val="0000EE"/>
            <w:u w:color="0000EE"/>
            <w:lang w:val="el" w:eastAsia="el"/>
          </w:rPr>
          <w:t>Τροποποίηση 3583/2007, Άρθρο 1</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 w:history="1">
        <w:r>
          <w:rPr>
            <w:rStyle w:val="Hyperlink"/>
            <w:b/>
            <w:bCs/>
            <w:color w:val="0000EE"/>
            <w:u w:color="0000EE"/>
            <w:lang w:val="el" w:eastAsia="el"/>
          </w:rPr>
          <w:t>Τροποποίηση 3583/2007, Άρθρο 1</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Προσθήκη 3583/2007, Άρθρο 1</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Τροποποίηση 3583/2007, Άρθρο 1</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 w:history="1">
        <w:r>
          <w:rPr>
            <w:rStyle w:val="Hyperlink"/>
            <w:b/>
            <w:bCs/>
            <w:color w:val="0000EE"/>
            <w:u w:color="0000EE"/>
            <w:lang w:val="el" w:eastAsia="el"/>
          </w:rPr>
          <w:t>Τροποποίηση 3583/2007, Άρθρο 1</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 w:history="1">
        <w:r>
          <w:rPr>
            <w:rStyle w:val="Hyperlink"/>
            <w:b/>
            <w:bCs/>
            <w:color w:val="0000EE"/>
            <w:u w:color="0000EE"/>
            <w:lang w:val="el" w:eastAsia="el"/>
          </w:rPr>
          <w:t>Τροποποίηση 3583/2007, Άρθρο 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 w:history="1">
        <w:r>
          <w:rPr>
            <w:rStyle w:val="Hyperlink"/>
            <w:b/>
            <w:bCs/>
            <w:color w:val="0000EE"/>
            <w:u w:color="0000EE"/>
            <w:lang w:val="el" w:eastAsia="el"/>
          </w:rPr>
          <w:t>Προσθήκη 3583/2007, Άρθρο 1</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 w:history="1">
        <w:r>
          <w:rPr>
            <w:rStyle w:val="Hyperlink"/>
            <w:b/>
            <w:bCs/>
            <w:color w:val="0000EE"/>
            <w:u w:color="0000EE"/>
            <w:lang w:val="el" w:eastAsia="el"/>
          </w:rPr>
          <w:t>Προσθήκη 3583/2007, Άρθρο 1</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4" w:history="1">
        <w:r>
          <w:rPr>
            <w:rStyle w:val="Hyperlink"/>
            <w:b/>
            <w:bCs/>
            <w:color w:val="0000EE"/>
            <w:u w:color="0000EE"/>
            <w:lang w:val="el" w:eastAsia="el"/>
          </w:rPr>
          <w:t>Προσθήκη 3610/2007, Άρθρο 24</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5" w:history="1">
        <w:r>
          <w:rPr>
            <w:rStyle w:val="Hyperlink"/>
            <w:b/>
            <w:bCs/>
            <w:color w:val="0000EE"/>
            <w:u w:color="0000EE"/>
            <w:lang w:val="el" w:eastAsia="el"/>
          </w:rPr>
          <w:t>Προσθήκη 3899/2010, Άρθρο 5</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320" w:history="1">
        <w:r>
          <w:rPr>
            <w:rStyle w:val="Hyperlink"/>
            <w:b/>
            <w:bCs/>
            <w:color w:val="0000EE"/>
            <w:u w:color="0000EE"/>
            <w:lang w:val="el" w:eastAsia="el"/>
          </w:rPr>
          <w:t>Τροποποίηση 4072/2012, Άρθρο 320</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 w:history="1">
        <w:r>
          <w:rPr>
            <w:rStyle w:val="Hyperlink"/>
            <w:b/>
            <w:bCs/>
            <w:color w:val="0000EE"/>
            <w:u w:color="0000EE"/>
            <w:lang w:val="el" w:eastAsia="el"/>
          </w:rPr>
          <w:t>Προσθήκη 3583/2007, Άρθρο 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 w:history="1">
        <w:r>
          <w:rPr>
            <w:rStyle w:val="Hyperlink"/>
            <w:b/>
            <w:bCs/>
            <w:color w:val="0000EE"/>
            <w:u w:color="0000EE"/>
            <w:lang w:val="el" w:eastAsia="el"/>
          </w:rPr>
          <w:t>Τροποποίηση 3583/2007, Άρθρο 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 w:history="1">
        <w:r>
          <w:rPr>
            <w:rStyle w:val="Hyperlink"/>
            <w:b/>
            <w:bCs/>
            <w:color w:val="0000EE"/>
            <w:u w:color="0000EE"/>
            <w:lang w:val="el" w:eastAsia="el"/>
          </w:rPr>
          <w:t>Τροποποίηση 3583/2007, Άρθρο 1</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6" w:history="1">
        <w:r>
          <w:rPr>
            <w:rStyle w:val="Hyperlink"/>
            <w:b/>
            <w:bCs/>
            <w:color w:val="0000EE"/>
            <w:u w:color="0000EE"/>
            <w:lang w:val="el" w:eastAsia="el"/>
          </w:rPr>
          <w:t>Προσθήκη 3583/2007, Άρθρο 6</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 w:history="1">
        <w:r>
          <w:rPr>
            <w:rStyle w:val="Hyperlink"/>
            <w:b/>
            <w:bCs/>
            <w:color w:val="0000EE"/>
            <w:u w:color="0000EE"/>
            <w:lang w:val="el" w:eastAsia="el"/>
          </w:rPr>
          <w:t>Αφαίρεση 3583/2007, Άρθρο 1</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 w:history="1">
        <w:r>
          <w:rPr>
            <w:rStyle w:val="Hyperlink"/>
            <w:b/>
            <w:bCs/>
            <w:color w:val="0000EE"/>
            <w:u w:color="0000EE"/>
            <w:lang w:val="el" w:eastAsia="el"/>
          </w:rPr>
          <w:t>Τροποποίηση 3583/2007, Άρθρο 1</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 w:history="1">
        <w:r>
          <w:rPr>
            <w:rStyle w:val="Hyperlink"/>
            <w:b/>
            <w:bCs/>
            <w:color w:val="0000EE"/>
            <w:u w:color="0000EE"/>
            <w:lang w:val="el" w:eastAsia="el"/>
          </w:rPr>
          <w:t>Προσθήκη 3583/2007, Άρθρο 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 w:history="1">
        <w:r>
          <w:rPr>
            <w:rStyle w:val="Hyperlink"/>
            <w:b/>
            <w:bCs/>
            <w:color w:val="0000EE"/>
            <w:u w:color="0000EE"/>
            <w:lang w:val="el" w:eastAsia="el"/>
          </w:rPr>
          <w:t>Αφαίρεση 3583/2007, Άρθρο 1</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 w:history="1">
        <w:r>
          <w:rPr>
            <w:rStyle w:val="Hyperlink"/>
            <w:b/>
            <w:bCs/>
            <w:color w:val="0000EE"/>
            <w:u w:color="0000EE"/>
            <w:lang w:val="el" w:eastAsia="el"/>
          </w:rPr>
          <w:t>Προσθήκη 3610/2007, Άρθρο 1</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 w:history="1">
        <w:r>
          <w:rPr>
            <w:rStyle w:val="Hyperlink"/>
            <w:b/>
            <w:bCs/>
            <w:color w:val="0000EE"/>
            <w:u w:color="0000EE"/>
            <w:lang w:val="el" w:eastAsia="el"/>
          </w:rPr>
          <w:t>Τροποποίηση 3583/2007, Άρθρο 1</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 w:history="1">
        <w:r>
          <w:rPr>
            <w:rStyle w:val="Hyperlink"/>
            <w:b/>
            <w:bCs/>
            <w:color w:val="0000EE"/>
            <w:u w:color="0000EE"/>
            <w:lang w:val="el" w:eastAsia="el"/>
          </w:rPr>
          <w:t>Τροποποίηση 3583/2007, Άρθρο 1</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3472/2015, Άρθρο 15</w:t>
      </w:r>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45" w:history="1">
        <w:r>
          <w:rPr>
            <w:rStyle w:val="Hyperlink"/>
            <w:b/>
            <w:bCs/>
            <w:color w:val="0000EE"/>
            <w:u w:color="0000EE"/>
            <w:lang w:val="el" w:eastAsia="el"/>
          </w:rPr>
          <w:t>Αφαίρεση 2992/2002, Άρθρο 45</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6" w:history="1">
        <w:r>
          <w:rPr>
            <w:rStyle w:val="Hyperlink"/>
            <w:b/>
            <w:bCs/>
            <w:color w:val="0000EE"/>
            <w:u w:color="0000EE"/>
            <w:lang w:val="el" w:eastAsia="el"/>
          </w:rPr>
          <w:t>Προσθήκη 3259/2004, Άρθρο 16</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 w:history="1">
        <w:r>
          <w:rPr>
            <w:rStyle w:val="Hyperlink"/>
            <w:b/>
            <w:bCs/>
            <w:color w:val="0000EE"/>
            <w:u w:color="0000EE"/>
            <w:lang w:val="el" w:eastAsia="el"/>
          </w:rPr>
          <w:t>Τροποποίηση 3583/2007,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36" w:history="1">
        <w:r>
          <w:rPr>
            <w:rStyle w:val="Hyperlink"/>
            <w:b/>
            <w:bCs/>
            <w:color w:val="0000EE"/>
            <w:u w:color="0000EE"/>
            <w:lang w:val="el" w:eastAsia="el"/>
          </w:rPr>
          <w:t>Τροποποίηση 3986/2011, Άρθρο 36</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Τροποποίηση 3583/2007, Άρθρο 1</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 w:history="1">
        <w:r>
          <w:rPr>
            <w:rStyle w:val="Hyperlink"/>
            <w:b/>
            <w:bCs/>
            <w:color w:val="0000EE"/>
            <w:u w:color="0000EE"/>
            <w:lang w:val="el" w:eastAsia="el"/>
          </w:rPr>
          <w:t>Προσθήκη 3336/2005, Άρθρο 1</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Προσθήκη 3583/2007, Άρθρο 1</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9/03/04/3752" TargetMode="External" /><Relationship Id="rId101" Type="http://schemas.openxmlformats.org/officeDocument/2006/relationships/hyperlink" Target="http://data.aade.gr/eli/pri/law/2010/03/15/3833" TargetMode="External" /><Relationship Id="rId102" Type="http://schemas.openxmlformats.org/officeDocument/2006/relationships/hyperlink" Target="http://data.aade.gr/eli/pri/law/2010/05/06/3845" TargetMode="External" /><Relationship Id="rId103" Type="http://schemas.openxmlformats.org/officeDocument/2006/relationships/hyperlink" Target="http://data.aade.gr/eli/pri/law/2010/12/17/3899" TargetMode="External" /><Relationship Id="rId104" Type="http://schemas.openxmlformats.org/officeDocument/2006/relationships/hyperlink" Target="http://data.aade.gr/eli/pri/law/2010/12/17/3899" TargetMode="External" /><Relationship Id="rId105" Type="http://schemas.openxmlformats.org/officeDocument/2006/relationships/hyperlink" Target="http://data.aade.gr/eli/pri/law/2010/12/17/3899" TargetMode="External" /><Relationship Id="rId106" Type="http://schemas.openxmlformats.org/officeDocument/2006/relationships/hyperlink" Target="http://data.aade.gr/eli/pri/law/2011/07/01/3986" TargetMode="External" /><Relationship Id="rId107" Type="http://schemas.openxmlformats.org/officeDocument/2006/relationships/hyperlink" Target="http://data.aade.gr/eli/pri/law/2011/03/31/3943" TargetMode="External" /><Relationship Id="rId108" Type="http://schemas.openxmlformats.org/officeDocument/2006/relationships/hyperlink" Target="http://data.aade.gr/eli/pri/law/2007/06/28/3583" TargetMode="External" /><Relationship Id="rId109" Type="http://schemas.openxmlformats.org/officeDocument/2006/relationships/hyperlink" Target="http://data.aade.gr/eli/pri/law/2007/06/28/3583" TargetMode="External" /><Relationship Id="rId11" Type="http://schemas.openxmlformats.org/officeDocument/2006/relationships/hyperlink" Target="http://data.aade.gr/eli/pri/law/2007/06/28/3583" TargetMode="External" /><Relationship Id="rId110" Type="http://schemas.openxmlformats.org/officeDocument/2006/relationships/hyperlink" Target="http://data.aade.gr/eli/pri/law/2010/12/17/3899" TargetMode="External" /><Relationship Id="rId111" Type="http://schemas.openxmlformats.org/officeDocument/2006/relationships/hyperlink" Target="http://data.aade.gr/eli/pri/law/2011/07/01/3986" TargetMode="External" /><Relationship Id="rId112" Type="http://schemas.openxmlformats.org/officeDocument/2006/relationships/hyperlink" Target="http://data.aade.gr/eli/pri/law/2007/06/28/3583" TargetMode="External" /><Relationship Id="rId113" Type="http://schemas.openxmlformats.org/officeDocument/2006/relationships/hyperlink" Target="http://data.aade.gr/eli/pri/law/2007/06/28/3583" TargetMode="External" /><Relationship Id="rId114" Type="http://schemas.openxmlformats.org/officeDocument/2006/relationships/hyperlink" Target="http://data.aade.gr/eli/pri/law/2007/06/28/3583" TargetMode="External" /><Relationship Id="rId115" Type="http://schemas.openxmlformats.org/officeDocument/2006/relationships/hyperlink" Target="http://data.aade.gr/eli/pri/law/2010/03/15/3833" TargetMode="External" /><Relationship Id="rId116" Type="http://schemas.openxmlformats.org/officeDocument/2006/relationships/hyperlink" Target="http://data.aade.gr/eli/pri/law/2007/06/28/3583" TargetMode="External" /><Relationship Id="rId117" Type="http://schemas.openxmlformats.org/officeDocument/2006/relationships/hyperlink" Target="http://data.aade.gr/eli/pri/law/2008/01/29/3634" TargetMode="External" /><Relationship Id="rId118" Type="http://schemas.openxmlformats.org/officeDocument/2006/relationships/hyperlink" Target="http://data.aade.gr/eli/pri/law/2010/12/17/3899" TargetMode="External" /><Relationship Id="rId119" Type="http://schemas.openxmlformats.org/officeDocument/2006/relationships/hyperlink" Target="http://data.aade.gr/eli/pri/law/2008/01/29/3634" TargetMode="External" /><Relationship Id="rId12" Type="http://schemas.openxmlformats.org/officeDocument/2006/relationships/hyperlink" Target="http://data.aade.gr/eli/pri/law/2007/06/28/3583" TargetMode="External" /><Relationship Id="rId120" Type="http://schemas.openxmlformats.org/officeDocument/2006/relationships/hyperlink" Target="http://data.aade.gr/eli/pri/law/2010/12/17/3899" TargetMode="External" /><Relationship Id="rId121" Type="http://schemas.openxmlformats.org/officeDocument/2006/relationships/hyperlink" Target="http://data.aade.gr/eli/pri/law/2010/03/15/3833" TargetMode="External" /><Relationship Id="rId122" Type="http://schemas.openxmlformats.org/officeDocument/2006/relationships/hyperlink" Target="http://data.aade.gr/eli/pri/law/2011/07/01/3986" TargetMode="External" /><Relationship Id="rId123" Type="http://schemas.openxmlformats.org/officeDocument/2006/relationships/hyperlink" Target="http://data.aade.gr/eli/pri/law/2008/01/29/3634" TargetMode="External" /><Relationship Id="rId124" Type="http://schemas.openxmlformats.org/officeDocument/2006/relationships/hyperlink" Target="http://data.aade.gr/eli/pri/law/2010/03/15/3833" TargetMode="External" /><Relationship Id="rId125" Type="http://schemas.openxmlformats.org/officeDocument/2006/relationships/hyperlink" Target="http://data.aade.gr/eli/pri/law/2007/06/28/3583"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10/04/23/3842" TargetMode="External" /><Relationship Id="rId128" Type="http://schemas.openxmlformats.org/officeDocument/2006/relationships/hyperlink" Target="http://data.aade.gr/eli/pri/law/2010/04/23/3842" TargetMode="External" /><Relationship Id="rId129" Type="http://schemas.openxmlformats.org/officeDocument/2006/relationships/hyperlink" Target="http://data.aade.gr/eli/pri/law/2010/04/23/3842"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10/04/23/3842" TargetMode="External" /><Relationship Id="rId131" Type="http://schemas.openxmlformats.org/officeDocument/2006/relationships/hyperlink" Target="http://data.aade.gr/eli/pri/law/2010/04/23/3842" TargetMode="External" /><Relationship Id="rId132" Type="http://schemas.openxmlformats.org/officeDocument/2006/relationships/hyperlink" Target="http://data.aade.gr/eli/pri/law/2007/06/28/3583" TargetMode="External" /><Relationship Id="rId133" Type="http://schemas.openxmlformats.org/officeDocument/2006/relationships/hyperlink" Target="http://data.aade.gr/eli/pri/law/2007/06/28/3583" TargetMode="External" /><Relationship Id="rId134" Type="http://schemas.openxmlformats.org/officeDocument/2006/relationships/hyperlink" Target="http://data.aade.gr/eli/pri/law/2010/04/23/3842" TargetMode="External" /><Relationship Id="rId135" Type="http://schemas.openxmlformats.org/officeDocument/2006/relationships/hyperlink" Target="http://data.aade.gr/eli/pri/law/2010/04/23/3842" TargetMode="External" /><Relationship Id="rId136" Type="http://schemas.openxmlformats.org/officeDocument/2006/relationships/hyperlink" Target="http://data.aade.gr/eli/pri/law/2010/04/23/3842" TargetMode="External" /><Relationship Id="rId137" Type="http://schemas.openxmlformats.org/officeDocument/2006/relationships/hyperlink" Target="http://data.aade.gr/eli/pri/law/2011/03/31/3943" TargetMode="External" /><Relationship Id="rId138" Type="http://schemas.openxmlformats.org/officeDocument/2006/relationships/hyperlink" Target="http://data.aade.gr/eli/pri/law/2007/06/28/3583" TargetMode="External" /><Relationship Id="rId139" Type="http://schemas.openxmlformats.org/officeDocument/2006/relationships/hyperlink" Target="http://data.aade.gr/eli/pri/law/2007/06/28/3583"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07/06/28/3583" TargetMode="External" /><Relationship Id="rId141" Type="http://schemas.openxmlformats.org/officeDocument/2006/relationships/hyperlink" Target="http://data.aade.gr/eli/pri/law/2007/06/28/3583" TargetMode="External" /><Relationship Id="rId142" Type="http://schemas.openxmlformats.org/officeDocument/2006/relationships/hyperlink" Target="http://data.aade.gr/eli/pri/law/2007/06/28/3583" TargetMode="External" /><Relationship Id="rId143" Type="http://schemas.openxmlformats.org/officeDocument/2006/relationships/hyperlink" Target="http://data.aade.gr/eli/pri/law/2007/06/28/3583" TargetMode="External" /><Relationship Id="rId144" Type="http://schemas.openxmlformats.org/officeDocument/2006/relationships/hyperlink" Target="http://data.aade.gr/eli/pri/law/2009/05/27/3763" TargetMode="External" /><Relationship Id="rId145" Type="http://schemas.openxmlformats.org/officeDocument/2006/relationships/hyperlink" Target="http://data.aade.gr/eli/pri/law/2007/06/28/3583" TargetMode="External" /><Relationship Id="rId146" Type="http://schemas.openxmlformats.org/officeDocument/2006/relationships/hyperlink" Target="http://data.aade.gr/eli/pri/law/2007/06/28/3583" TargetMode="External" /><Relationship Id="rId147" Type="http://schemas.openxmlformats.org/officeDocument/2006/relationships/hyperlink" Target="http://data.aade.gr/eli/pri/law/2007/06/28/3583" TargetMode="External" /><Relationship Id="rId148" Type="http://schemas.openxmlformats.org/officeDocument/2006/relationships/hyperlink" Target="http://data.aade.gr/eli/pri/law/2009/05/27/3763" TargetMode="External" /><Relationship Id="rId149" Type="http://schemas.openxmlformats.org/officeDocument/2006/relationships/hyperlink" Target="http://data.aade.gr/eli/pri/law/2007/06/28/3583" TargetMode="External" /><Relationship Id="rId15" Type="http://schemas.openxmlformats.org/officeDocument/2006/relationships/hyperlink" Target="http://data.aade.gr/eli/pri/law/2012/04/11/4072" TargetMode="External" /><Relationship Id="rId150" Type="http://schemas.openxmlformats.org/officeDocument/2006/relationships/hyperlink" Target="http://data.aade.gr/eli/pri/law/2009/05/27/3763" TargetMode="External" /><Relationship Id="rId151" Type="http://schemas.openxmlformats.org/officeDocument/2006/relationships/hyperlink" Target="http://data.aade.gr/eli/pri/law/2009/05/27/3763" TargetMode="External" /><Relationship Id="rId152" Type="http://schemas.openxmlformats.org/officeDocument/2006/relationships/hyperlink" Target="http://data.aade.gr/eli/pri/law/2007/06/28/3583" TargetMode="External" /><Relationship Id="rId153" Type="http://schemas.openxmlformats.org/officeDocument/2006/relationships/hyperlink" Target="http://data.aade.gr/eli/pri/law/2007/06/28/3583" TargetMode="External" /><Relationship Id="rId154" Type="http://schemas.openxmlformats.org/officeDocument/2006/relationships/hyperlink" Target="http://data.aade.gr/eli/pri/law/2009/05/27/3763" TargetMode="External" /><Relationship Id="rId155" Type="http://schemas.openxmlformats.org/officeDocument/2006/relationships/hyperlink" Target="http://data.aade.gr/eli/pri/law/2007/06/28/3583" TargetMode="External" /><Relationship Id="rId156" Type="http://schemas.openxmlformats.org/officeDocument/2006/relationships/hyperlink" Target="http://data.aade.gr/eli/pri/law/2007/06/28/3583" TargetMode="External" /><Relationship Id="rId157" Type="http://schemas.openxmlformats.org/officeDocument/2006/relationships/hyperlink" Target="http://data.aade.gr/eli/pri/law/2007/06/28/3583" TargetMode="External" /><Relationship Id="rId158" Type="http://schemas.openxmlformats.org/officeDocument/2006/relationships/hyperlink" Target="http://data.aade.gr/eli/pri/law/2007/06/28/3583" TargetMode="External" /><Relationship Id="rId159" Type="http://schemas.openxmlformats.org/officeDocument/2006/relationships/hyperlink" Target="http://data.aade.gr/eli/pri/law/2007/06/28/3583" TargetMode="External" /><Relationship Id="rId16" Type="http://schemas.openxmlformats.org/officeDocument/2006/relationships/hyperlink" Target="http://data.aade.gr/eli/pri/law/2007/06/28/3583" TargetMode="External" /><Relationship Id="rId160" Type="http://schemas.openxmlformats.org/officeDocument/2006/relationships/hyperlink" Target="http://data.aade.gr/eli/pri/law/2007/06/28/3583" TargetMode="External" /><Relationship Id="rId161" Type="http://schemas.openxmlformats.org/officeDocument/2006/relationships/hyperlink" Target="http://data.aade.gr/eli/pri/law/2007/06/28/3583" TargetMode="External" /><Relationship Id="rId162" Type="http://schemas.openxmlformats.org/officeDocument/2006/relationships/hyperlink" Target="http://data.aade.gr/eli/pri/law/2007/06/28/3583" TargetMode="External" /><Relationship Id="rId163" Type="http://schemas.openxmlformats.org/officeDocument/2006/relationships/hyperlink" Target="http://data.aade.gr/eli/pri/law/2007/11/22/3610" TargetMode="External" /><Relationship Id="rId164" Type="http://schemas.openxmlformats.org/officeDocument/2006/relationships/hyperlink" Target="http://data.aade.gr/eli/pri/law/2004/08/04/3259" TargetMode="External" /><Relationship Id="rId165" Type="http://schemas.openxmlformats.org/officeDocument/2006/relationships/hyperlink" Target="http://data.aade.gr/eli/pri/law/2009/08/07/3790" TargetMode="External" /><Relationship Id="rId166" Type="http://schemas.openxmlformats.org/officeDocument/2006/relationships/hyperlink" Target="http://data.aade.gr/eli/pri/law/2007/06/28/3583" TargetMode="External" /><Relationship Id="rId167" Type="http://schemas.openxmlformats.org/officeDocument/2006/relationships/hyperlink" Target="http://data.aade.gr/eli/pri/law/2006/04/07/3453" TargetMode="External" /><Relationship Id="rId168" Type="http://schemas.openxmlformats.org/officeDocument/2006/relationships/hyperlink" Target="http://data.aade.gr/eli/pri/law/2007/06/28/3583" TargetMode="External" /><Relationship Id="rId169" Type="http://schemas.openxmlformats.org/officeDocument/2006/relationships/hyperlink" Target="http://data.aade.gr/eli/pri/law/2007/06/28/3583"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07/06/28/3583" TargetMode="External" /><Relationship Id="rId171" Type="http://schemas.openxmlformats.org/officeDocument/2006/relationships/hyperlink" Target="http://data.aade.gr/eli/pri/law/2007/06/28/3583" TargetMode="External" /><Relationship Id="rId172" Type="http://schemas.openxmlformats.org/officeDocument/2006/relationships/hyperlink" Target="http://data.aade.gr/eli/pri/law/2007/06/28/3583" TargetMode="External" /><Relationship Id="rId173" Type="http://schemas.openxmlformats.org/officeDocument/2006/relationships/hyperlink" Target="http://data.aade.gr/eli/pri/law/2007/06/28/3583" TargetMode="External" /><Relationship Id="rId174" Type="http://schemas.openxmlformats.org/officeDocument/2006/relationships/hyperlink" Target="http://data.aade.gr/eli/pri/law/2007/06/28/3583" TargetMode="External" /><Relationship Id="rId175" Type="http://schemas.openxmlformats.org/officeDocument/2006/relationships/hyperlink" Target="http://data.aade.gr/eli/pri/law/2007/06/28/3583" TargetMode="External" /><Relationship Id="rId176" Type="http://schemas.openxmlformats.org/officeDocument/2006/relationships/hyperlink" Target="http://data.aade.gr/eli/pri/law/2007/06/28/3583" TargetMode="External" /><Relationship Id="rId177" Type="http://schemas.openxmlformats.org/officeDocument/2006/relationships/hyperlink" Target="http://data.aade.gr/eli/pri/law/2007/06/28/3583" TargetMode="External" /><Relationship Id="rId178" Type="http://schemas.openxmlformats.org/officeDocument/2006/relationships/hyperlink" Target="http://data.aade.gr/eli/pri/law/2007/06/28/3583" TargetMode="External" /><Relationship Id="rId179" Type="http://schemas.openxmlformats.org/officeDocument/2006/relationships/hyperlink" Target="http://data.aade.gr/eli/pri/law/2007/11/22/3610" TargetMode="External" /><Relationship Id="rId18" Type="http://schemas.openxmlformats.org/officeDocument/2006/relationships/hyperlink" Target="http://data.aade.gr/eli/pri/law/2007/06/28/3583" TargetMode="External" /><Relationship Id="rId180" Type="http://schemas.openxmlformats.org/officeDocument/2006/relationships/hyperlink" Target="http://data.aade.gr/eli/pri/law/2010/12/17/3899" TargetMode="External" /><Relationship Id="rId181" Type="http://schemas.openxmlformats.org/officeDocument/2006/relationships/hyperlink" Target="http://data.aade.gr/eli/pri/law/2012/04/11/4072" TargetMode="External" /><Relationship Id="rId182" Type="http://schemas.openxmlformats.org/officeDocument/2006/relationships/hyperlink" Target="http://data.aade.gr/eli/pri/law/2007/06/28/3583" TargetMode="External" /><Relationship Id="rId183" Type="http://schemas.openxmlformats.org/officeDocument/2006/relationships/hyperlink" Target="http://data.aade.gr/eli/pri/law/2007/06/28/3583" TargetMode="External" /><Relationship Id="rId184" Type="http://schemas.openxmlformats.org/officeDocument/2006/relationships/hyperlink" Target="http://data.aade.gr/eli/pri/law/2007/06/28/3583" TargetMode="External" /><Relationship Id="rId185" Type="http://schemas.openxmlformats.org/officeDocument/2006/relationships/hyperlink" Target="http://data.aade.gr/eli/pri/law/2007/06/28/3583" TargetMode="External" /><Relationship Id="rId186" Type="http://schemas.openxmlformats.org/officeDocument/2006/relationships/hyperlink" Target="http://data.aade.gr/eli/pri/law/2007/06/28/3583" TargetMode="External" /><Relationship Id="rId187" Type="http://schemas.openxmlformats.org/officeDocument/2006/relationships/hyperlink" Target="http://data.aade.gr/eli/pri/law/2007/06/28/3583" TargetMode="External" /><Relationship Id="rId188" Type="http://schemas.openxmlformats.org/officeDocument/2006/relationships/hyperlink" Target="http://data.aade.gr/eli/pri/law/2007/06/28/3583" TargetMode="External" /><Relationship Id="rId189" Type="http://schemas.openxmlformats.org/officeDocument/2006/relationships/hyperlink" Target="http://data.aade.gr/eli/pri/law/2007/06/28/3583" TargetMode="External" /><Relationship Id="rId19" Type="http://schemas.openxmlformats.org/officeDocument/2006/relationships/hyperlink" Target="http://data.aade.gr/eli/pri/law/2007/06/28/3583" TargetMode="External" /><Relationship Id="rId190" Type="http://schemas.openxmlformats.org/officeDocument/2006/relationships/hyperlink" Target="http://data.aade.gr/eli/pri/law/2007/11/22/3610" TargetMode="External" /><Relationship Id="rId191" Type="http://schemas.openxmlformats.org/officeDocument/2006/relationships/hyperlink" Target="http://data.aade.gr/eli/pri/law/2007/06/28/3583" TargetMode="External" /><Relationship Id="rId192" Type="http://schemas.openxmlformats.org/officeDocument/2006/relationships/hyperlink" Target="http://data.aade.gr/eli/pri/law/2007/06/28/3583" TargetMode="External" /><Relationship Id="rId193" Type="http://schemas.openxmlformats.org/officeDocument/2006/relationships/hyperlink" Target="http://data.aade.gr/eli/pri/law/2002/03/20/2992" TargetMode="External" /><Relationship Id="rId194" Type="http://schemas.openxmlformats.org/officeDocument/2006/relationships/hyperlink" Target="http://data.aade.gr/eli/pri/law/2004/08/04/3259" TargetMode="External" /><Relationship Id="rId195" Type="http://schemas.openxmlformats.org/officeDocument/2006/relationships/hyperlink" Target="http://data.aade.gr/eli/pri/law/2007/06/28/3583" TargetMode="External" /><Relationship Id="rId196" Type="http://schemas.openxmlformats.org/officeDocument/2006/relationships/hyperlink" Target="http://data.aade.gr/eli/pri/law/2011/07/01/3986" TargetMode="External" /><Relationship Id="rId197" Type="http://schemas.openxmlformats.org/officeDocument/2006/relationships/hyperlink" Target="http://data.aade.gr/eli/pri/law/2007/06/28/3583" TargetMode="External" /><Relationship Id="rId198" Type="http://schemas.openxmlformats.org/officeDocument/2006/relationships/hyperlink" Target="http://data.aade.gr/eli/pri/law/2005/04/20/3336" TargetMode="External" /><Relationship Id="rId199" Type="http://schemas.openxmlformats.org/officeDocument/2006/relationships/hyperlink" Target="http://data.aade.gr/eli/pri/law/2007/06/28/3583"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00" Type="http://schemas.openxmlformats.org/officeDocument/2006/relationships/hyperlink" Target="http://data.aade.gr/eli/pri/law/2005/04/20/3336" TargetMode="External" /><Relationship Id="rId21" Type="http://schemas.openxmlformats.org/officeDocument/2006/relationships/hyperlink" Target="http://data.aade.gr/eli/pri/law/2007/06/28/3583" TargetMode="External" /><Relationship Id="rId22" Type="http://schemas.openxmlformats.org/officeDocument/2006/relationships/hyperlink" Target="http://data.aade.gr/eli/pri/law/2005/04/20/3336" TargetMode="External" /><Relationship Id="rId23" Type="http://schemas.openxmlformats.org/officeDocument/2006/relationships/hyperlink" Target="http://data.aade.gr/eli/pri/law/2010/04/23/3842" TargetMode="External" /><Relationship Id="rId24" Type="http://schemas.openxmlformats.org/officeDocument/2006/relationships/hyperlink" Target="http://data.aade.gr/eli/pri/law/2010/04/23/3842" TargetMode="External" /><Relationship Id="rId25" Type="http://schemas.openxmlformats.org/officeDocument/2006/relationships/hyperlink" Target="http://data.aade.gr/eli/pri/law/2007/06/28/3583" TargetMode="External" /><Relationship Id="rId26" Type="http://schemas.openxmlformats.org/officeDocument/2006/relationships/hyperlink" Target="http://data.aade.gr/eli/pri/law/2010/04/23/3842" TargetMode="External" /><Relationship Id="rId27" Type="http://schemas.openxmlformats.org/officeDocument/2006/relationships/hyperlink" Target="http://data.aade.gr/eli/pri/law/2010/04/23/3842" TargetMode="External" /><Relationship Id="rId28" Type="http://schemas.openxmlformats.org/officeDocument/2006/relationships/hyperlink" Target="http://data.aade.gr/eli/pri/law/2010/04/23/3842"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2/04/11/4072"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07/06/28/3583"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10/04/23/3842" TargetMode="External" /><Relationship Id="rId41" Type="http://schemas.openxmlformats.org/officeDocument/2006/relationships/hyperlink" Target="http://data.aade.gr/eli/pri/law/2007/06/28/3583" TargetMode="External" /><Relationship Id="rId42" Type="http://schemas.openxmlformats.org/officeDocument/2006/relationships/hyperlink" Target="http://data.aade.gr/eli/pri/law/2007/06/28/3583" TargetMode="External" /><Relationship Id="rId43" Type="http://schemas.openxmlformats.org/officeDocument/2006/relationships/hyperlink" Target="http://data.aade.gr/eli/pri/law/2005/04/20/3336" TargetMode="External" /><Relationship Id="rId44" Type="http://schemas.openxmlformats.org/officeDocument/2006/relationships/hyperlink" Target="http://data.aade.gr/eli/pri/law/2005/04/20/3336" TargetMode="External" /><Relationship Id="rId45" Type="http://schemas.openxmlformats.org/officeDocument/2006/relationships/hyperlink" Target="http://data.aade.gr/eli/pri/law/2010/05/06/3845" TargetMode="External" /><Relationship Id="rId46" Type="http://schemas.openxmlformats.org/officeDocument/2006/relationships/hyperlink" Target="http://data.aade.gr/eli/pri/law/2010/03/15/3833" TargetMode="External" /><Relationship Id="rId47" Type="http://schemas.openxmlformats.org/officeDocument/2006/relationships/hyperlink" Target="http://data.aade.gr/eli/pri/law/2010/12/17/3899" TargetMode="External" /><Relationship Id="rId48" Type="http://schemas.openxmlformats.org/officeDocument/2006/relationships/hyperlink" Target="http://data.aade.gr/eli/pri/law/2011/07/01/3986" TargetMode="External" /><Relationship Id="rId49" Type="http://schemas.openxmlformats.org/officeDocument/2006/relationships/hyperlink" Target="http://data.aade.gr/eli/pri/law/2012/11/08/4092" TargetMode="External" /><Relationship Id="rId5" Type="http://schemas.openxmlformats.org/officeDocument/2006/relationships/hyperlink" Target="http://data.aade.gr/eli/pri/law/2007/06/28/3583" TargetMode="External" /><Relationship Id="rId50" Type="http://schemas.openxmlformats.org/officeDocument/2006/relationships/hyperlink" Target="http://data.aade.gr/eli/pri/law/2006/08/07/3483" TargetMode="External" /><Relationship Id="rId51" Type="http://schemas.openxmlformats.org/officeDocument/2006/relationships/hyperlink" Target="http://data.aade.gr/eli/pri/law/2010/12/17/3899" TargetMode="External" /><Relationship Id="rId52" Type="http://schemas.openxmlformats.org/officeDocument/2006/relationships/hyperlink" Target="http://data.aade.gr/eli/pri/law/2008/01/29/3634" TargetMode="External" /><Relationship Id="rId53" Type="http://schemas.openxmlformats.org/officeDocument/2006/relationships/hyperlink" Target="http://data.aade.gr/eli/pri/law/2011/07/01/3986" TargetMode="External" /><Relationship Id="rId54" Type="http://schemas.openxmlformats.org/officeDocument/2006/relationships/hyperlink" Target="http://data.aade.gr/eli/pri/law/2011/07/01/3986" TargetMode="External" /><Relationship Id="rId55" Type="http://schemas.openxmlformats.org/officeDocument/2006/relationships/hyperlink" Target="http://data.aade.gr/eli/pri/law/2011/10/27/4024" TargetMode="External" /><Relationship Id="rId56" Type="http://schemas.openxmlformats.org/officeDocument/2006/relationships/hyperlink" Target="http://data.aade.gr/eli/pri/law/2005/04/20/3336" TargetMode="External" /><Relationship Id="rId57" Type="http://schemas.openxmlformats.org/officeDocument/2006/relationships/hyperlink" Target="http://data.aade.gr/eli/pri/law/2010/03/15/3833" TargetMode="External" /><Relationship Id="rId58" Type="http://schemas.openxmlformats.org/officeDocument/2006/relationships/hyperlink" Target="http://data.aade.gr/eli/pri/law/2011/07/01/3986" TargetMode="External" /><Relationship Id="rId59" Type="http://schemas.openxmlformats.org/officeDocument/2006/relationships/hyperlink" Target="http://data.aade.gr/eli/pri/law/2005/04/20/3336"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05/04/20/3336" TargetMode="External" /><Relationship Id="rId61" Type="http://schemas.openxmlformats.org/officeDocument/2006/relationships/hyperlink" Target="http://data.aade.gr/eli/pri/law/2010/04/23/3842" TargetMode="External" /><Relationship Id="rId62" Type="http://schemas.openxmlformats.org/officeDocument/2006/relationships/hyperlink" Target="http://data.aade.gr/eli/pri/law/2005/04/20/3336" TargetMode="External" /><Relationship Id="rId63" Type="http://schemas.openxmlformats.org/officeDocument/2006/relationships/hyperlink" Target="http://data.aade.gr/eli/pri/law/2005/04/20/3336" TargetMode="External" /><Relationship Id="rId64" Type="http://schemas.openxmlformats.org/officeDocument/2006/relationships/hyperlink" Target="http://data.aade.gr/eli/pri/law/2008/01/29/3634" TargetMode="External" /><Relationship Id="rId65" Type="http://schemas.openxmlformats.org/officeDocument/2006/relationships/hyperlink" Target="http://data.aade.gr/eli/pri/law/2007/06/28/3583" TargetMode="External" /><Relationship Id="rId66" Type="http://schemas.openxmlformats.org/officeDocument/2006/relationships/hyperlink" Target="http://data.aade.gr/eli/pri/law/2010/03/15/3833" TargetMode="External" /><Relationship Id="rId67" Type="http://schemas.openxmlformats.org/officeDocument/2006/relationships/hyperlink" Target="http://data.aade.gr/eli/pri/law/2007/06/28/3583" TargetMode="External" /><Relationship Id="rId68" Type="http://schemas.openxmlformats.org/officeDocument/2006/relationships/hyperlink" Target="http://data.aade.gr/eli/pri/law/2007/06/28/3583" TargetMode="External" /><Relationship Id="rId69" Type="http://schemas.openxmlformats.org/officeDocument/2006/relationships/hyperlink" Target="http://data.aade.gr/eli/pri/law/2010/03/15/3833"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7/06/28/3583" TargetMode="External" /><Relationship Id="rId71" Type="http://schemas.openxmlformats.org/officeDocument/2006/relationships/hyperlink" Target="http://data.aade.gr/eli/pri/law/2008/01/29/3634" TargetMode="External" /><Relationship Id="rId72" Type="http://schemas.openxmlformats.org/officeDocument/2006/relationships/hyperlink" Target="http://data.aade.gr/eli/pri/law/2007/06/28/3583" TargetMode="External" /><Relationship Id="rId73" Type="http://schemas.openxmlformats.org/officeDocument/2006/relationships/hyperlink" Target="http://data.aade.gr/eli/pri/law/2006/08/07/3483" TargetMode="External" /><Relationship Id="rId74" Type="http://schemas.openxmlformats.org/officeDocument/2006/relationships/hyperlink" Target="http://data.aade.gr/eli/pri/law/2007/06/28/3583" TargetMode="External" /><Relationship Id="rId75" Type="http://schemas.openxmlformats.org/officeDocument/2006/relationships/hyperlink" Target="http://data.aade.gr/eli/pri/law/2008/01/29/3634" TargetMode="External" /><Relationship Id="rId76" Type="http://schemas.openxmlformats.org/officeDocument/2006/relationships/hyperlink" Target="http://data.aade.gr/eli/pri/law/2008/01/29/3634" TargetMode="External" /><Relationship Id="rId77" Type="http://schemas.openxmlformats.org/officeDocument/2006/relationships/hyperlink" Target="http://data.aade.gr/eli/pri/law/2008/01/29/3634" TargetMode="External" /><Relationship Id="rId78" Type="http://schemas.openxmlformats.org/officeDocument/2006/relationships/hyperlink" Target="http://data.aade.gr/eli/pri/law/2005/04/20/3336" TargetMode="External" /><Relationship Id="rId79" Type="http://schemas.openxmlformats.org/officeDocument/2006/relationships/hyperlink" Target="http://data.aade.gr/eli/pri/law/2008/01/29/3634"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7/06/28/3583" TargetMode="External" /><Relationship Id="rId81" Type="http://schemas.openxmlformats.org/officeDocument/2006/relationships/hyperlink" Target="http://data.aade.gr/eli/pri/law/2010/03/15/3833" TargetMode="External" /><Relationship Id="rId82" Type="http://schemas.openxmlformats.org/officeDocument/2006/relationships/hyperlink" Target="http://data.aade.gr/eli/pri/law/2010/05/06/3845" TargetMode="External" /><Relationship Id="rId83" Type="http://schemas.openxmlformats.org/officeDocument/2006/relationships/hyperlink" Target="http://data.aade.gr/eli/pri/law/2005/04/20/3336" TargetMode="External" /><Relationship Id="rId84" Type="http://schemas.openxmlformats.org/officeDocument/2006/relationships/hyperlink" Target="http://data.aade.gr/eli/pri/law/2009/03/04/3752" TargetMode="External" /><Relationship Id="rId85" Type="http://schemas.openxmlformats.org/officeDocument/2006/relationships/hyperlink" Target="http://data.aade.gr/eli/pri/law/2010/03/15/3833" TargetMode="External" /><Relationship Id="rId86" Type="http://schemas.openxmlformats.org/officeDocument/2006/relationships/hyperlink" Target="http://data.aade.gr/eli/pri/law/2010/05/06/3845" TargetMode="External" /><Relationship Id="rId87" Type="http://schemas.openxmlformats.org/officeDocument/2006/relationships/hyperlink" Target="http://data.aade.gr/eli/pri/law/2007/06/28/3583" TargetMode="External" /><Relationship Id="rId88" Type="http://schemas.openxmlformats.org/officeDocument/2006/relationships/hyperlink" Target="http://data.aade.gr/eli/pri/law/2007/06/28/3583" TargetMode="External" /><Relationship Id="rId89" Type="http://schemas.openxmlformats.org/officeDocument/2006/relationships/hyperlink" Target="http://data.aade.gr/eli/pri/law/2007/06/28/3583"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7/06/28/3583" TargetMode="External" /><Relationship Id="rId91" Type="http://schemas.openxmlformats.org/officeDocument/2006/relationships/hyperlink" Target="http://data.aade.gr/eli/pri/law/2007/06/28/3583" TargetMode="External" /><Relationship Id="rId92" Type="http://schemas.openxmlformats.org/officeDocument/2006/relationships/hyperlink" Target="http://data.aade.gr/eli/pri/law/2007/06/28/3583" TargetMode="External" /><Relationship Id="rId93" Type="http://schemas.openxmlformats.org/officeDocument/2006/relationships/hyperlink" Target="http://data.aade.gr/eli/pri/law/2010/04/23/3842" TargetMode="External" /><Relationship Id="rId94" Type="http://schemas.openxmlformats.org/officeDocument/2006/relationships/hyperlink" Target="http://data.aade.gr/eli/pri/law/2009/03/04/3752" TargetMode="External" /><Relationship Id="rId95" Type="http://schemas.openxmlformats.org/officeDocument/2006/relationships/hyperlink" Target="http://data.aade.gr/eli/pri/law/2010/03/15/3833" TargetMode="External" /><Relationship Id="rId96" Type="http://schemas.openxmlformats.org/officeDocument/2006/relationships/hyperlink" Target="http://data.aade.gr/eli/pri/law/2010/05/06/3845" TargetMode="External" /><Relationship Id="rId97" Type="http://schemas.openxmlformats.org/officeDocument/2006/relationships/hyperlink" Target="http://data.aade.gr/eli/pri/law/2009/03/04/3752" TargetMode="External" /><Relationship Id="rId98" Type="http://schemas.openxmlformats.org/officeDocument/2006/relationships/hyperlink" Target="http://data.aade.gr/eli/pri/law/2010/03/15/3833" TargetMode="External" /><Relationship Id="rId99" Type="http://schemas.openxmlformats.org/officeDocument/2006/relationships/hyperlink" Target="http://data.aade.gr/eli/pri/law/2010/05/06/384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