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300.000.000 ευρώ. Κατά τα πέντε (5) πρώτα έτη ένταξης στο καθεστώς αναστολής καταβολής του ΦΠΑ κατά την εισαγωγή, το ανωτέρω όριο προσδιορίζεται σε 120.000.000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Ενωσης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στα πλαίσια εφαρμογής της παρούσας διάταξης.</w:t>
      </w:r>
    </w:p>
    <w:p>
      <w:pPr>
        <w:spacing w:before="240" w:after="240"/>
        <w:rPr>
          <w:lang w:val="el" w:eastAsia="el"/>
        </w:rPr>
      </w:pPr>
      <w:r>
        <w:rPr>
          <w:b/>
          <w:bCs/>
          <w:lang w:val="el" w:eastAsia="el"/>
        </w:rPr>
        <w:t>Σε περίπτωση εισαγωγής αγαθών από εισαγωγέα που ανήκει σε Ομιλο εταιρειών, οι ανωτέρω προϋποθέσεις β) και γ) υπολογίζονται για το σύνολο των εταιρειών του Ομίλου που ορίζονται στην άδεια. Ως «όμιλος εταιρειών» νοείται κάθε Ομιλος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Σε περίπτωση που μετά την υπαγωγή του εισαγωγέα στην παρούσα διάταξη διαπιστωθεί ότι δεν πληρούται μία από τις ανωτέρω προϋποθέσεις α), β) ή γ) παύει να ισχύει στο εξής η άδεια της ανωτέρω περίπτωσης δ`.</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άλλη αναγκαία λεπτομέρεια για την εφαρμογή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
      </w:r>
      <w:r>
        <w:rPr>
          <w:rStyle w:val="Hyperlink"/>
          <w:b/>
          <w:bCs/>
          <w:color w:val="000000"/>
          <w:sz w:val="20"/>
          <w:szCs w:val="20"/>
          <w:u w:val="none" w:color="0000EE"/>
          <w:vertAlign w:val="superscript"/>
          <w:lang w:val="el" w:eastAsia="el"/>
        </w:rPr>
        <w:footnoteReference w:id="17"/>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4"/>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rStyle w:val="Hyperlink"/>
          <w:b/>
          <w:bCs/>
          <w:color w:val="000000"/>
          <w:sz w:val="20"/>
          <w:szCs w:val="20"/>
          <w:u w:val="none" w:color="0000EE"/>
          <w:vertAlign w:val="superscript"/>
          <w:lang w:val="el" w:eastAsia="el"/>
        </w:rPr>
        <w:footnoteReference w:id="28"/>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πετρελαιοειδών προϊόντων στις οποίες κατέχονται ενεργειακά προϊόντα του άρθρου 72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5"/>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6"/>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3"/>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4"/>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5"/>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της περίπτωσης ζ το πετρέλαιο εσωτερικής καύσης (DIESEL), το οποίο χρησιμοποιείται ως καύσιμο θέρμανσης, διατίθεται κατά τη χρονική περίοδο από τη 15η Οκτωβρίου μέχρι και την 30ή Απριλίου κάθε έτους.</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3"/>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4"/>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65"/>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8"/>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70"/>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71"/>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72"/>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73"/>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4"/>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5"/>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7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7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8"/>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9"/>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0"/>
            </w:r>
            <w:r>
              <w:rPr>
                <w:rStyle w:val="Hyperlink"/>
                <w:b w:val="0"/>
                <w:bCs w:val="0"/>
                <w:i w:val="0"/>
                <w:iCs w:val="0"/>
                <w:smallCaps w:val="0"/>
                <w:color w:val="000000"/>
                <w:sz w:val="20"/>
                <w:szCs w:val="20"/>
                <w:u w:val="none" w:color="0000EE"/>
                <w:vertAlign w:val="superscript"/>
                <w:lang w:val="el" w:eastAsia="el"/>
              </w:rPr>
              <w:footnoteReference w:id="81"/>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2"/>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8"/>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92"/>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1"/>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2"/>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4"/>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5"/>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07"/>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8"/>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9"/>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2"/>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34%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153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9"/>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0"/>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31"/>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3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35"/>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36"/>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37"/>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8"/>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48"/>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9"/>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0"/>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1"/>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2"/>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3"/>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4"/>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55"/>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8"/>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9"/>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0"/>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6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5"/>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66"/>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67"/>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8"/>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71"/>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2"/>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73"/>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74"/>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75"/>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76"/>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77"/>
      </w:r>
      <w:r>
        <w:rPr>
          <w:b/>
          <w:bCs/>
          <w:lang w:val="el" w:eastAsia="el"/>
        </w:rPr>
        <w:t>...</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79"/>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80"/>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84"/>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87"/>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8"/>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90"/>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1"/>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97"/>
      </w:r>
      <w:r>
        <w:rPr>
          <w:b/>
          <w:bCs/>
          <w:lang w:val="el" w:eastAsia="el"/>
        </w:rPr>
        <w:t>Απαλλάσσονται από το τέλος ταξινόμησης και τους πάσης φύσεως φόρους και τέλη, πλην εισαγωγικού δασμού και ΦΠΑ, τα πλωτά μέσα και τα αυτοκίνητα οχήματα, καινουργή ή μεταχειρισμένα, τα οποία παραχωρούνται με δωρεά στην Ελληνική Αστυνομία, το Πυροσβεστικό Σώμα ή το Λιμενικό Σώμα - Ελληνική Ακτοφυλακή για την εξυπηρέτηση των αναγκών τους, εφόσον έχει προηγηθεί αποδοχή της δωρεάς από τον οικείο Υπουργό</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9"/>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00"/>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3"/>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4"/>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5"/>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rStyle w:val="Hyperlink"/>
          <w:b/>
          <w:bCs/>
          <w:color w:val="000000"/>
          <w:sz w:val="20"/>
          <w:szCs w:val="20"/>
          <w:u w:val="none" w:color="0000EE"/>
          <w:vertAlign w:val="superscript"/>
          <w:lang w:val="el" w:eastAsia="el"/>
        </w:rPr>
        <w:footnoteReference w:id="214"/>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5"/>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7"/>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18"/>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21"/>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22"/>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23"/>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24"/>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25"/>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6"/>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27"/>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28"/>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33"/>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4"/>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7" w:history="1">
        <w:r>
          <w:rPr>
            <w:rStyle w:val="Hyperlink"/>
            <w:b/>
            <w:bCs/>
            <w:color w:val="0000EE"/>
            <w:u w:color="0000EE"/>
            <w:lang w:val="el" w:eastAsia="el"/>
          </w:rPr>
          <w:t>Προσθήκη 4132/2013, Άρθρο 7</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Προσθήκη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41" w:history="1">
        <w:r>
          <w:rPr>
            <w:rStyle w:val="Hyperlink"/>
            <w:b/>
            <w:bCs/>
            <w:color w:val="0000EE"/>
            <w:u w:color="0000EE"/>
            <w:lang w:val="el" w:eastAsia="el"/>
          </w:rPr>
          <w:t>Τροποποίηση 4072/2012, Άρθρο 41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3336/2005,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85" w:history="1">
        <w:r>
          <w:rPr>
            <w:rStyle w:val="Hyperlink"/>
            <w:b/>
            <w:bCs/>
            <w:color w:val="0000EE"/>
            <w:u w:color="0000EE"/>
            <w:lang w:val="el" w:eastAsia="el"/>
          </w:rPr>
          <w:t>Τροποποίηση 3842/2010, Άρθρο 85</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85" w:history="1">
        <w:r>
          <w:rPr>
            <w:rStyle w:val="Hyperlink"/>
            <w:b/>
            <w:bCs/>
            <w:color w:val="0000EE"/>
            <w:u w:color="0000EE"/>
            <w:lang w:val="el" w:eastAsia="el"/>
          </w:rPr>
          <w:t>Τροποποίηση 3842/2010, Άρθρο 85</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320" w:history="1">
        <w:r>
          <w:rPr>
            <w:rStyle w:val="Hyperlink"/>
            <w:b/>
            <w:bCs/>
            <w:color w:val="0000EE"/>
            <w:u w:color="0000EE"/>
            <w:lang w:val="el" w:eastAsia="el"/>
          </w:rPr>
          <w:t>Προσθήκη 4072/2012, Άρθρο 320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Προσθήκη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1" w:history="1">
        <w:r>
          <w:rPr>
            <w:rStyle w:val="Hyperlink"/>
            <w:b/>
            <w:bCs/>
            <w:color w:val="0000EE"/>
            <w:u w:color="0000EE"/>
            <w:lang w:val="el" w:eastAsia="el"/>
          </w:rPr>
          <w:t>Τροποποίηση 3583/2007, Άρθρο 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Προσθήκη 3583/2007,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Προσθήκη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3336/2005,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3336/2005,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4" w:history="1">
        <w:r>
          <w:rPr>
            <w:rStyle w:val="Hyperlink"/>
            <w:b/>
            <w:bCs/>
            <w:color w:val="0000EE"/>
            <w:u w:color="0000EE"/>
            <w:lang w:val="el" w:eastAsia="el"/>
          </w:rPr>
          <w:t>Τροποποίηση 3845/2010, Άρθρο 4</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5" w:history="1">
        <w:r>
          <w:rPr>
            <w:rStyle w:val="Hyperlink"/>
            <w:b/>
            <w:bCs/>
            <w:color w:val="0000EE"/>
            <w:u w:color="0000EE"/>
            <w:lang w:val="el" w:eastAsia="el"/>
          </w:rPr>
          <w:t>Τροποποίηση 3833/2010, Άρθρο 15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7" w:history="1">
        <w:r>
          <w:rPr>
            <w:rStyle w:val="Hyperlink"/>
            <w:b/>
            <w:bCs/>
            <w:color w:val="0000EE"/>
            <w:u w:color="0000EE"/>
            <w:lang w:val="el" w:eastAsia="el"/>
          </w:rPr>
          <w:t>Τροποποίηση 3899/2010, Άρθρο 7</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36" w:history="1">
        <w:r>
          <w:rPr>
            <w:rStyle w:val="Hyperlink"/>
            <w:b/>
            <w:bCs/>
            <w:color w:val="0000EE"/>
            <w:u w:color="0000EE"/>
            <w:lang w:val="el" w:eastAsia="el"/>
          </w:rPr>
          <w:t>Τροποποίηση 3986/2011, Άρθρο 36</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5" w:history="1">
        <w:r>
          <w:rPr>
            <w:rStyle w:val="Hyperlink"/>
            <w:b/>
            <w:bCs/>
            <w:color w:val="0000EE"/>
            <w:u w:color="0000EE"/>
            <w:lang w:val="el" w:eastAsia="el"/>
          </w:rPr>
          <w:t>Τροποποίηση 4092/2012, Άρθρο 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Τροποποίηση 4093/2012, Άρθρο 1</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2" w:anchor="art_10" w:history="1">
        <w:r>
          <w:rPr>
            <w:rStyle w:val="Hyperlink"/>
            <w:b w:val="0"/>
            <w:bCs w:val="0"/>
            <w:i w:val="0"/>
            <w:iCs w:val="0"/>
            <w:smallCaps w:val="0"/>
            <w:color w:val="0000EE"/>
            <w:u w:color="0000EE"/>
            <w:lang w:val="el" w:eastAsia="el"/>
          </w:rPr>
          <w:t>Τροποποίηση 3483/2006, Άρθρο 10</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5" w:history="1">
        <w:r>
          <w:rPr>
            <w:rStyle w:val="Hyperlink"/>
            <w:b/>
            <w:bCs/>
            <w:color w:val="0000EE"/>
            <w:u w:color="0000EE"/>
            <w:lang w:val="el" w:eastAsia="el"/>
          </w:rPr>
          <w:t>Τροποποίηση 3899/2010, Άρθρο 5</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Προσθήκη 3634/2008,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36" w:history="1">
        <w:r>
          <w:rPr>
            <w:rStyle w:val="Hyperlink"/>
            <w:b/>
            <w:bCs/>
            <w:color w:val="0000EE"/>
            <w:u w:color="0000EE"/>
            <w:lang w:val="el" w:eastAsia="el"/>
          </w:rPr>
          <w:t>Τροποποίηση 3986/2011, Άρθρο 36</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36" w:history="1">
        <w:r>
          <w:rPr>
            <w:rStyle w:val="Hyperlink"/>
            <w:b/>
            <w:bCs/>
            <w:color w:val="0000EE"/>
            <w:u w:color="0000EE"/>
            <w:lang w:val="el" w:eastAsia="el"/>
          </w:rPr>
          <w:t>Τροποποίηση 3986/2011, Άρθρο 36</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38" w:history="1">
        <w:r>
          <w:rPr>
            <w:rStyle w:val="Hyperlink"/>
            <w:b/>
            <w:bCs/>
            <w:color w:val="0000EE"/>
            <w:u w:color="0000EE"/>
            <w:lang w:val="el" w:eastAsia="el"/>
          </w:rPr>
          <w:t>Τροποποίηση 4024/2011, Άρθρο 38</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3336/2005,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5" w:history="1">
        <w:r>
          <w:rPr>
            <w:rStyle w:val="Hyperlink"/>
            <w:b/>
            <w:bCs/>
            <w:color w:val="0000EE"/>
            <w:u w:color="0000EE"/>
            <w:lang w:val="el" w:eastAsia="el"/>
          </w:rPr>
          <w:t>Προσθήκη 3833/2010, Άρθρο 15</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36" w:history="1">
        <w:r>
          <w:rPr>
            <w:rStyle w:val="Hyperlink"/>
            <w:b/>
            <w:bCs/>
            <w:color w:val="0000EE"/>
            <w:u w:color="0000EE"/>
            <w:lang w:val="el" w:eastAsia="el"/>
          </w:rPr>
          <w:t>Τροποποίηση 3986/2011, Άρθρο 36</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3336/2005,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3336/2005,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5" w:history="1">
        <w:r>
          <w:rPr>
            <w:rStyle w:val="Hyperlink"/>
            <w:b/>
            <w:bCs/>
            <w:color w:val="0000EE"/>
            <w:u w:color="0000EE"/>
            <w:lang w:val="el" w:eastAsia="el"/>
          </w:rPr>
          <w:t>Τροποποίηση 3842/2010, Άρθρο 85</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3336/2005,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3336/2005,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30" w:history="1">
        <w:r>
          <w:rPr>
            <w:rStyle w:val="Hyperlink"/>
            <w:b/>
            <w:bCs/>
            <w:color w:val="0000EE"/>
            <w:u w:color="0000EE"/>
            <w:lang w:val="el" w:eastAsia="el"/>
          </w:rPr>
          <w:t>Αφαίρεση 3634/2008, Άρθρο 30</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Προσθήκη 3583/2007,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5" w:history="1">
        <w:r>
          <w:rPr>
            <w:rStyle w:val="Hyperlink"/>
            <w:b/>
            <w:bCs/>
            <w:color w:val="0000EE"/>
            <w:u w:color="0000EE"/>
            <w:lang w:val="el" w:eastAsia="el"/>
          </w:rPr>
          <w:t>Προσθήκη 3833/2010, Άρθρο 15</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9" w:anchor="art_1" w:history="1">
        <w:r>
          <w:rPr>
            <w:rStyle w:val="Hyperlink"/>
            <w:b w:val="0"/>
            <w:bCs w:val="0"/>
            <w:i w:val="0"/>
            <w:iCs w:val="0"/>
            <w:smallCaps w:val="0"/>
            <w:color w:val="0000EE"/>
            <w:u w:color="0000EE"/>
            <w:lang w:val="el" w:eastAsia="el"/>
          </w:rPr>
          <w:t>Αφαίρεση 3583/2007, Άρθρο 1</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0" w:anchor="art_1" w:history="1">
        <w:r>
          <w:rPr>
            <w:rStyle w:val="Hyperlink"/>
            <w:b w:val="0"/>
            <w:bCs w:val="0"/>
            <w:i w:val="0"/>
            <w:iCs w:val="0"/>
            <w:smallCaps w:val="0"/>
            <w:color w:val="0000EE"/>
            <w:u w:color="0000EE"/>
            <w:lang w:val="el" w:eastAsia="el"/>
          </w:rPr>
          <w:t>Τροποποίηση 3583/2007, Άρθρο 1</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1" w:anchor="art_15" w:history="1">
        <w:r>
          <w:rPr>
            <w:rStyle w:val="Hyperlink"/>
            <w:b w:val="0"/>
            <w:bCs w:val="0"/>
            <w:i w:val="0"/>
            <w:iCs w:val="0"/>
            <w:smallCaps w:val="0"/>
            <w:color w:val="0000EE"/>
            <w:u w:color="0000EE"/>
            <w:lang w:val="el" w:eastAsia="el"/>
          </w:rPr>
          <w:t>Αφαίρεση 3833/2010, Άρθρο 15</w:t>
        </w:r>
      </w:hyperlink>
    </w:p>
  </w:footnote>
  <w:footnote w:id="80">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1" w:history="1">
        <w:r>
          <w:rPr>
            <w:rStyle w:val="Hyperlink"/>
            <w:b w:val="0"/>
            <w:bCs w:val="0"/>
            <w:i w:val="0"/>
            <w:iCs w:val="0"/>
            <w:smallCaps w:val="0"/>
            <w:color w:val="0000EE"/>
            <w:u w:color="0000EE"/>
            <w:lang w:val="el" w:eastAsia="el"/>
          </w:rPr>
          <w:t>Τροποποίηση 3583/2007, Άρθρο 1</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3" w:anchor="art_22" w:history="1">
        <w:r>
          <w:rPr>
            <w:rStyle w:val="Hyperlink"/>
            <w:b w:val="0"/>
            <w:bCs w:val="0"/>
            <w:i w:val="0"/>
            <w:iCs w:val="0"/>
            <w:smallCaps w:val="0"/>
            <w:color w:val="0000EE"/>
            <w:u w:color="0000EE"/>
            <w:lang w:val="el" w:eastAsia="el"/>
          </w:rPr>
          <w:t>Αφαίρεση 3634/2008, Άρθρο 22</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4" w:anchor="art_1" w:history="1">
        <w:r>
          <w:rPr>
            <w:rStyle w:val="Hyperlink"/>
            <w:b w:val="0"/>
            <w:bCs w:val="0"/>
            <w:i w:val="0"/>
            <w:iCs w:val="0"/>
            <w:smallCaps w:val="0"/>
            <w:color w:val="0000EE"/>
            <w:u w:color="0000EE"/>
            <w:lang w:val="el" w:eastAsia="el"/>
          </w:rPr>
          <w:t>Αφαίρεση 3583/2007,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0" w:history="1">
        <w:r>
          <w:rPr>
            <w:rStyle w:val="Hyperlink"/>
            <w:b/>
            <w:bCs/>
            <w:color w:val="0000EE"/>
            <w:u w:color="0000EE"/>
            <w:lang w:val="el" w:eastAsia="el"/>
          </w:rPr>
          <w:t>Τροποποίηση 3483/2006, Άρθρο 10</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Προσθήκη 3583/2007,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Αφαίρεση 3634/2008, Άρθρο 22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Προσθήκη 3634/2008, Άρθρο 22</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4093/2012,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Τροποποίηση 3634/2008,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3336/2005,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Τροποποίηση 3634/2008,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Προσθήκη 3583/2007,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4" w:history="1">
        <w:r>
          <w:rPr>
            <w:rStyle w:val="Hyperlink"/>
            <w:b/>
            <w:bCs/>
            <w:color w:val="0000EE"/>
            <w:u w:color="0000EE"/>
            <w:lang w:val="el" w:eastAsia="el"/>
          </w:rPr>
          <w:t>Τροποποίηση 3833/2010, Άρθρο 14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4" w:history="1">
        <w:r>
          <w:rPr>
            <w:rStyle w:val="Hyperlink"/>
            <w:b/>
            <w:bCs/>
            <w:color w:val="0000EE"/>
            <w:u w:color="0000EE"/>
            <w:lang w:val="el" w:eastAsia="el"/>
          </w:rPr>
          <w:t>Τροποποίηση 3845/2010, Άρθρο 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3336/2005,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0" w:history="1">
        <w:r>
          <w:rPr>
            <w:rStyle w:val="Hyperlink"/>
            <w:b/>
            <w:bCs/>
            <w:color w:val="0000EE"/>
            <w:u w:color="0000EE"/>
            <w:lang w:val="el" w:eastAsia="el"/>
          </w:rPr>
          <w:t>Τροποποίηση 3752/2009, Άρθρο 10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4" w:history="1">
        <w:r>
          <w:rPr>
            <w:rStyle w:val="Hyperlink"/>
            <w:b/>
            <w:bCs/>
            <w:color w:val="0000EE"/>
            <w:u w:color="0000EE"/>
            <w:lang w:val="el" w:eastAsia="el"/>
          </w:rPr>
          <w:t>Τροποποίηση 3833/2010, Άρθρο 14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4" w:history="1">
        <w:r>
          <w:rPr>
            <w:rStyle w:val="Hyperlink"/>
            <w:b/>
            <w:bCs/>
            <w:color w:val="0000EE"/>
            <w:u w:color="0000EE"/>
            <w:lang w:val="el" w:eastAsia="el"/>
          </w:rPr>
          <w:t>Τροποποίηση 3845/2010, Άρθρο 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Προσθήκη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3583/2007,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3583/2007,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Προσθήκη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3583/2007,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85" w:history="1">
        <w:r>
          <w:rPr>
            <w:rStyle w:val="Hyperlink"/>
            <w:b/>
            <w:bCs/>
            <w:color w:val="0000EE"/>
            <w:u w:color="0000EE"/>
            <w:lang w:val="el" w:eastAsia="el"/>
          </w:rPr>
          <w:t>Τροποποίηση 3842/2010, Άρθρο 85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0" w:history="1">
        <w:r>
          <w:rPr>
            <w:rStyle w:val="Hyperlink"/>
            <w:b/>
            <w:bCs/>
            <w:color w:val="0000EE"/>
            <w:u w:color="0000EE"/>
            <w:lang w:val="el" w:eastAsia="el"/>
          </w:rPr>
          <w:t>Τροποποίηση 3752/2009, Άρθρο 10</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4" w:history="1">
        <w:r>
          <w:rPr>
            <w:rStyle w:val="Hyperlink"/>
            <w:b/>
            <w:bCs/>
            <w:color w:val="0000EE"/>
            <w:u w:color="0000EE"/>
            <w:lang w:val="el" w:eastAsia="el"/>
          </w:rPr>
          <w:t>Τροποποίηση 3833/2010, Άρθρο 14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4" w:history="1">
        <w:r>
          <w:rPr>
            <w:rStyle w:val="Hyperlink"/>
            <w:b/>
            <w:bCs/>
            <w:color w:val="0000EE"/>
            <w:u w:color="0000EE"/>
            <w:lang w:val="el" w:eastAsia="el"/>
          </w:rPr>
          <w:t>Τροποποίηση 3845/2010, Άρθρο 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0" w:history="1">
        <w:r>
          <w:rPr>
            <w:rStyle w:val="Hyperlink"/>
            <w:b/>
            <w:bCs/>
            <w:color w:val="0000EE"/>
            <w:u w:color="0000EE"/>
            <w:lang w:val="el" w:eastAsia="el"/>
          </w:rPr>
          <w:t>Τροποποίηση 3752/2009, Άρθρο 10</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4" w:history="1">
        <w:r>
          <w:rPr>
            <w:rStyle w:val="Hyperlink"/>
            <w:b/>
            <w:bCs/>
            <w:color w:val="0000EE"/>
            <w:u w:color="0000EE"/>
            <w:lang w:val="el" w:eastAsia="el"/>
          </w:rPr>
          <w:t>Τροποποίηση 3833/2010, Άρθρο 14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4" w:history="1">
        <w:r>
          <w:rPr>
            <w:rStyle w:val="Hyperlink"/>
            <w:b/>
            <w:bCs/>
            <w:color w:val="0000EE"/>
            <w:u w:color="0000EE"/>
            <w:lang w:val="el" w:eastAsia="el"/>
          </w:rPr>
          <w:t>Τροποποίηση 3845/2010, Άρθρο 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0" w:history="1">
        <w:r>
          <w:rPr>
            <w:rStyle w:val="Hyperlink"/>
            <w:b/>
            <w:bCs/>
            <w:color w:val="0000EE"/>
            <w:u w:color="0000EE"/>
            <w:lang w:val="el" w:eastAsia="el"/>
          </w:rPr>
          <w:t>Τροποποίηση 3752/2009, Άρθρο 10</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4" w:history="1">
        <w:r>
          <w:rPr>
            <w:rStyle w:val="Hyperlink"/>
            <w:b/>
            <w:bCs/>
            <w:color w:val="0000EE"/>
            <w:u w:color="0000EE"/>
            <w:lang w:val="el" w:eastAsia="el"/>
          </w:rPr>
          <w:t>Τροποποίηση 3833/2010, Άρθρο 14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4" w:history="1">
        <w:r>
          <w:rPr>
            <w:rStyle w:val="Hyperlink"/>
            <w:b/>
            <w:bCs/>
            <w:color w:val="0000EE"/>
            <w:u w:color="0000EE"/>
            <w:lang w:val="el" w:eastAsia="el"/>
          </w:rPr>
          <w:t>Τροποποίηση 3845/2010, Άρθρο 4</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6" w:history="1">
        <w:r>
          <w:rPr>
            <w:rStyle w:val="Hyperlink"/>
            <w:b/>
            <w:bCs/>
            <w:color w:val="0000EE"/>
            <w:u w:color="0000EE"/>
            <w:lang w:val="el" w:eastAsia="el"/>
          </w:rPr>
          <w:t>Τροποποίηση 3899/2010, Άρθρο 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6" w:history="1">
        <w:r>
          <w:rPr>
            <w:rStyle w:val="Hyperlink"/>
            <w:b/>
            <w:bCs/>
            <w:color w:val="0000EE"/>
            <w:u w:color="0000EE"/>
            <w:lang w:val="el" w:eastAsia="el"/>
          </w:rPr>
          <w:t>Τροποποίηση 3899/2010, Άρθρο 6</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 w:history="1">
        <w:r>
          <w:rPr>
            <w:rStyle w:val="Hyperlink"/>
            <w:b/>
            <w:bCs/>
            <w:color w:val="0000EE"/>
            <w:u w:color="0000EE"/>
            <w:lang w:val="el" w:eastAsia="el"/>
          </w:rPr>
          <w:t>Τροποποίηση 4093/2012, Άρθρο 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 w:history="1">
        <w:r>
          <w:rPr>
            <w:rStyle w:val="Hyperlink"/>
            <w:b/>
            <w:bCs/>
            <w:color w:val="0000EE"/>
            <w:u w:color="0000EE"/>
            <w:lang w:val="el" w:eastAsia="el"/>
          </w:rPr>
          <w:t>Τροποποίηση 3899/2010, Άρθρο 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36" w:history="1">
        <w:r>
          <w:rPr>
            <w:rStyle w:val="Hyperlink"/>
            <w:b/>
            <w:bCs/>
            <w:color w:val="0000EE"/>
            <w:u w:color="0000EE"/>
            <w:lang w:val="el" w:eastAsia="el"/>
          </w:rPr>
          <w:t>Τροποποίηση 3986/2011, Άρθρο 36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4093/2012,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 w:history="1">
        <w:r>
          <w:rPr>
            <w:rStyle w:val="Hyperlink"/>
            <w:b/>
            <w:bCs/>
            <w:color w:val="0000EE"/>
            <w:u w:color="0000EE"/>
            <w:lang w:val="el" w:eastAsia="el"/>
          </w:rPr>
          <w:t>Τροποποίηση 4093/2012, Άρθρο 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30" w:history="1">
        <w:r>
          <w:rPr>
            <w:rStyle w:val="Hyperlink"/>
            <w:b/>
            <w:bCs/>
            <w:color w:val="0000EE"/>
            <w:u w:color="0000EE"/>
            <w:lang w:val="el" w:eastAsia="el"/>
          </w:rPr>
          <w:t>Προσθήκη 3943/2011, Άρθρο 30</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6" w:history="1">
        <w:r>
          <w:rPr>
            <w:rStyle w:val="Hyperlink"/>
            <w:b/>
            <w:bCs/>
            <w:color w:val="0000EE"/>
            <w:u w:color="0000EE"/>
            <w:lang w:val="el" w:eastAsia="el"/>
          </w:rPr>
          <w:t>Τροποποίηση 3899/2010, Άρθρο 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36" w:history="1">
        <w:r>
          <w:rPr>
            <w:rStyle w:val="Hyperlink"/>
            <w:b/>
            <w:bCs/>
            <w:color w:val="0000EE"/>
            <w:u w:color="0000EE"/>
            <w:lang w:val="el" w:eastAsia="el"/>
          </w:rPr>
          <w:t>Τροποποίηση 3986/2011, Άρθρο 36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5" w:history="1">
        <w:r>
          <w:rPr>
            <w:rStyle w:val="Hyperlink"/>
            <w:b/>
            <w:bCs/>
            <w:color w:val="0000EE"/>
            <w:u w:color="0000EE"/>
            <w:lang w:val="el" w:eastAsia="el"/>
          </w:rPr>
          <w:t>Τροποποίηση 3833/2010, Άρθρο 15</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Προσθήκη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8" w:history="1">
        <w:r>
          <w:rPr>
            <w:rStyle w:val="Hyperlink"/>
            <w:b/>
            <w:bCs/>
            <w:color w:val="0000EE"/>
            <w:u w:color="0000EE"/>
            <w:lang w:val="el" w:eastAsia="el"/>
          </w:rPr>
          <w:t>Προσθήκη 3634/2008, Άρθρο 28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5" w:history="1">
        <w:r>
          <w:rPr>
            <w:rStyle w:val="Hyperlink"/>
            <w:b/>
            <w:bCs/>
            <w:color w:val="0000EE"/>
            <w:u w:color="0000EE"/>
            <w:lang w:val="el" w:eastAsia="el"/>
          </w:rPr>
          <w:t>Τροποποίηση 3899/2010, Άρθρο 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8" w:history="1">
        <w:r>
          <w:rPr>
            <w:rStyle w:val="Hyperlink"/>
            <w:b/>
            <w:bCs/>
            <w:color w:val="0000EE"/>
            <w:u w:color="0000EE"/>
            <w:lang w:val="el" w:eastAsia="el"/>
          </w:rPr>
          <w:t>Προσθήκη 3634/2008, Άρθρο 28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5" w:history="1">
        <w:r>
          <w:rPr>
            <w:rStyle w:val="Hyperlink"/>
            <w:b/>
            <w:bCs/>
            <w:color w:val="0000EE"/>
            <w:u w:color="0000EE"/>
            <w:lang w:val="el" w:eastAsia="el"/>
          </w:rPr>
          <w:t>Αφαίρεση 3899/2010, Άρθρο 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5" w:history="1">
        <w:r>
          <w:rPr>
            <w:rStyle w:val="Hyperlink"/>
            <w:b/>
            <w:bCs/>
            <w:color w:val="0000EE"/>
            <w:u w:color="0000EE"/>
            <w:lang w:val="el" w:eastAsia="el"/>
          </w:rPr>
          <w:t>Προσθήκη 3833/2010, Άρθρο 15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36" w:history="1">
        <w:r>
          <w:rPr>
            <w:rStyle w:val="Hyperlink"/>
            <w:b/>
            <w:bCs/>
            <w:color w:val="0000EE"/>
            <w:u w:color="0000EE"/>
            <w:lang w:val="el" w:eastAsia="el"/>
          </w:rPr>
          <w:t>Τροποποίηση 3986/2011, Άρθρο 36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8" w:history="1">
        <w:r>
          <w:rPr>
            <w:rStyle w:val="Hyperlink"/>
            <w:b/>
            <w:bCs/>
            <w:color w:val="0000EE"/>
            <w:u w:color="0000EE"/>
            <w:lang w:val="el" w:eastAsia="el"/>
          </w:rPr>
          <w:t>Τροποποίηση 3634/2008, Άρθρο 28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5" w:history="1">
        <w:r>
          <w:rPr>
            <w:rStyle w:val="Hyperlink"/>
            <w:b/>
            <w:bCs/>
            <w:color w:val="0000EE"/>
            <w:u w:color="0000EE"/>
            <w:lang w:val="el" w:eastAsia="el"/>
          </w:rPr>
          <w:t>Τροποποίηση 3833/2010, Άρθρο 15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85" w:history="1">
        <w:r>
          <w:rPr>
            <w:rStyle w:val="Hyperlink"/>
            <w:b/>
            <w:bCs/>
            <w:color w:val="0000EE"/>
            <w:u w:color="0000EE"/>
            <w:lang w:val="el" w:eastAsia="el"/>
          </w:rPr>
          <w:t>Τροποποίηση 3842/2010, Άρθρο 85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85" w:history="1">
        <w:r>
          <w:rPr>
            <w:rStyle w:val="Hyperlink"/>
            <w:b/>
            <w:bCs/>
            <w:color w:val="0000EE"/>
            <w:u w:color="0000EE"/>
            <w:lang w:val="el" w:eastAsia="el"/>
          </w:rPr>
          <w:t>Τροποποίηση 3842/2010, Άρθρο 85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85" w:history="1">
        <w:r>
          <w:rPr>
            <w:rStyle w:val="Hyperlink"/>
            <w:b/>
            <w:bCs/>
            <w:color w:val="0000EE"/>
            <w:u w:color="0000EE"/>
            <w:lang w:val="el" w:eastAsia="el"/>
          </w:rPr>
          <w:t>Τροποποίηση 3842/2010, Άρθρο 85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85" w:history="1">
        <w:r>
          <w:rPr>
            <w:rStyle w:val="Hyperlink"/>
            <w:b/>
            <w:bCs/>
            <w:color w:val="0000EE"/>
            <w:u w:color="0000EE"/>
            <w:lang w:val="el" w:eastAsia="el"/>
          </w:rPr>
          <w:t>Τροποποίηση 3842/2010, Άρθρο 85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85" w:history="1">
        <w:r>
          <w:rPr>
            <w:rStyle w:val="Hyperlink"/>
            <w:b/>
            <w:bCs/>
            <w:color w:val="0000EE"/>
            <w:u w:color="0000EE"/>
            <w:lang w:val="el" w:eastAsia="el"/>
          </w:rPr>
          <w:t>Τροποποίηση 3842/2010, Άρθρο 85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85" w:history="1">
        <w:r>
          <w:rPr>
            <w:rStyle w:val="Hyperlink"/>
            <w:b/>
            <w:bCs/>
            <w:color w:val="0000EE"/>
            <w:u w:color="0000EE"/>
            <w:lang w:val="el" w:eastAsia="el"/>
          </w:rPr>
          <w:t>Τροποποίηση 3842/2010, Άρθρο 85</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Τροποποίηση 3583/2007,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3583/2007,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85" w:history="1">
        <w:r>
          <w:rPr>
            <w:rStyle w:val="Hyperlink"/>
            <w:b/>
            <w:bCs/>
            <w:color w:val="0000EE"/>
            <w:u w:color="0000EE"/>
            <w:lang w:val="el" w:eastAsia="el"/>
          </w:rPr>
          <w:t>Τροποποίηση 3842/2010, Άρθρο 85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85" w:history="1">
        <w:r>
          <w:rPr>
            <w:rStyle w:val="Hyperlink"/>
            <w:b/>
            <w:bCs/>
            <w:color w:val="0000EE"/>
            <w:u w:color="0000EE"/>
            <w:lang w:val="el" w:eastAsia="el"/>
          </w:rPr>
          <w:t>Τροποποίηση 3842/2010, Άρθρο 85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85" w:history="1">
        <w:r>
          <w:rPr>
            <w:rStyle w:val="Hyperlink"/>
            <w:b/>
            <w:bCs/>
            <w:color w:val="0000EE"/>
            <w:u w:color="0000EE"/>
            <w:lang w:val="el" w:eastAsia="el"/>
          </w:rPr>
          <w:t>Προσθήκη 3842/2010, Άρθρο 85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6" w:history="1">
        <w:r>
          <w:rPr>
            <w:rStyle w:val="Hyperlink"/>
            <w:b/>
            <w:bCs/>
            <w:color w:val="0000EE"/>
            <w:u w:color="0000EE"/>
            <w:lang w:val="el" w:eastAsia="el"/>
          </w:rPr>
          <w:t>Τροποποίηση 3943/2011, Άρθρο 26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Αφαίρεση 3583/2007,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3583/2007,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Προσθήκη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Προσθήκη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Προσθήκη 3583/2007,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6" w:history="1">
        <w:r>
          <w:rPr>
            <w:rStyle w:val="Hyperlink"/>
            <w:b/>
            <w:bCs/>
            <w:color w:val="0000EE"/>
            <w:u w:color="0000EE"/>
            <w:lang w:val="el" w:eastAsia="el"/>
          </w:rPr>
          <w:t>Προσθήκη 3763/2009,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Προσθήκη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Προσθήκη 3583/2007,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Προσθήκη 3763/2009, Άρθρο 26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6" w:history="1">
        <w:r>
          <w:rPr>
            <w:rStyle w:val="Hyperlink"/>
            <w:b/>
            <w:bCs/>
            <w:color w:val="0000EE"/>
            <w:u w:color="0000EE"/>
            <w:lang w:val="el" w:eastAsia="el"/>
          </w:rPr>
          <w:t>Αφαίρεση 3763/2009, Άρθρο 26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6" w:history="1">
        <w:r>
          <w:rPr>
            <w:rStyle w:val="Hyperlink"/>
            <w:b/>
            <w:bCs/>
            <w:color w:val="0000EE"/>
            <w:u w:color="0000EE"/>
            <w:lang w:val="el" w:eastAsia="el"/>
          </w:rPr>
          <w:t>Προσθήκη 3763/2009, Άρθρο 26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3583/2007,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6" w:history="1">
        <w:r>
          <w:rPr>
            <w:rStyle w:val="Hyperlink"/>
            <w:b/>
            <w:bCs/>
            <w:color w:val="0000EE"/>
            <w:u w:color="0000EE"/>
            <w:lang w:val="el" w:eastAsia="el"/>
          </w:rPr>
          <w:t>Τροποποίηση 3763/2009, Άρθρο 26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Προσθήκη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Προσθήκη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Προσθήκη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Προσθήκη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4" w:history="1">
        <w:r>
          <w:rPr>
            <w:rStyle w:val="Hyperlink"/>
            <w:b/>
            <w:bCs/>
            <w:color w:val="0000EE"/>
            <w:u w:color="0000EE"/>
            <w:lang w:val="el" w:eastAsia="el"/>
          </w:rPr>
          <w:t>Τροποποίηση 3610/2007, Άρθρο 24</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6" w:history="1">
        <w:r>
          <w:rPr>
            <w:rStyle w:val="Hyperlink"/>
            <w:b/>
            <w:bCs/>
            <w:color w:val="0000EE"/>
            <w:u w:color="0000EE"/>
            <w:lang w:val="el" w:eastAsia="el"/>
          </w:rPr>
          <w:t>Τροποποίηση 3259/2004, Άρθρο 16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9" w:history="1">
        <w:r>
          <w:rPr>
            <w:rStyle w:val="Hyperlink"/>
            <w:b/>
            <w:bCs/>
            <w:color w:val="0000EE"/>
            <w:u w:color="0000EE"/>
            <w:lang w:val="el" w:eastAsia="el"/>
          </w:rPr>
          <w:t>Προσθήκη 3790/2009, Άρθρο 9</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3" w:history="1">
        <w:r>
          <w:rPr>
            <w:rStyle w:val="Hyperlink"/>
            <w:b/>
            <w:bCs/>
            <w:color w:val="0000EE"/>
            <w:u w:color="0000EE"/>
            <w:lang w:val="el" w:eastAsia="el"/>
          </w:rPr>
          <w:t>Προσθήκη 4138/2013, Άρθρο 13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7" w:history="1">
        <w:r>
          <w:rPr>
            <w:rStyle w:val="Hyperlink"/>
            <w:b/>
            <w:bCs/>
            <w:color w:val="0000EE"/>
            <w:u w:color="0000EE"/>
            <w:lang w:val="el" w:eastAsia="el"/>
          </w:rPr>
          <w:t>Τροποποίηση 3453/2006, Άρθρο 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Τροποποίηση 3583/2007,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3583/2007,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Τροποποίηση 3583/2007,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Προσθήκη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Τροποποίηση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3583/2007,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Προσθήκη 3583/2007,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Προσθήκη 3583/2007,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4" w:history="1">
        <w:r>
          <w:rPr>
            <w:rStyle w:val="Hyperlink"/>
            <w:b/>
            <w:bCs/>
            <w:color w:val="0000EE"/>
            <w:u w:color="0000EE"/>
            <w:lang w:val="el" w:eastAsia="el"/>
          </w:rPr>
          <w:t>Προσθήκη 3610/2007, Άρθρο 24</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5" w:history="1">
        <w:r>
          <w:rPr>
            <w:rStyle w:val="Hyperlink"/>
            <w:b/>
            <w:bCs/>
            <w:color w:val="0000EE"/>
            <w:u w:color="0000EE"/>
            <w:lang w:val="el" w:eastAsia="el"/>
          </w:rPr>
          <w:t>Προσθήκη 3899/2010, Άρθρο 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320" w:history="1">
        <w:r>
          <w:rPr>
            <w:rStyle w:val="Hyperlink"/>
            <w:b/>
            <w:bCs/>
            <w:color w:val="0000EE"/>
            <w:u w:color="0000EE"/>
            <w:lang w:val="el" w:eastAsia="el"/>
          </w:rPr>
          <w:t>Τροποποίηση 4072/2012, Άρθρο 320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39" w:history="1">
        <w:r>
          <w:rPr>
            <w:rStyle w:val="Hyperlink"/>
            <w:b/>
            <w:bCs/>
            <w:color w:val="0000EE"/>
            <w:u w:color="0000EE"/>
            <w:lang w:val="el" w:eastAsia="el"/>
          </w:rPr>
          <w:t>Τροποποίηση 4141/2013, Άρθρο 39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Προσθήκη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3583/2007,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6" w:history="1">
        <w:r>
          <w:rPr>
            <w:rStyle w:val="Hyperlink"/>
            <w:b/>
            <w:bCs/>
            <w:color w:val="0000EE"/>
            <w:u w:color="0000EE"/>
            <w:lang w:val="el" w:eastAsia="el"/>
          </w:rPr>
          <w:t>Προσθήκη 3583/2007, Άρθρο 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Αφαίρεση 3583/2007,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Προσθήκη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Αφαίρεση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3610/2007,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3583/2007,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3583/2007,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45" w:history="1">
        <w:r>
          <w:rPr>
            <w:rStyle w:val="Hyperlink"/>
            <w:b/>
            <w:bCs/>
            <w:color w:val="0000EE"/>
            <w:u w:color="0000EE"/>
            <w:lang w:val="el" w:eastAsia="el"/>
          </w:rPr>
          <w:t>Αφαίρεση 2992/2002, Άρθρο 45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6" w:history="1">
        <w:r>
          <w:rPr>
            <w:rStyle w:val="Hyperlink"/>
            <w:b/>
            <w:bCs/>
            <w:color w:val="0000EE"/>
            <w:u w:color="0000EE"/>
            <w:lang w:val="el" w:eastAsia="el"/>
          </w:rPr>
          <w:t>Προσθήκη 3259/2004, Άρθρο 16</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3583/2007,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36" w:history="1">
        <w:r>
          <w:rPr>
            <w:rStyle w:val="Hyperlink"/>
            <w:b/>
            <w:bCs/>
            <w:color w:val="0000EE"/>
            <w:u w:color="0000EE"/>
            <w:lang w:val="el" w:eastAsia="el"/>
          </w:rPr>
          <w:t>Τροποποίηση 3986/2011, Άρθρο 36</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Προσθήκη 3336/2005,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Προσθήκη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13/03/07/4132" TargetMode="External" /><Relationship Id="rId100" Type="http://schemas.openxmlformats.org/officeDocument/2006/relationships/hyperlink" Target="http://data.aade.gr/eli/pri/law/2009/03/04/3752" TargetMode="External" /><Relationship Id="rId101" Type="http://schemas.openxmlformats.org/officeDocument/2006/relationships/hyperlink" Target="http://data.aade.gr/eli/pri/law/2010/03/15/3833" TargetMode="External" /><Relationship Id="rId102" Type="http://schemas.openxmlformats.org/officeDocument/2006/relationships/hyperlink" Target="http://data.aade.gr/eli/pri/law/2010/05/06/3845" TargetMode="External" /><Relationship Id="rId103" Type="http://schemas.openxmlformats.org/officeDocument/2006/relationships/hyperlink" Target="http://data.aade.gr/eli/pri/law/2009/03/04/3752" TargetMode="External" /><Relationship Id="rId104" Type="http://schemas.openxmlformats.org/officeDocument/2006/relationships/hyperlink" Target="http://data.aade.gr/eli/pri/law/2010/03/15/3833" TargetMode="External" /><Relationship Id="rId105" Type="http://schemas.openxmlformats.org/officeDocument/2006/relationships/hyperlink" Target="http://data.aade.gr/eli/pri/law/2010/05/06/3845" TargetMode="External" /><Relationship Id="rId106" Type="http://schemas.openxmlformats.org/officeDocument/2006/relationships/hyperlink" Target="http://data.aade.gr/eli/pri/law/2010/12/17/3899" TargetMode="External" /><Relationship Id="rId107" Type="http://schemas.openxmlformats.org/officeDocument/2006/relationships/hyperlink" Target="http://data.aade.gr/eli/pri/law/2010/12/17/3899" TargetMode="External" /><Relationship Id="rId108" Type="http://schemas.openxmlformats.org/officeDocument/2006/relationships/hyperlink" Target="http://data.aade.gr/eli/pri/law/2012/11/12/4093" TargetMode="External" /><Relationship Id="rId109" Type="http://schemas.openxmlformats.org/officeDocument/2006/relationships/hyperlink" Target="http://data.aade.gr/eli/pri/law/2010/12/17/3899"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11/07/01/3986" TargetMode="External" /><Relationship Id="rId111" Type="http://schemas.openxmlformats.org/officeDocument/2006/relationships/hyperlink" Target="http://data.aade.gr/eli/pri/law/2012/11/12/4093" TargetMode="External" /><Relationship Id="rId112" Type="http://schemas.openxmlformats.org/officeDocument/2006/relationships/hyperlink" Target="http://data.aade.gr/eli/pri/law/2012/11/12/4093" TargetMode="External" /><Relationship Id="rId113" Type="http://schemas.openxmlformats.org/officeDocument/2006/relationships/hyperlink" Target="http://data.aade.gr/eli/pri/law/2011/03/31/394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10/12/17/3899" TargetMode="External" /><Relationship Id="rId117" Type="http://schemas.openxmlformats.org/officeDocument/2006/relationships/hyperlink" Target="http://data.aade.gr/eli/pri/law/2011/07/01/3986"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10/03/15/3833"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8/01/29/3634" TargetMode="External" /><Relationship Id="rId124" Type="http://schemas.openxmlformats.org/officeDocument/2006/relationships/hyperlink" Target="http://data.aade.gr/eli/pri/law/2010/12/17/3899" TargetMode="External" /><Relationship Id="rId125" Type="http://schemas.openxmlformats.org/officeDocument/2006/relationships/hyperlink" Target="http://data.aade.gr/eli/pri/law/2008/01/29/3634" TargetMode="External" /><Relationship Id="rId126" Type="http://schemas.openxmlformats.org/officeDocument/2006/relationships/hyperlink" Target="http://data.aade.gr/eli/pri/law/2010/12/17/3899" TargetMode="External" /><Relationship Id="rId127" Type="http://schemas.openxmlformats.org/officeDocument/2006/relationships/hyperlink" Target="http://data.aade.gr/eli/pri/law/2010/03/15/3833" TargetMode="External" /><Relationship Id="rId128" Type="http://schemas.openxmlformats.org/officeDocument/2006/relationships/hyperlink" Target="http://data.aade.gr/eli/pri/law/2011/07/01/3986" TargetMode="External" /><Relationship Id="rId129" Type="http://schemas.openxmlformats.org/officeDocument/2006/relationships/hyperlink" Target="http://data.aade.gr/eli/pri/law/2008/01/29/3634"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3/15/3833"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07/06/28/358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1/03/31/3943" TargetMode="External" /><Relationship Id="rId144" Type="http://schemas.openxmlformats.org/officeDocument/2006/relationships/hyperlink" Target="http://data.aade.gr/eli/pri/law/2007/06/28/358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9/05/27/3763"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9/05/27/376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9/05/27/3763" TargetMode="External" /><Relationship Id="rId157" Type="http://schemas.openxmlformats.org/officeDocument/2006/relationships/hyperlink" Target="http://data.aade.gr/eli/pri/law/2009/05/27/376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7/06/28/3583" TargetMode="External" /><Relationship Id="rId16" Type="http://schemas.openxmlformats.org/officeDocument/2006/relationships/hyperlink" Target="http://data.aade.gr/eli/pri/law/2012/04/11/4072" TargetMode="External" /><Relationship Id="rId160" Type="http://schemas.openxmlformats.org/officeDocument/2006/relationships/hyperlink" Target="http://data.aade.gr/eli/pri/law/2009/05/27/376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7/06/28/3583"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11/22/3610"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4/08/04/3259" TargetMode="External" /><Relationship Id="rId171" Type="http://schemas.openxmlformats.org/officeDocument/2006/relationships/hyperlink" Target="http://data.aade.gr/eli/pri/law/2009/08/07/3790" TargetMode="External" /><Relationship Id="rId172" Type="http://schemas.openxmlformats.org/officeDocument/2006/relationships/hyperlink" Target="http://data.aade.gr/eli/pri/law/2013/03/19/4138"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6/04/07/345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07/06/28/3583" TargetMode="External" /><Relationship Id="rId179"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07/06/28/358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07/11/22/3610" TargetMode="External" /><Relationship Id="rId187" Type="http://schemas.openxmlformats.org/officeDocument/2006/relationships/hyperlink" Target="http://data.aade.gr/eli/pri/law/2010/12/17/3899" TargetMode="External" /><Relationship Id="rId188" Type="http://schemas.openxmlformats.org/officeDocument/2006/relationships/hyperlink" Target="http://data.aade.gr/eli/pri/law/2012/04/11/4072" TargetMode="External" /><Relationship Id="rId189" Type="http://schemas.openxmlformats.org/officeDocument/2006/relationships/hyperlink" Target="http://data.aade.gr/eli/pri/law/2013/04/05/4141"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7/11/22/3610"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02/03/20/2992" TargetMode="External" /><Relationship Id="rId202" Type="http://schemas.openxmlformats.org/officeDocument/2006/relationships/hyperlink" Target="http://data.aade.gr/eli/pri/law/2004/08/04/3259"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11/07/01/3986" TargetMode="External" /><Relationship Id="rId205" Type="http://schemas.openxmlformats.org/officeDocument/2006/relationships/hyperlink" Target="http://data.aade.gr/eli/pri/law/2007/06/28/3583" TargetMode="External" /><Relationship Id="rId206" Type="http://schemas.openxmlformats.org/officeDocument/2006/relationships/hyperlink" Target="http://data.aade.gr/eli/pri/law/2005/04/20/3336" TargetMode="External" /><Relationship Id="rId207" Type="http://schemas.openxmlformats.org/officeDocument/2006/relationships/hyperlink" Target="http://data.aade.gr/eli/pri/law/2007/06/28/3583" TargetMode="External" /><Relationship Id="rId208" Type="http://schemas.openxmlformats.org/officeDocument/2006/relationships/hyperlink" Target="http://data.aade.gr/eli/pri/law/2005/04/20/3336"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5/04/20/3336"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07/06/28/3583"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2/04/11/407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05/04/20/3336" TargetMode="External" /><Relationship Id="rId45" Type="http://schemas.openxmlformats.org/officeDocument/2006/relationships/hyperlink" Target="http://data.aade.gr/eli/pri/law/2005/04/20/3336" TargetMode="External" /><Relationship Id="rId46" Type="http://schemas.openxmlformats.org/officeDocument/2006/relationships/hyperlink" Target="http://data.aade.gr/eli/pri/law/2010/05/06/3845" TargetMode="External" /><Relationship Id="rId47" Type="http://schemas.openxmlformats.org/officeDocument/2006/relationships/hyperlink" Target="http://data.aade.gr/eli/pri/law/2010/03/15/3833" TargetMode="External" /><Relationship Id="rId48" Type="http://schemas.openxmlformats.org/officeDocument/2006/relationships/hyperlink" Target="http://data.aade.gr/eli/pri/law/2010/12/17/3899" TargetMode="External" /><Relationship Id="rId49" Type="http://schemas.openxmlformats.org/officeDocument/2006/relationships/hyperlink" Target="http://data.aade.gr/eli/pri/law/2011/07/01/3986"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12/11/08/4092" TargetMode="External" /><Relationship Id="rId51" Type="http://schemas.openxmlformats.org/officeDocument/2006/relationships/hyperlink" Target="http://data.aade.gr/eli/pri/law/2012/11/12/4093" TargetMode="External" /><Relationship Id="rId52" Type="http://schemas.openxmlformats.org/officeDocument/2006/relationships/hyperlink" Target="http://data.aade.gr/eli/pri/law/2006/08/07/3483" TargetMode="External" /><Relationship Id="rId53" Type="http://schemas.openxmlformats.org/officeDocument/2006/relationships/hyperlink" Target="http://data.aade.gr/eli/pri/law/2010/12/17/3899" TargetMode="External" /><Relationship Id="rId54" Type="http://schemas.openxmlformats.org/officeDocument/2006/relationships/hyperlink" Target="http://data.aade.gr/eli/pri/law/2008/01/29/3634" TargetMode="External" /><Relationship Id="rId55" Type="http://schemas.openxmlformats.org/officeDocument/2006/relationships/hyperlink" Target="http://data.aade.gr/eli/pri/law/2011/07/01/3986" TargetMode="External" /><Relationship Id="rId56" Type="http://schemas.openxmlformats.org/officeDocument/2006/relationships/hyperlink" Target="http://data.aade.gr/eli/pri/law/2011/07/01/3986" TargetMode="External" /><Relationship Id="rId57" Type="http://schemas.openxmlformats.org/officeDocument/2006/relationships/hyperlink" Target="http://data.aade.gr/eli/pri/law/2011/10/27/4024" TargetMode="External" /><Relationship Id="rId58" Type="http://schemas.openxmlformats.org/officeDocument/2006/relationships/hyperlink" Target="http://data.aade.gr/eli/pri/law/2005/04/20/3336" TargetMode="External" /><Relationship Id="rId59" Type="http://schemas.openxmlformats.org/officeDocument/2006/relationships/hyperlink" Target="http://data.aade.gr/eli/pri/law/2010/03/15/383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1/07/01/3986" TargetMode="External" /><Relationship Id="rId61" Type="http://schemas.openxmlformats.org/officeDocument/2006/relationships/hyperlink" Target="http://data.aade.gr/eli/pri/law/2005/04/20/3336" TargetMode="External" /><Relationship Id="rId62" Type="http://schemas.openxmlformats.org/officeDocument/2006/relationships/hyperlink" Target="http://data.aade.gr/eli/pri/law/2005/04/20/3336"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05/04/20/3336" TargetMode="External" /><Relationship Id="rId65" Type="http://schemas.openxmlformats.org/officeDocument/2006/relationships/hyperlink" Target="http://data.aade.gr/eli/pri/law/2005/04/20/3336"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10/03/15/3833"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10/03/15/383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06/08/07/3483" TargetMode="External" /><Relationship Id="rId76" Type="http://schemas.openxmlformats.org/officeDocument/2006/relationships/hyperlink" Target="http://data.aade.gr/eli/pri/law/2007/06/28/3583"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12/11/12/409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8/01/29/3634" TargetMode="External" /><Relationship Id="rId81" Type="http://schemas.openxmlformats.org/officeDocument/2006/relationships/hyperlink" Target="http://data.aade.gr/eli/pri/law/2005/04/20/3336"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10/03/15/3833" TargetMode="External" /><Relationship Id="rId85" Type="http://schemas.openxmlformats.org/officeDocument/2006/relationships/hyperlink" Target="http://data.aade.gr/eli/pri/law/2010/05/06/3845" TargetMode="External" /><Relationship Id="rId86" Type="http://schemas.openxmlformats.org/officeDocument/2006/relationships/hyperlink" Target="http://data.aade.gr/eli/pri/law/2005/04/20/3336" TargetMode="External" /><Relationship Id="rId87" Type="http://schemas.openxmlformats.org/officeDocument/2006/relationships/hyperlink" Target="http://data.aade.gr/eli/pri/law/2009/03/04/3752" TargetMode="External" /><Relationship Id="rId88" Type="http://schemas.openxmlformats.org/officeDocument/2006/relationships/hyperlink" Target="http://data.aade.gr/eli/pri/law/2010/03/15/3833" TargetMode="External" /><Relationship Id="rId89" Type="http://schemas.openxmlformats.org/officeDocument/2006/relationships/hyperlink" Target="http://data.aade.gr/eli/pri/law/2010/05/06/3845"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9/03/04/3752" TargetMode="External" /><Relationship Id="rId98" Type="http://schemas.openxmlformats.org/officeDocument/2006/relationships/hyperlink" Target="http://data.aade.gr/eli/pri/law/2010/03/15/3833" TargetMode="External" /><Relationship Id="rId99" Type="http://schemas.openxmlformats.org/officeDocument/2006/relationships/hyperlink" Target="http://data.aade.gr/eli/pri/law/2010/05/06/38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