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Αρ. Φύλλου 265</w:t>
      </w:r>
    </w:p>
    <w:p>
      <w:pPr>
        <w:pStyle w:val="Title"/>
        <w:spacing w:before="120" w:after="360"/>
        <w:rPr>
          <w:lang w:val="el" w:eastAsia="el"/>
        </w:rPr>
      </w:pPr>
      <w:r>
        <w:rPr>
          <w:b/>
          <w:bCs/>
          <w:lang w:val="el" w:eastAsia="el"/>
        </w:rPr>
        <w:t>22 Νοεμβρίου 2001</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ΝΟΜΟΣ ΥΠ΄ ΑΡΙΘ. 2960</w:t>
      </w:r>
    </w:p>
    <w:p>
      <w:pPr>
        <w:pStyle w:val="Title"/>
        <w:spacing w:before="120" w:after="36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αρμόδια για τον έλεγχο των ρευστών διαθεσίμων που κομίζονται από πρόσωπα τα οποία εισέρχονται ή εξέρχονται από την Κοινότητα στα πλαίσια της εφαρμογής κοινοτικών ρυθμίσεων. Με απόφαση του Υπουργού Οικονομίας και Οικονομικών καθορίζεται η διαδικασία ελέγχου εισόδου - εξόδου στην Κοινότητα των ρευστών διαθεσίμων, το είδος της δήλωσης που θα υποβάλλεται, καθώς και κάθε άλλη ειδικότερη διαδικασία εφαρμογής.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6"/>
      </w:r>
      <w:r>
        <w:rPr>
          <w:lang w:val="el" w:eastAsia="el"/>
        </w:rPr>
        <w:t>Ο πλοίαρχος δεν υποχρεούται στην τήρηση των διατάξεων του παρόντος άρθρου όταν transit διερχόμενο πλοίο, αποπλέει χωρίς να ελευθεροκοινωνήσει, εντός προθεσμίας σαράντα οκτώ (48) ωρών από τον κατάπλου.</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7"/>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8"/>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9"/>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4α.</w:t>
      </w:r>
      <w:r>
        <w:rPr>
          <w:b/>
          <w:bCs/>
          <w:lang w:val="el" w:eastAsia="el"/>
        </w:rPr>
        <w:t xml:space="preserve"> </w:t>
      </w:r>
      <w:r>
        <w:rPr>
          <w:rStyle w:val="Hyperlink"/>
          <w:b/>
          <w:bCs/>
          <w:color w:val="000000"/>
          <w:sz w:val="20"/>
          <w:szCs w:val="20"/>
          <w:u w:val="none" w:color="0000EE"/>
          <w:vertAlign w:val="superscript"/>
          <w:lang w:val="el" w:eastAsia="el"/>
        </w:rPr>
        <w:footnoteReference w:id="12"/>
      </w:r>
      <w:r>
        <w:rPr>
          <w:rStyle w:val="Hyperlink"/>
          <w:b/>
          <w:bCs/>
          <w:color w:val="000000"/>
          <w:sz w:val="20"/>
          <w:szCs w:val="20"/>
          <w:u w:val="none" w:color="0000EE"/>
          <w:vertAlign w:val="superscript"/>
          <w:lang w:val="el" w:eastAsia="el"/>
        </w:rPr>
        <w:footnoteReference w:id="13"/>
      </w:r>
      <w:r>
        <w:rPr>
          <w:b/>
          <w:bCs/>
          <w:lang w:val="el" w:eastAsia="el"/>
        </w:rPr>
        <w:t>Κατά την εισαγωγή μη υποκείμενων σε ειδικό φόρο κατανάλωσης αγαθών ο φόρος προστιθεμένης αξίας που βεβαιώνεται επί του οικείου τελωνειακού παραστατικού δεν εισπράττεται από την αρμόδια τελωνειακή αρχή εισαγωγής, υπό την προϋπόθεση ότι αναγράφεται στην περιοδική δήλωση ΦΠΑ του εισαγωγέα και εφόσον πληρούνται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εισαγωγέας είναι μη εγκατεστημένο στη χώρα μας υποκείμενο στο φόρο πρόσωπο.</w:t>
      </w:r>
    </w:p>
    <w:p>
      <w:pPr>
        <w:pStyle w:val="StructureList1"/>
        <w:spacing w:before="120" w:after="0"/>
        <w:rPr>
          <w:lang w:val="el" w:eastAsia="el"/>
        </w:rPr>
      </w:pPr>
      <w:r>
        <w:rPr>
          <w:b/>
          <w:bCs/>
          <w:lang w:val="el" w:eastAsia="el"/>
        </w:rPr>
        <w:t>β)</w:t>
      </w:r>
      <w:r>
        <w:rPr>
          <w:b/>
          <w:bCs/>
          <w:lang w:val="en" w:eastAsia="en"/>
        </w:rPr>
        <w:tab/>
      </w:r>
      <w:r>
        <w:rPr>
          <w:b/>
          <w:bCs/>
          <w:lang w:val="el" w:eastAsia="el"/>
        </w:rPr>
        <w:t>Η πραγματοποιούμενη στατιστική αξία των εισαγωγών ανέρχεται σε ετήσια βάση σε τουλάχιστον 250.000.000 ευρώ. Κατά τα πέντε (5) πρώτα έτη ένταξης στο καθεστώς αναστολής καταβολής του ΦΠΑ κατά την εισαγωγή, το ανωτέρω όριο προσδιορίζεται σε 100.000.000 ευρώ ετησίως.</w:t>
      </w:r>
    </w:p>
    <w:p>
      <w:pPr>
        <w:pStyle w:val="StructureList1"/>
        <w:spacing w:before="120" w:after="0"/>
        <w:rPr>
          <w:lang w:val="el" w:eastAsia="el"/>
        </w:rPr>
      </w:pPr>
      <w:r>
        <w:rPr>
          <w:b/>
          <w:bCs/>
          <w:lang w:val="el" w:eastAsia="el"/>
        </w:rPr>
        <w:t>γ)</w:t>
      </w:r>
      <w:r>
        <w:rPr>
          <w:b/>
          <w:bCs/>
          <w:lang w:val="en" w:eastAsia="en"/>
        </w:rPr>
        <w:tab/>
      </w:r>
      <w:r>
        <w:rPr>
          <w:b/>
          <w:bCs/>
          <w:lang w:val="el" w:eastAsia="el"/>
        </w:rPr>
        <w:t>Ποσοστό άνω του 90% της αξίας των εισαγόμενων αγαθών σε ετήσια βάση παραδίδεται σε άλλες χώρες της Ευρωπαϊκής Ένωσης ή τρίτες χώρες.</w:t>
      </w:r>
    </w:p>
    <w:p>
      <w:pPr>
        <w:pStyle w:val="StructureList1"/>
        <w:spacing w:before="120" w:after="0"/>
        <w:rPr>
          <w:lang w:val="el" w:eastAsia="el"/>
        </w:rPr>
      </w:pPr>
      <w:r>
        <w:rPr>
          <w:b/>
          <w:bCs/>
          <w:lang w:val="el" w:eastAsia="el"/>
        </w:rPr>
        <w:t>δ)</w:t>
      </w:r>
      <w:r>
        <w:rPr>
          <w:b/>
          <w:bCs/>
          <w:lang w:val="en" w:eastAsia="en"/>
        </w:rPr>
        <w:tab/>
      </w:r>
      <w:r>
        <w:rPr>
          <w:b/>
          <w:bCs/>
          <w:lang w:val="el" w:eastAsia="el"/>
        </w:rPr>
        <w:t>Παρέχεται άδεια από τη Γενική Γραμματεία Δημοσίων Εσόδων για την έκδοση της οποίας λαμβάνονται υπόψη στοιχεία όπως χρηματοπιστωτική φερεγγυότητα, συμμόρφωση προς τις τελωνειακές απαιτήσεις, δυνατότητα παροχής οποιουδήποτε εγγράφου ή πληροφορίας ζητηθεί από τις αρμόδιες τελωνειακές αρχές. Στη σχετική άδεια αναφέρονται ρητά οι εταιρείες του Ομίλου που θα δραστηριοποιούνται στο πλαίσιο εφαρμογής της παρούσας διάταξης.</w:t>
      </w:r>
    </w:p>
    <w:p>
      <w:pPr>
        <w:spacing w:before="240" w:after="240"/>
        <w:rPr>
          <w:lang w:val="el" w:eastAsia="el"/>
        </w:rPr>
      </w:pPr>
      <w:r>
        <w:rPr>
          <w:b/>
          <w:bCs/>
          <w:lang w:val="el" w:eastAsia="el"/>
        </w:rPr>
        <w:t>Επί εισαγωγής αγαθών από εισαγωγέα που ανήκει σε όμιλο εταιρειών, οι ανωτέρω προϋποθέσεις β` και γ` υπολογίζονται για το σύνολο των εταιρειών του Ομίλου που ορίζονται στην άδεια.</w:t>
      </w:r>
    </w:p>
    <w:p>
      <w:pPr>
        <w:spacing w:before="240" w:after="240"/>
        <w:rPr>
          <w:lang w:val="el" w:eastAsia="el"/>
        </w:rPr>
      </w:pPr>
      <w:r>
        <w:rPr>
          <w:b/>
          <w:bCs/>
          <w:lang w:val="el" w:eastAsia="el"/>
        </w:rPr>
        <w:t>β. Ως «όμιλος εταιρειών» νοείται κάθε όμιλος που περιλαμβάνει ελέγχουσα και ελεγχόμενες εταιρείες.</w:t>
      </w:r>
    </w:p>
    <w:p>
      <w:pPr>
        <w:spacing w:before="240" w:after="240"/>
        <w:rPr>
          <w:lang w:val="el" w:eastAsia="el"/>
        </w:rPr>
      </w:pPr>
      <w:r>
        <w:rPr>
          <w:b/>
          <w:bCs/>
          <w:lang w:val="el" w:eastAsia="el"/>
        </w:rPr>
        <w:t>Ως «ελέγχουσα εταιρεία» νοείται εταιρεία του Ομίλου που ασκεί επιρροή, άμεση ή έμμεση, σε άλλη εταιρεία η οποία καλείται ελεγχόμενη λόγω των δικαιωμάτων κυριότητας, χρηματοοικονομικής συμμετοχής ή ειδικών κανόνων δικαίου.</w:t>
      </w:r>
    </w:p>
    <w:p>
      <w:pPr>
        <w:spacing w:before="240" w:after="240"/>
        <w:rPr>
          <w:lang w:val="el" w:eastAsia="el"/>
        </w:rPr>
      </w:pPr>
      <w:r>
        <w:rPr>
          <w:b/>
          <w:bCs/>
          <w:lang w:val="el" w:eastAsia="el"/>
        </w:rPr>
        <w:t>γ. Αν μετά την υπαγωγή του εισαγωγέα στην παρούσα διάταξη διαπιστωθεί ότι δεν πληρούται μία από τις ανωτέρω προϋποθέσεις α`, β` ή γ`:</w:t>
      </w:r>
    </w:p>
    <w:p>
      <w:pPr>
        <w:spacing w:before="240" w:after="240"/>
        <w:rPr>
          <w:lang w:val="el" w:eastAsia="el"/>
        </w:rPr>
      </w:pPr>
      <w:r>
        <w:rPr>
          <w:b/>
          <w:bCs/>
          <w:lang w:val="el" w:eastAsia="el"/>
        </w:rPr>
        <w:t>(αα) η άδεια της ανωτέρω περίπτωσης δ` ανακαλείται,</w:t>
      </w:r>
    </w:p>
    <w:p>
      <w:pPr>
        <w:spacing w:before="240" w:after="240"/>
        <w:rPr>
          <w:lang w:val="el" w:eastAsia="el"/>
        </w:rPr>
      </w:pPr>
      <w:r>
        <w:rPr>
          <w:b/>
          <w:bCs/>
          <w:lang w:val="el" w:eastAsia="el"/>
        </w:rPr>
        <w:t>(ββ) τελωνειακή οφειλή γεννάται για την αξία των ει- σαγομένων αγαθών που αποδεδειγμένα, βάσει ελέγχου της αρμόδιας ΕΛ.Υ.Τ, δεν έχουν αποτελέσει αντικείμενο εξαγωγής ή παράδοσης σε άλλο κράτος - μέλος.</w:t>
      </w:r>
    </w:p>
    <w:p>
      <w:pPr>
        <w:spacing w:before="240" w:after="240"/>
        <w:rPr>
          <w:lang w:val="el" w:eastAsia="el"/>
        </w:rPr>
      </w:pPr>
      <w:r>
        <w:rPr>
          <w:b/>
          <w:bCs/>
          <w:lang w:val="el" w:eastAsia="el"/>
        </w:rPr>
        <w:t>Με απόφαση του Υπουργού Οικονομικών ορίζονται οι όροι και οι προϋποθέσεις έκδοσης της άδειας, καθώς και κάθε άλλο σχετικό ζήτημα εφαρμογής της ανωτέρω διάταξης.</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4"/>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5"/>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6"/>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
      </w:r>
      <w:r>
        <w:rPr>
          <w:rStyle w:val="article-num"/>
          <w:b/>
          <w:bCs/>
          <w:lang w:val="el" w:eastAsia="el"/>
        </w:rPr>
        <w:t>Άρθρο 32</w:t>
      </w:r>
      <w:r>
        <w:rPr>
          <w:rStyle w:val="article-num"/>
          <w:b/>
          <w:bCs/>
          <w:sz w:val="30"/>
          <w:szCs w:val="30"/>
          <w:vertAlign w:val="superscript"/>
          <w:lang w:val="el" w:eastAsia="el"/>
        </w:rPr>
        <w:t>Α</w:t>
      </w:r>
    </w:p>
    <w:p>
      <w:pPr>
        <w:spacing w:before="240" w:after="240"/>
        <w:rPr>
          <w:lang w:val="el" w:eastAsia="el"/>
        </w:rPr>
      </w:pPr>
      <w:r>
        <w:rPr>
          <w:b/>
          <w:bCs/>
          <w:lang w:val="el" w:eastAsia="el"/>
        </w:rPr>
        <w:t>Ποσά τα οποία εισπράττονται από τη Δ/νση Διαχείρισης Δημοσίου, ως προϊόν εκποίησης υλικών και τροχοφόρων κυριότητας Ο.Τ.Α., Ν.Π.Δ.Δ., Ν.Π.Ι.Δ. εποπτευομένων από το Δημόσιο και εταιρειών του ευρύτερου Δημόσιου τομέα, για λογαριασμό τους, αποδίδονται στους δικαιούχους άτοκα σε ποσοστό 75% του εισπραχθέντος τιμήματος.</w:t>
      </w:r>
    </w:p>
    <w:p>
      <w:pPr>
        <w:spacing w:before="240" w:after="240"/>
        <w:rPr>
          <w:lang w:val="el" w:eastAsia="el"/>
        </w:rPr>
      </w:pPr>
      <w:r>
        <w:rPr>
          <w:b/>
          <w:bCs/>
          <w:lang w:val="el" w:eastAsia="el"/>
        </w:rPr>
        <w:t>Ομοίως, τακτοποιούνται όλες οι εκκρεμείς, κατά τη δημοσίευση του παρόντος, μη αποδοθείσες απαιτήσεις τρίτων προερχομένων από τη λειτουργία του τέως Οργανισμού Διαχείρισης Δημόσιου Υλικού Α.Ε. (Ο.Δ.Δ.Υ.Α.Ε.). Ο χρόνος παραγραφής των χρηματικών αξιώσεων του προηγουμένου εδαφίου παρατείνεται ως 31−12−2016. Με απόφαση του Υπουργού Οικονομικών είναι δυνατή η αναπροσαρμογή του ποσοστού απόδοσης.</w:t>
      </w:r>
    </w:p>
    <w:p>
      <w:pPr>
        <w:spacing w:before="240" w:after="240"/>
        <w:rPr>
          <w:lang w:val="el" w:eastAsia="el"/>
        </w:rPr>
      </w:pPr>
      <w:r>
        <w:rPr>
          <w:b/>
          <w:bCs/>
          <w:lang w:val="el" w:eastAsia="el"/>
        </w:rPr>
        <w:t>Με απόφαση του Γενικού Γραμματέα Δημοσίων Εσόδων καθορίζονται οι λεπτομέρειες για την εφαρμογή της διαδικασίας απόδοσης των σχετικών ποσών στους δικαιούχους.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8"/>
      </w:r>
      <w:r>
        <w:rPr>
          <w:b/>
          <w:bCs/>
          <w:lang w:val="el" w:eastAsia="el"/>
        </w:rPr>
        <w:t>Ειδικά για τις αποθήκες τελωνειακής αποταμίευσης στις οποίες κατέχονται ενεργειακά προϊόντα του άρθρου 73, εκτός των υγραερίων των περιπτώσεων ιγ`, ιδ` και ιε` της παραγράφου 1 του ίδιου, άρθρου, εγκαθίστανται ολοκληρωμένα συστήματα ηλεκτρονικού ελέγχου εισροών εκροών στα οποία, συνδέεται υποχρεωτικά φορολογικός ηλεκτρονικός μηχανισμός.</w:t>
      </w:r>
    </w:p>
    <w:p>
      <w:pPr>
        <w:spacing w:before="240" w:after="240"/>
        <w:rPr>
          <w:lang w:val="el" w:eastAsia="el"/>
        </w:rPr>
      </w:pPr>
      <w:r>
        <w:rPr>
          <w:b/>
          <w:bCs/>
          <w:lang w:val="el" w:eastAsia="el"/>
        </w:rPr>
        <w:t>Με κοινή απόφαση των Υπουργών Οικονομικών και Ανάπτυξης και Ανταγωνιστικότητας, καθορίζονται οι προδιαγραφές και ρυθμίζονται τα θέματα εγκατάστασης των συστημάτων ελέγχου εισροών - 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9"/>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
      </w:r>
      <w:r>
        <w:rPr>
          <w:rStyle w:val="Hyperlink"/>
          <w:b/>
          <w:bCs/>
          <w:color w:val="000000"/>
          <w:sz w:val="20"/>
          <w:szCs w:val="20"/>
          <w:u w:val="none" w:color="0000EE"/>
          <w:vertAlign w:val="superscript"/>
          <w:lang w:val="el" w:eastAsia="el"/>
        </w:rPr>
        <w:footnoteReference w:id="21"/>
      </w: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Οι ελεύθερες ζώνες και οι ελεύθερες αποθήκες αποτελούν τμήματα του τελωνειακού εδάφους της χώρας, διακριτά από το υπόλοιπο τελωνειακό έδαφος, όπου εμπορεύματα τρίτων χωρών που αποτιθενται σε αυτές θεωρούνται ως προς την εφαρμογή των εισαγωγικών δασμών, φόρων και μέτρων εμπορικής πολιτικής ως μη ευρισκόμενα στο τελωνειακό έδαφος της χώρας.</w:t>
      </w:r>
    </w:p>
    <w:p>
      <w:pPr>
        <w:spacing w:before="240" w:after="240"/>
        <w:rPr>
          <w:lang w:val="el" w:eastAsia="el"/>
        </w:rPr>
      </w:pPr>
      <w:r>
        <w:rPr>
          <w:b/>
          <w:bCs/>
          <w:lang w:val="el" w:eastAsia="el"/>
        </w:rPr>
        <w:t>Εγχώρια εμπορεύματα ή εμπορεύματα τελούντα σε ελεύθερη κυκλοφορία, όταν αποτιθενται σε χώρους ελεύθερων ζωνών, προορίζονται κατά κανόνα για εξαγωγή.</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Συνιστώνται ή καταργούνται ελεύθερες ζώνες ή ελεύθερες αποθήκες, ή τροποποιούνται τα όρια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Ορίζεται ο Φορέας Διοίκησης ή και Διαχείρισης της ελεύθερης ζώνης ή της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Προσδιορίζονται οι όροι λειτουργίας, διαχείρισης και ελέγχου αυτών, καθώς και οι όροι διακίνησης, παραμονής και διαχείρισης των εμπορευμάτων σε αυτές.</w:t>
      </w:r>
    </w:p>
    <w:p>
      <w:pPr>
        <w:pStyle w:val="StructureList1"/>
        <w:spacing w:before="120" w:after="0"/>
        <w:rPr>
          <w:lang w:val="el" w:eastAsia="el"/>
        </w:rPr>
      </w:pPr>
      <w:r>
        <w:rPr>
          <w:b/>
          <w:bCs/>
          <w:lang w:val="el" w:eastAsia="el"/>
        </w:rPr>
        <w:t>δ)</w:t>
      </w:r>
      <w:r>
        <w:rPr>
          <w:b/>
          <w:bCs/>
          <w:lang w:val="en" w:eastAsia="en"/>
        </w:rPr>
        <w:tab/>
      </w:r>
      <w:r>
        <w:rPr>
          <w:b/>
          <w:bCs/>
          <w:lang w:val="el" w:eastAsia="el"/>
        </w:rPr>
        <w:t>Προσδιορίζεται η ευθύνη και οι αρμοδιότητες του διαχειριστή αυτών κατά τρόπο που να διασφαλίζεται η ακώλυτη διενέργεια του κοινοτικού και διεθνούς εμπορίου.</w:t>
      </w:r>
    </w:p>
    <w:p>
      <w:pPr>
        <w:pStyle w:val="MainText"/>
        <w:spacing w:before="120" w:after="0"/>
        <w:rPr>
          <w:lang w:val="el" w:eastAsia="el"/>
        </w:rPr>
      </w:pPr>
      <w:r>
        <w:rPr>
          <w:b/>
          <w:bCs/>
          <w:lang w:val="el" w:eastAsia="el"/>
        </w:rPr>
        <w:t>3.</w:t>
      </w:r>
      <w:r>
        <w:rPr>
          <w:b/>
          <w:bCs/>
          <w:lang w:val="el" w:eastAsia="el"/>
        </w:rPr>
        <w:t xml:space="preserve"> Για τη σύσταση ελεύθερης ζώνης και ελεύθερης αποθήκης απαιτείται προηγούμενη γνώμη του Υπουργού Ανάπτυξης, Ανταγωνιστικότητας και Ναυτιλίας και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Του Υπουργού Εξωτερικών, όταν η ελεύθερη ζώνη συνίσταται με αίτηση Φορέα Διοίκησης ή και Εκμετάλλευσης της ελεύθερης ζώνης ή της ελεύθερης αποθήκης στον οποίο συμμετέχουν φυσικά ή νομικά πρόσωπα εγκατεστημένα εκτός της Ελληνικής Επικράτειας.</w:t>
      </w:r>
    </w:p>
    <w:p>
      <w:pPr>
        <w:pStyle w:val="StructureList1"/>
        <w:spacing w:before="120" w:after="0"/>
        <w:rPr>
          <w:lang w:val="el" w:eastAsia="el"/>
        </w:rPr>
      </w:pPr>
      <w:r>
        <w:rPr>
          <w:b/>
          <w:bCs/>
          <w:lang w:val="el" w:eastAsia="el"/>
        </w:rPr>
        <w:t>β)</w:t>
      </w:r>
      <w:r>
        <w:rPr>
          <w:b/>
          <w:bCs/>
          <w:lang w:val="en" w:eastAsia="en"/>
        </w:rPr>
        <w:tab/>
      </w:r>
      <w:r>
        <w:rPr>
          <w:b/>
          <w:bCs/>
          <w:lang w:val="el" w:eastAsia="el"/>
        </w:rPr>
        <w:t>Του Υπουργού Εθνικής Άμυνας, εφόσον οι ελεύθερες ζώνες ή αποθήκες συνιστώνται σε παραμεθόριες περιοχές.</w:t>
      </w:r>
    </w:p>
    <w:p>
      <w:pPr>
        <w:pStyle w:val="MainText"/>
        <w:spacing w:before="120" w:after="0"/>
        <w:rPr>
          <w:lang w:val="el" w:eastAsia="el"/>
        </w:rPr>
      </w:pPr>
      <w:r>
        <w:rPr>
          <w:b/>
          <w:bCs/>
          <w:lang w:val="el" w:eastAsia="el"/>
        </w:rPr>
        <w:t>4.</w:t>
      </w:r>
      <w:r>
        <w:rPr>
          <w:b/>
          <w:bCs/>
          <w:lang w:val="el" w:eastAsia="el"/>
        </w:rPr>
        <w:t xml:space="preserve"> Για την έκδοση της απόφασης σύστασης ελεύθερης ζώνης ή ελεύθερης αποθήκης υποβάλλεται αίτηση από το Φορέα Διοίκησης ή και Εκμετάλλευσης του χώρου όπου πρόκειται να συσταθεί η ελεύθερη ζώνη ή η ελεύθερη αποθήκη προς τη Γενική Διεύθυνση Τελωνείων και Ειδικών Φόρων Κατανάλωσης του Υπουργείου Οικονομικών.</w:t>
      </w:r>
    </w:p>
    <w:p>
      <w:pPr>
        <w:spacing w:before="240" w:after="240"/>
        <w:rPr>
          <w:lang w:val="el" w:eastAsia="el"/>
        </w:rPr>
      </w:pPr>
      <w:r>
        <w:rPr>
          <w:b/>
          <w:bCs/>
          <w:lang w:val="el" w:eastAsia="el"/>
        </w:rPr>
        <w:t>Στην κατά τα ανωτέρω αίτηση σύστασης επισυνάπτεται ή υποβάλλεται ηλεκτρονικά μελέτη σκοπιμότητας από την οποία πρέπει να προκύπτουν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εμπορευμάτων τρίτων χωρών σε συνδυασμό με τα γενικότερα οικονομικά οφέλη που αναμένονται από τη λειτουργία της.</w:t>
      </w:r>
    </w:p>
    <w:p>
      <w:pPr>
        <w:pStyle w:val="StructureList1"/>
        <w:spacing w:before="120" w:after="0"/>
        <w:rPr>
          <w:lang w:val="el" w:eastAsia="el"/>
        </w:rPr>
      </w:pPr>
      <w:r>
        <w:rPr>
          <w:b/>
          <w:bCs/>
          <w:lang w:val="el" w:eastAsia="el"/>
        </w:rPr>
        <w:t>β)</w:t>
      </w:r>
      <w:r>
        <w:rPr>
          <w:b/>
          <w:bCs/>
          <w:lang w:val="en" w:eastAsia="en"/>
        </w:rPr>
        <w:tab/>
      </w:r>
      <w:r>
        <w:rPr>
          <w:b/>
          <w:bCs/>
          <w:lang w:val="el" w:eastAsia="el"/>
        </w:rPr>
        <w:t>Ο προβλεπόμενος ή/και ο υπάρχων όγκος διακίνησης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παρεχόμενα για τη σωστή διοίκηση και εκμετάλλευση της ελεύθερης ζώνης εχέγγυα όπως και εκείνα για τη σωστή διαχείριση των εμπορευμάτων.</w:t>
      </w:r>
    </w:p>
    <w:p>
      <w:pPr>
        <w:pStyle w:val="MainText"/>
        <w:spacing w:before="120" w:after="0"/>
        <w:rPr>
          <w:lang w:val="el" w:eastAsia="el"/>
        </w:rPr>
      </w:pPr>
      <w:r>
        <w:rPr>
          <w:b/>
          <w:bCs/>
          <w:lang w:val="el" w:eastAsia="el"/>
        </w:rPr>
        <w:t>5.</w:t>
      </w:r>
      <w:r>
        <w:rPr>
          <w:b/>
          <w:bCs/>
          <w:lang w:val="el" w:eastAsia="el"/>
        </w:rPr>
        <w:t xml:space="preserve"> Η διοίκηση των ελεύθερων ζωνών ασκείται από νομικά πρόσωπα, των δε ελεύθερων αποθηκών ασκείται είτε από φυσικά είτε από νομικά πρόσωπα.</w:t>
      </w:r>
    </w:p>
    <w:p>
      <w:pPr>
        <w:pStyle w:val="MainText"/>
        <w:spacing w:before="120" w:after="0"/>
        <w:rPr>
          <w:lang w:val="el" w:eastAsia="el"/>
        </w:rPr>
      </w:pPr>
      <w:r>
        <w:rPr>
          <w:b/>
          <w:bCs/>
          <w:lang w:val="el" w:eastAsia="el"/>
        </w:rPr>
        <w:t>6.</w:t>
      </w:r>
      <w:r>
        <w:rPr>
          <w:b/>
          <w:bCs/>
          <w:lang w:val="el" w:eastAsia="el"/>
        </w:rPr>
        <w:t xml:space="preserve"> Στις ελεύθερες ζώνες και ελεύθερες αποθήκες επιτρέπεται με απόφαση του Υπουργού Οικονομικών, μετά από εισήγηση του Φορέα Διοίκησης αυτών, να ασκούνται δραστηριότητες βιομηχανικής ή και εμπορικής φύσης ή και παροχής υπηρεσιών από φυσικά ή νομικά πρόσωπα, εφόσον παρέχονται όλα τα εχέγγυα που κρίνονται απαραίτητα για τη διασφάλιση του συνόλου της τελωνειακής νομοθεσίας.</w:t>
      </w:r>
    </w:p>
    <w:p>
      <w:pPr>
        <w:pStyle w:val="MainText"/>
        <w:spacing w:before="120" w:after="0"/>
        <w:rPr>
          <w:lang w:val="el" w:eastAsia="el"/>
        </w:rPr>
      </w:pPr>
      <w:r>
        <w:rPr>
          <w:b/>
          <w:bCs/>
          <w:lang w:val="el" w:eastAsia="el"/>
        </w:rPr>
        <w:t>7.</w:t>
      </w:r>
      <w:r>
        <w:rPr>
          <w:b/>
          <w:bCs/>
          <w:lang w:val="el" w:eastAsia="el"/>
        </w:rPr>
        <w:t xml:space="preserve"> Τα μη κοινοτικά εμπορεύματα που έχουν αποτεθεί σε ελεύθερη ζώνη ή ελεύθερη αποθήκη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τίθενται σε ελεύθερη κυκλοφορία κατά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υποβάλλονται σε συνήθεις εργασίες, χωρίς άδεια της Τελωνειακής Αρχής, που εξασφαλίζουν τη διατήρηση τους, τη βελτίωση της εμφάνισης τους ή και της εμπορικής ποιότητας ή και αυτές που απαιτούνται για την προετοιμασία της διανομής ή και μεταπώλησης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υπάγονται στα καθεστώτα τελειοποίησης προς επανεξαγωγή, μεταποίησης υπό τελωνειακό έλεγχο, προσωρινής εισαγωγής με τους όρους που προβλέπονται από τα καθεστώτα αυτά.</w:t>
      </w:r>
    </w:p>
    <w:p>
      <w:pPr>
        <w:pStyle w:val="StructureList1"/>
        <w:spacing w:before="120" w:after="0"/>
        <w:rPr>
          <w:lang w:val="el" w:eastAsia="el"/>
        </w:rPr>
      </w:pPr>
      <w:r>
        <w:rPr>
          <w:b/>
          <w:bCs/>
          <w:lang w:val="el" w:eastAsia="el"/>
        </w:rPr>
        <w:t>δ)</w:t>
      </w:r>
      <w:r>
        <w:rPr>
          <w:b/>
          <w:bCs/>
          <w:lang w:val="en" w:eastAsia="en"/>
        </w:rPr>
        <w:tab/>
      </w:r>
      <w:r>
        <w:rPr>
          <w:b/>
          <w:bCs/>
          <w:lang w:val="el" w:eastAsia="el"/>
        </w:rPr>
        <w:t>Να εγκαταλείπονται υπέρ του Δημοσίου ή και να καταστρέφονται, χωρίς οι απαιτούμενες διαδικασίες να συνεπάγονται έξοδα για το Δημόσιο, ενώ τα υπολείμματα της καταστροφής λαμβάνουν έναν από τους τελωνειακούς προορισμούς που προβλέπονται για τα μη κοινοτικά εμπορεύματα.</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2"/>
      </w:r>
      <w:r>
        <w:rPr>
          <w:b/>
          <w:bCs/>
          <w:lang w:val="el" w:eastAsia="el"/>
        </w:rPr>
        <w:t>α) Επιχειρήσεις ναυπήγησης και επισκευής πλοίων δύνανται να λειτουργούν ως Ελεύθερα Τελωνειακά Συγκροτήματα με τους όρους και προϋποθέσεις που καθορίζονται με απόφαση του Γενικού Γραμματέα Δημοσίων Εσόδων.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Γενικού Γραμματέα Δημοσίων Εσόδων καθορίζεται η διαδικασία για την τροποποίηση και επέκταση των λειτουργούντων στην Ελλάδα Ελεύθερων Τελωνειακών Συγκροτημάτων, Ελεύθερων Τελωνειακών Χώρων και Χώρων Τελωνειακής Επίβλεψης.</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4"/>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5"/>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6"/>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7"/>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28"/>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29"/>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0"/>
      </w:r>
      <w:r>
        <w:rPr>
          <w:rStyle w:val="Hyperlink"/>
          <w:b/>
          <w:bCs/>
          <w:color w:val="000000"/>
          <w:sz w:val="20"/>
          <w:szCs w:val="20"/>
          <w:u w:val="none" w:color="0000EE"/>
          <w:vertAlign w:val="superscript"/>
          <w:lang w:val="el" w:eastAsia="el"/>
        </w:rPr>
        <w:footnoteReference w:id="31"/>
      </w:r>
      <w:r>
        <w:rPr>
          <w:b/>
          <w:bCs/>
          <w:lang w:val="el" w:eastAsia="el"/>
        </w:rPr>
        <w:t xml:space="preserve">Άρθρο 53Α </w:t>
      </w:r>
    </w:p>
    <w:p>
      <w:pPr>
        <w:pStyle w:val="Heading6"/>
        <w:spacing w:before="240" w:after="240"/>
        <w:rPr>
          <w:lang w:val="el" w:eastAsia="el"/>
        </w:rPr>
      </w:pPr>
      <w:r>
        <w:rPr>
          <w:b/>
          <w:bCs/>
          <w:lang w:val="el" w:eastAsia="el"/>
        </w:rPr>
        <w:t>Επιβολή Φόρου Κατανάλωσης-Βάση Υπολογισμού και Συντελεστές Φόρου-Βεβαίωση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Επιβάλλεται φόρος κατανάλωσης στα εισαγόμενα από τρίτες χώρες, προερχόμενα από άλλα Κράτη-Μέλη της Ευρωπαϊκής Ένωσης ή εγχωρίως παραγόμενα προϊόντα,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Στα υγρά αναπλήρωσης, τα οποία περιέχονται στα ηλεκτρονικά τσιγάρα του κωδικού Συνδυασμένης Ονοματολογίας 85437090 ή σε ειδικούς περιέκτες επανα- πλήρωσης ή φιαλίδια μίας χρήσης που προορίζονται να ενσωματωθούν σε συσκευές ηλεκτρονικού τσιγάρου, τα οποία κατατάσσονται στον κωδικό Σ.Ο. 38249092. Οι συσκευές ηλεκτρονικού τσιγάρου του κωδικού Σ.Ο. 85437090 δεν υπόκεινται σε Φόρο Κατανάλωσης, εφόσον αποτελούνται μόνο από την εξωτερική συσκευή και δεν περιέχουν υγρά τα οποία καταναλώνονται μέσω αυτής.</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καβουρδισμένο καφέ των κωδικών Σ.Ο. 0901 21 00 και 0901 22 00.</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μη καβουρδισμένο καφέ των κωδικών Σ.Ο. 0901 11 00 και 0901 12 00.</w:t>
      </w:r>
    </w:p>
    <w:p>
      <w:pPr>
        <w:pStyle w:val="StructureList1"/>
        <w:spacing w:before="120" w:after="0"/>
        <w:rPr>
          <w:lang w:val="el" w:eastAsia="el"/>
        </w:rPr>
      </w:pPr>
      <w:r>
        <w:rPr>
          <w:b/>
          <w:bCs/>
          <w:lang w:val="el" w:eastAsia="el"/>
        </w:rPr>
        <w:t>δ)</w:t>
      </w:r>
      <w:r>
        <w:rPr>
          <w:b/>
          <w:bCs/>
          <w:lang w:val="en" w:eastAsia="en"/>
        </w:rPr>
        <w:tab/>
      </w:r>
      <w:r>
        <w:rPr>
          <w:b/>
          <w:bCs/>
          <w:lang w:val="el" w:eastAsia="el"/>
        </w:rPr>
        <w:t>Στο στιγμιαίο καφέ του κωδικού Σ.Ο. ΕΧ 2101 11 00.</w:t>
      </w:r>
    </w:p>
    <w:p>
      <w:pPr>
        <w:pStyle w:val="StructureList1"/>
        <w:spacing w:before="120" w:after="0"/>
        <w:rPr>
          <w:lang w:val="el" w:eastAsia="el"/>
        </w:rPr>
      </w:pPr>
      <w:r>
        <w:rPr>
          <w:b/>
          <w:bCs/>
          <w:lang w:val="el" w:eastAsia="el"/>
        </w:rPr>
        <w:t>ε)</w:t>
      </w:r>
      <w:r>
        <w:rPr>
          <w:b/>
          <w:bCs/>
          <w:lang w:val="en" w:eastAsia="en"/>
        </w:rPr>
        <w:tab/>
      </w:r>
      <w:r>
        <w:rPr>
          <w:b/>
          <w:bCs/>
          <w:lang w:val="el" w:eastAsia="el"/>
        </w:rPr>
        <w:t>Στα παρασκευάσματα με βάση τα εκχυλίσματα, αποστάγματα ή συμπυκνώματα του καφέ ή με βάση τον καφέ των κωδικών Σ.Ο. EX 2101 12 92 και 2101 12 98.</w:t>
      </w:r>
    </w:p>
    <w:p>
      <w:pPr>
        <w:pStyle w:val="StructureList1"/>
        <w:spacing w:before="120" w:after="0"/>
        <w:rPr>
          <w:lang w:val="el" w:eastAsia="el"/>
        </w:rPr>
      </w:pPr>
      <w:r>
        <w:rPr>
          <w:b/>
          <w:bCs/>
          <w:lang w:val="el" w:eastAsia="el"/>
        </w:rPr>
        <w:t>στ)</w:t>
      </w:r>
      <w:r>
        <w:rPr>
          <w:b/>
          <w:bCs/>
          <w:lang w:val="en" w:eastAsia="en"/>
        </w:rPr>
        <w:tab/>
      </w:r>
      <w:r>
        <w:rPr>
          <w:b/>
          <w:bCs/>
          <w:lang w:val="el" w:eastAsia="el"/>
        </w:rPr>
        <w:t>στο μείγμα καπνού που περιέχεται στο ηλεκτρικά θερμαινόμενο προϊόν καπνού.</w:t>
      </w:r>
    </w:p>
    <w:p>
      <w:pPr>
        <w:pStyle w:val="MainText"/>
        <w:spacing w:before="120" w:after="0"/>
        <w:rPr>
          <w:lang w:val="el" w:eastAsia="el"/>
        </w:rPr>
      </w:pPr>
      <w:r>
        <w:rPr>
          <w:b/>
          <w:bCs/>
          <w:lang w:val="el" w:eastAsia="el"/>
        </w:rPr>
        <w:t>2.</w:t>
      </w:r>
      <w:r>
        <w:rPr>
          <w:b/>
          <w:bCs/>
          <w:lang w:val="el" w:eastAsia="el"/>
        </w:rPr>
        <w:t xml:space="preserve"> Οι συντελεστές φόρου κατανάλωσης που επιβάλλονται στα προϊόντα της παραγράφου 1 του παρόντος άρθρου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της περίπτωσης α`, δέκα λεπτά (0,10) ανά χιλιοστόλιτρο (ml) προϊόντος.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προϊόντα της περίπτωσης β`, τρία (3) ευρώ ανά κιλό καθαρού βάρους.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προϊόντα της περίπτωσης γ`, δύο (2) ευρώ ανά κιλό καθαρού βάρους.</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τα προϊόντα της περίπτωσης δ`, τέσσερα (4) ευρώ ανά κιλό καθαρού βάρους.</w:t>
      </w:r>
    </w:p>
    <w:p>
      <w:pPr>
        <w:pStyle w:val="StructureList1"/>
        <w:spacing w:before="120" w:after="0"/>
        <w:rPr>
          <w:lang w:val="el" w:eastAsia="el"/>
        </w:rPr>
      </w:pPr>
      <w:r>
        <w:rPr>
          <w:b/>
          <w:bCs/>
          <w:lang w:val="el" w:eastAsia="el"/>
        </w:rPr>
        <w:t>ε)</w:t>
      </w:r>
      <w:r>
        <w:rPr>
          <w:b/>
          <w:bCs/>
          <w:lang w:val="en" w:eastAsia="en"/>
        </w:rPr>
        <w:tab/>
      </w:r>
      <w:r>
        <w:rPr>
          <w:b/>
          <w:bCs/>
          <w:lang w:val="el" w:eastAsia="el"/>
        </w:rPr>
        <w:t>Γ ια τα προϊόντα της περίπτωσης ε`, τέσσερα (4) ευρώ ανά κιλό καθαρού βάρους που περιέχεται στο τελικό προϊόν.</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προϊόντα της περίπτωσης στ`, εκατόν πενήντα έξι ευρώ και εβδομήντα λεπτά (156,70 ευρώ) ανά χιλιόγραμμο καθαρού βάρους μείγματος καπνού του προϊόντος.</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ως «ηλεκτρονικό τσιγάρο» ορίζεται το προϊόν, το οποίο μπορεί να χρησιμοποιηθεί για κατανάλωση ατμού με επιστόμιο ή στοιχείο του εν λόγω προϊόντος, συμπεριλαμβανομένου του περιέκτη, του δοχείου και της συσκευής χωρίς περιέκτη ή δοχείο. Τα ηλεκτρονικά τσιγάρα μπορούν να είναι είτε επαναπληρώσιμα μέσω περιέκτη επαναπλήρωσης και δοχείου είτε επαναπληρώσιμα με περιέκτες μίας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Ως «περιέκτης επαναπλήρωσης» ορίζεται το δοχείο που περιέχει υγρό, το οποίο μπορεί να επαναχρησιμοποιηθεί για να επαναπληρώσει ηλεκτρονικό τσιγάρο.</w:t>
      </w:r>
    </w:p>
    <w:p>
      <w:pPr>
        <w:pStyle w:val="StructureList1"/>
        <w:spacing w:before="120" w:after="0"/>
        <w:rPr>
          <w:lang w:val="el" w:eastAsia="el"/>
        </w:rPr>
      </w:pPr>
      <w:r>
        <w:rPr>
          <w:b/>
          <w:bCs/>
          <w:lang w:val="el" w:eastAsia="el"/>
        </w:rPr>
        <w:t>γ)</w:t>
      </w:r>
      <w:r>
        <w:rPr>
          <w:b/>
          <w:bCs/>
          <w:lang w:val="en" w:eastAsia="en"/>
        </w:rPr>
        <w:tab/>
      </w:r>
      <w:r>
        <w:rPr>
          <w:b/>
          <w:bCs/>
          <w:lang w:val="el" w:eastAsia="el"/>
        </w:rPr>
        <w:t>Ως «παραγωγή καφέ», δεν νοείται η φρύξη (καβούρντισμα), η άλεση και η συσκευασία του τελικού προϊόντος.</w:t>
      </w:r>
    </w:p>
    <w:p>
      <w:pPr>
        <w:pStyle w:val="StructureList1"/>
        <w:spacing w:before="120" w:after="0"/>
        <w:rPr>
          <w:lang w:val="el" w:eastAsia="el"/>
        </w:rPr>
      </w:pPr>
      <w:r>
        <w:rPr>
          <w:b/>
          <w:bCs/>
          <w:lang w:val="el" w:eastAsia="el"/>
        </w:rPr>
        <w:t>δ)</w:t>
      </w:r>
      <w:r>
        <w:rPr>
          <w:b/>
          <w:bCs/>
          <w:lang w:val="en" w:eastAsia="en"/>
        </w:rPr>
        <w:tab/>
      </w:r>
      <w:r>
        <w:rPr>
          <w:b/>
          <w:bCs/>
          <w:lang w:val="el" w:eastAsia="el"/>
        </w:rPr>
        <w:t>Ως «εγκεκριμένος αποθηκευτής προϊόντων φόρου κατανάλωσης»: το φυσικό ή νομικό πρόσωπο που πα- ραλαμβάνει, κατέχει ή αποστέλλει κατά την άσκηση του επαγγέλματός του υποκείμενα σε φόρο κατανάλωσης προϊόντα τα οποία τελούν σε καθεστώς φορολογικής αποθήκης.</w:t>
      </w:r>
    </w:p>
    <w:p>
      <w:pPr>
        <w:pStyle w:val="StructureList1"/>
        <w:spacing w:before="120" w:after="0"/>
        <w:rPr>
          <w:lang w:val="el" w:eastAsia="el"/>
        </w:rPr>
      </w:pPr>
      <w:r>
        <w:rPr>
          <w:b/>
          <w:bCs/>
          <w:lang w:val="el" w:eastAsia="el"/>
        </w:rPr>
        <w:t>ε)</w:t>
      </w:r>
      <w:r>
        <w:rPr>
          <w:b/>
          <w:bCs/>
          <w:lang w:val="en" w:eastAsia="en"/>
        </w:rPr>
        <w:tab/>
      </w:r>
      <w:r>
        <w:rPr>
          <w:b/>
          <w:bCs/>
          <w:lang w:val="el" w:eastAsia="el"/>
        </w:rPr>
        <w:t>ως «ηλεκτρικά θερμαινόμενο προϊόν καπνού»: το προϊόν καπνού σε μορφή κυλίνδρου που αποτελείται από κοινό φίλτρο, φίλτρο αναδιπλωμένης πολυμερικής μεμβράνης, κοίλο κύλινδρο και μικρή στήλη που περιέχει αναδιπλωμένο φύλλο αναγεννημένου καπνού με τρόπο ώστε να σχηματίζονται πρισματοειδείς αυλοί κατά μήκος του, συσκευασμένο σε τσιγαρόχαρτο, το οποίο προορίζεται για κάπνισμα με τη χρήση μιας ειδικής συσκευής θέρμανσης από την οποία παράγεται αερόλυμα (καπνός).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2"/>
      </w: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υπόκεινται τα προϊόντα του άρθρου 53, τα οποία παράγονται ή εξορύσσονται, ανάλογα με την περίπτωση, στο εσωτερικό της χώρας, προέρχονται από άλλα κράτη-μέλη ή εισάγονται στο εσωτερικό της χώρας.</w:t>
      </w:r>
    </w:p>
    <w:p>
      <w:pPr>
        <w:pStyle w:val="MainText"/>
        <w:spacing w:before="120" w:after="0"/>
        <w:rPr>
          <w:lang w:val="el" w:eastAsia="el"/>
        </w:rPr>
      </w:pPr>
      <w:r>
        <w:rPr>
          <w:b/>
          <w:bCs/>
          <w:lang w:val="el" w:eastAsia="el"/>
        </w:rPr>
        <w:t>2.</w:t>
      </w:r>
      <w:r>
        <w:rPr>
          <w:b/>
          <w:bCs/>
          <w:lang w:val="el" w:eastAsia="el"/>
        </w:rPr>
        <w:t xml:space="preserve"> Επί των εισαγόμενων και εξαγόμενων προϊόντων του άρθρου 53 εφαρμόζονται οι διατάξεις της τελωνειακής και συναφούς με τον παρόντα κώδικα νομοθεσίας.</w:t>
      </w:r>
    </w:p>
    <w:p>
      <w:pPr>
        <w:pStyle w:val="MainText"/>
        <w:spacing w:before="120" w:after="0"/>
        <w:rPr>
          <w:lang w:val="el" w:eastAsia="el"/>
        </w:rPr>
      </w:pPr>
      <w:r>
        <w:rPr>
          <w:b/>
          <w:bCs/>
          <w:lang w:val="el" w:eastAsia="el"/>
        </w:rPr>
        <w:t>3.</w:t>
      </w:r>
      <w:r>
        <w:rPr>
          <w:b/>
          <w:bCs/>
          <w:lang w:val="el" w:eastAsia="el"/>
        </w:rPr>
        <w:t xml:space="preserve"> Οι διατυπώσεις που προβλέπονται από τις κοινοτικές τελωνειακές διατάξεις για την είσοδο εμπορευμάτων στο τελωνειακό έδαφος της Κοινότητας εφαρμόζονται κατ` αναλογία κατά την είσοδο υποκειμένων σε ειδικό φόρο κατανάλωσης προϊόντων στην Κοινότητα από έδαφος που αναφέρεται στην παράγραφο 5 του παρόντος άρθρου.</w:t>
      </w:r>
    </w:p>
    <w:p>
      <w:pPr>
        <w:spacing w:before="240" w:after="240"/>
        <w:rPr>
          <w:lang w:val="el" w:eastAsia="el"/>
        </w:rPr>
      </w:pPr>
      <w:r>
        <w:rPr>
          <w:b/>
          <w:bCs/>
          <w:lang w:val="el" w:eastAsia="el"/>
        </w:rPr>
        <w:t>Οι διατυπώσεις που προβλέπονται από τις κοινοτικές τελωνειακές διατάξεις για την έξοδο εμπορευμάτων από το τελωνειακό έδαφος της Κοινότητας εφαρμόζονται κατ` αναλογία κατά την έξοδο υποκειμένων σε ειδικό φόρο κατανάλωσης προϊόντων από την Κοινότητα προς έδαφος που αναφέρεται στην παράγραφο 5 του παρόντος άρθρου.</w:t>
      </w:r>
    </w:p>
    <w:p>
      <w:pPr>
        <w:pStyle w:val="MainText"/>
        <w:spacing w:before="120" w:after="0"/>
        <w:rPr>
          <w:lang w:val="el" w:eastAsia="el"/>
        </w:rPr>
      </w:pPr>
      <w:r>
        <w:rPr>
          <w:b/>
          <w:bCs/>
          <w:lang w:val="el" w:eastAsia="el"/>
        </w:rPr>
        <w:t>4.</w:t>
      </w:r>
      <w:r>
        <w:rPr>
          <w:b/>
          <w:bCs/>
          <w:lang w:val="el" w:eastAsia="el"/>
        </w:rPr>
        <w:t xml:space="preserve"> Οι διατάξεις του τμήματος Β` του κεφαλαίου Α`, καθώς και οι διατάξεις οι σχετικές με τη διακίνηση και τον έλεγχο του τμήματος Β` του κεφαλαίου Γ` του τρίτου μέρους του παρόντος Κώδικα δεν εφαρμόζονται στα υποκείμενα σε ειδικό φόρο κατανάλωσης προϊόντα που καλύπτονται από τελωνειακή διαδικασία αναστολής ή τελωνειακό καθεστώς αναστολής.</w:t>
      </w:r>
    </w:p>
    <w:p>
      <w:pPr>
        <w:pStyle w:val="MainText"/>
        <w:spacing w:before="120" w:after="0"/>
        <w:rPr>
          <w:lang w:val="el" w:eastAsia="el"/>
        </w:rPr>
      </w:pPr>
      <w:r>
        <w:rPr>
          <w:b/>
          <w:bCs/>
          <w:lang w:val="el" w:eastAsia="el"/>
        </w:rPr>
        <w:t>5.</w:t>
      </w:r>
      <w:r>
        <w:rPr>
          <w:b/>
          <w:bCs/>
          <w:lang w:val="el" w:eastAsia="el"/>
        </w:rPr>
        <w:t xml:space="preserve"> θεωρούνται ως προϊόντα εισαγόμενα στο εσωτερικό της χώρας, τα προϊόντα που προέρχονται από τα ακόλουθα εδάφη, τα οποία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Κανάριοι Νήσοι,</w:t>
      </w:r>
    </w:p>
    <w:p>
      <w:pPr>
        <w:pStyle w:val="StructureList1"/>
        <w:spacing w:before="120" w:after="0"/>
        <w:rPr>
          <w:lang w:val="el" w:eastAsia="el"/>
        </w:rPr>
      </w:pPr>
      <w:r>
        <w:rPr>
          <w:b/>
          <w:bCs/>
          <w:lang w:val="el" w:eastAsia="el"/>
        </w:rPr>
        <w:t>β)</w:t>
      </w:r>
      <w:r>
        <w:rPr>
          <w:b/>
          <w:bCs/>
          <w:lang w:val="en" w:eastAsia="en"/>
        </w:rPr>
        <w:tab/>
      </w:r>
      <w:r>
        <w:rPr>
          <w:b/>
          <w:bCs/>
          <w:lang w:val="el" w:eastAsia="el"/>
        </w:rPr>
        <w:t>Γαλλικά υπερπόντια διαμερίσματα,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Νήσοι ¶αλαντ,</w:t>
      </w:r>
    </w:p>
    <w:p>
      <w:pPr>
        <w:pStyle w:val="StructureList1"/>
        <w:spacing w:before="120" w:after="0"/>
        <w:rPr>
          <w:lang w:val="el" w:eastAsia="el"/>
        </w:rPr>
      </w:pPr>
      <w:r>
        <w:rPr>
          <w:b/>
          <w:bCs/>
          <w:lang w:val="el" w:eastAsia="el"/>
        </w:rPr>
        <w:t>δ)</w:t>
      </w:r>
      <w:r>
        <w:rPr>
          <w:b/>
          <w:bCs/>
          <w:lang w:val="en" w:eastAsia="en"/>
        </w:rPr>
        <w:tab/>
      </w:r>
      <w:r>
        <w:rPr>
          <w:b/>
          <w:bCs/>
          <w:lang w:val="el" w:eastAsia="el"/>
        </w:rPr>
        <w:t>Αγγλονορμανδικές Νήσοι.</w:t>
      </w:r>
    </w:p>
    <w:p>
      <w:pPr>
        <w:spacing w:before="240" w:after="240"/>
        <w:rPr>
          <w:lang w:val="el" w:eastAsia="el"/>
        </w:rPr>
      </w:pPr>
      <w:r>
        <w:rPr>
          <w:b/>
          <w:bCs/>
          <w:lang w:val="el" w:eastAsia="el"/>
        </w:rPr>
        <w:t>Οι περιπτώσεις α` και β παύουν να ισχύουν από την πρώτη ημέρα του δεύτερου μήνα που ακολουθεί την κατάθεση σχετικής δήλωσης της Ισπανίας ή της Γαλλίας αντίστοιχα, για τα προϊόντα που θα περιλαμβάνονται στη δήλωση αυτή.</w:t>
      </w:r>
    </w:p>
    <w:p>
      <w:pPr>
        <w:pStyle w:val="MainText"/>
        <w:spacing w:before="120" w:after="0"/>
        <w:rPr>
          <w:lang w:val="el" w:eastAsia="el"/>
        </w:rPr>
      </w:pPr>
      <w:r>
        <w:rPr>
          <w:b/>
          <w:bCs/>
          <w:lang w:val="el" w:eastAsia="el"/>
        </w:rPr>
        <w:t>6.</w:t>
      </w:r>
      <w:r>
        <w:rPr>
          <w:b/>
          <w:bCs/>
          <w:lang w:val="el" w:eastAsia="el"/>
        </w:rPr>
        <w:t xml:space="preserve"> θεωρούνται επίσης ως προϊόντα εισαγόμενα στο εσωτερικό της χώρας, τα προϊόντα που προέρχονται από τα ακόλουθα εδάφη, τα οποία δεν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Νήσος Ελιγολάνδη,</w:t>
      </w:r>
    </w:p>
    <w:p>
      <w:pPr>
        <w:pStyle w:val="StructureList1"/>
        <w:spacing w:before="120" w:after="0"/>
        <w:rPr>
          <w:lang w:val="el" w:eastAsia="el"/>
        </w:rPr>
      </w:pPr>
      <w:r>
        <w:rPr>
          <w:b/>
          <w:bCs/>
          <w:lang w:val="el" w:eastAsia="el"/>
        </w:rPr>
        <w:t>β)</w:t>
      </w:r>
      <w:r>
        <w:rPr>
          <w:b/>
          <w:bCs/>
          <w:lang w:val="en" w:eastAsia="en"/>
        </w:rPr>
        <w:tab/>
      </w:r>
      <w:r>
        <w:rPr>
          <w:b/>
          <w:bCs/>
          <w:lang w:val="el" w:eastAsia="el"/>
        </w:rPr>
        <w:t>Έδαφος του Μπίζινγκεν,</w:t>
      </w:r>
    </w:p>
    <w:p>
      <w:pPr>
        <w:pStyle w:val="StructureList1"/>
        <w:spacing w:before="120" w:after="0"/>
        <w:rPr>
          <w:lang w:val="el" w:eastAsia="el"/>
        </w:rPr>
      </w:pPr>
      <w:r>
        <w:rPr>
          <w:b/>
          <w:bCs/>
          <w:lang w:val="el" w:eastAsia="el"/>
        </w:rPr>
        <w:t>γ)</w:t>
      </w:r>
      <w:r>
        <w:rPr>
          <w:b/>
          <w:bCs/>
          <w:lang w:val="en" w:eastAsia="en"/>
        </w:rPr>
        <w:tab/>
      </w:r>
      <w:r>
        <w:rPr>
          <w:b/>
          <w:bCs/>
          <w:lang w:val="el" w:eastAsia="el"/>
        </w:rPr>
        <w:t>Θέουτα,</w:t>
      </w:r>
    </w:p>
    <w:p>
      <w:pPr>
        <w:pStyle w:val="StructureList1"/>
        <w:spacing w:before="120" w:after="0"/>
        <w:rPr>
          <w:lang w:val="el" w:eastAsia="el"/>
        </w:rPr>
      </w:pPr>
      <w:r>
        <w:rPr>
          <w:b/>
          <w:bCs/>
          <w:lang w:val="el" w:eastAsia="el"/>
        </w:rPr>
        <w:t>δ)</w:t>
      </w:r>
      <w:r>
        <w:rPr>
          <w:b/>
          <w:bCs/>
          <w:lang w:val="en" w:eastAsia="en"/>
        </w:rPr>
        <w:tab/>
      </w:r>
      <w:r>
        <w:rPr>
          <w:b/>
          <w:bCs/>
          <w:lang w:val="el" w:eastAsia="el"/>
        </w:rPr>
        <w:t>Μελίλια,</w:t>
      </w:r>
    </w:p>
    <w:p>
      <w:pPr>
        <w:pStyle w:val="StructureList1"/>
        <w:spacing w:before="120" w:after="0"/>
        <w:rPr>
          <w:lang w:val="el" w:eastAsia="el"/>
        </w:rPr>
      </w:pPr>
      <w:r>
        <w:rPr>
          <w:b/>
          <w:bCs/>
          <w:lang w:val="el" w:eastAsia="el"/>
        </w:rPr>
        <w:t>ε)</w:t>
      </w:r>
      <w:r>
        <w:rPr>
          <w:b/>
          <w:bCs/>
          <w:lang w:val="en" w:eastAsia="en"/>
        </w:rPr>
        <w:tab/>
      </w:r>
      <w:r>
        <w:rPr>
          <w:b/>
          <w:bCs/>
          <w:lang w:val="el" w:eastAsia="el"/>
        </w:rPr>
        <w:t>Λιβίνιο,</w:t>
      </w:r>
    </w:p>
    <w:p>
      <w:pPr>
        <w:pStyle w:val="StructureList1"/>
        <w:spacing w:before="120" w:after="0"/>
        <w:rPr>
          <w:lang w:val="el" w:eastAsia="el"/>
        </w:rPr>
      </w:pPr>
      <w:r>
        <w:rPr>
          <w:b/>
          <w:bCs/>
          <w:lang w:val="el" w:eastAsia="el"/>
        </w:rPr>
        <w:t>στ)</w:t>
      </w:r>
      <w:r>
        <w:rPr>
          <w:b/>
          <w:bCs/>
          <w:lang w:val="en" w:eastAsia="en"/>
        </w:rPr>
        <w:tab/>
      </w:r>
      <w:r>
        <w:rPr>
          <w:b/>
          <w:bCs/>
          <w:lang w:val="el" w:eastAsia="el"/>
        </w:rPr>
        <w:t>Καμπιόνε ντ` Ιτάλια,</w:t>
      </w:r>
    </w:p>
    <w:p>
      <w:pPr>
        <w:pStyle w:val="StructureList1"/>
        <w:spacing w:before="120" w:after="0"/>
        <w:rPr>
          <w:lang w:val="el" w:eastAsia="el"/>
        </w:rPr>
      </w:pPr>
      <w:r>
        <w:rPr>
          <w:b/>
          <w:bCs/>
          <w:lang w:val="el" w:eastAsia="el"/>
        </w:rPr>
        <w:t>ζ)</w:t>
      </w:r>
      <w:r>
        <w:rPr>
          <w:b/>
          <w:bCs/>
          <w:lang w:val="en" w:eastAsia="en"/>
        </w:rPr>
        <w:tab/>
      </w:r>
      <w:r>
        <w:rPr>
          <w:b/>
          <w:bCs/>
          <w:lang w:val="el" w:eastAsia="el"/>
        </w:rPr>
        <w:t>Τα ιταλικά ύδατα της Λίμνης του Λουγκάνο,</w:t>
      </w:r>
    </w:p>
    <w:p>
      <w:pPr>
        <w:pStyle w:val="StructureList1"/>
        <w:spacing w:before="120" w:after="0"/>
        <w:rPr>
          <w:lang w:val="el" w:eastAsia="el"/>
        </w:rPr>
      </w:pPr>
      <w:r>
        <w:rPr>
          <w:b/>
          <w:bCs/>
          <w:lang w:val="el" w:eastAsia="el"/>
        </w:rPr>
        <w:t>η)</w:t>
      </w:r>
      <w:r>
        <w:rPr>
          <w:b/>
          <w:bCs/>
          <w:lang w:val="en" w:eastAsia="en"/>
        </w:rPr>
        <w:tab/>
      </w:r>
      <w:r>
        <w:rPr>
          <w:b/>
          <w:bCs/>
          <w:lang w:val="el" w:eastAsia="el"/>
        </w:rPr>
        <w:t>Το Γιβραλτάρ.</w:t>
      </w:r>
    </w:p>
    <w:p>
      <w:pPr>
        <w:pStyle w:val="MainText"/>
        <w:spacing w:before="120" w:after="0"/>
        <w:rPr>
          <w:lang w:val="el" w:eastAsia="el"/>
        </w:rPr>
      </w:pPr>
      <w:r>
        <w:rPr>
          <w:b/>
          <w:bCs/>
          <w:lang w:val="el" w:eastAsia="el"/>
        </w:rPr>
        <w:t>7.</w:t>
      </w:r>
      <w:r>
        <w:rPr>
          <w:b/>
          <w:bCs/>
          <w:lang w:val="el" w:eastAsia="el"/>
        </w:rPr>
        <w:t xml:space="preserve"> Για την εφαρμογή του τρίτου μέρους του παρόντος Κώδικα, η διακίνηση των υποκείμενων σε ειδικό φόρο κατανάλωσης προϊόντων από ή προς:</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Πριγκιπάτο του Μονακό, αντιμετωπίζεται ως διακίνηση από ή προς τη Γαλλία,</w:t>
      </w:r>
    </w:p>
    <w:p>
      <w:pPr>
        <w:pStyle w:val="StructureList1"/>
        <w:spacing w:before="120" w:after="0"/>
        <w:rPr>
          <w:lang w:val="el" w:eastAsia="el"/>
        </w:rPr>
      </w:pPr>
      <w:r>
        <w:rPr>
          <w:b/>
          <w:bCs/>
          <w:lang w:val="el" w:eastAsia="el"/>
        </w:rPr>
        <w:t>β)</w:t>
      </w:r>
      <w:r>
        <w:rPr>
          <w:b/>
          <w:bCs/>
          <w:lang w:val="en" w:eastAsia="en"/>
        </w:rPr>
        <w:tab/>
      </w:r>
      <w:r>
        <w:rPr>
          <w:b/>
          <w:bCs/>
          <w:lang w:val="el" w:eastAsia="el"/>
        </w:rPr>
        <w:t>τον Λγιο Μαρίνο, αντιμετωπίζεται ως διακίνηση από ή προς την Ιταλία,</w:t>
      </w:r>
    </w:p>
    <w:p>
      <w:pPr>
        <w:pStyle w:val="StructureList1"/>
        <w:spacing w:before="120" w:after="0"/>
        <w:rPr>
          <w:lang w:val="el" w:eastAsia="el"/>
        </w:rPr>
      </w:pPr>
      <w:r>
        <w:rPr>
          <w:b/>
          <w:bCs/>
          <w:lang w:val="el" w:eastAsia="el"/>
        </w:rPr>
        <w:t>γ)</w:t>
      </w:r>
      <w:r>
        <w:rPr>
          <w:b/>
          <w:bCs/>
          <w:lang w:val="en" w:eastAsia="en"/>
        </w:rPr>
        <w:tab/>
      </w:r>
      <w:r>
        <w:rPr>
          <w:b/>
          <w:bCs/>
          <w:lang w:val="el" w:eastAsia="el"/>
        </w:rPr>
        <w:t>τις περιοχές κυρίαρχων βάσεων του Ηνωμένου Βασιλείου στο Ακρωτήρι και τη Δεκέλεια, αντιμετωπίζεται ως διακίνηση από ή προς την Κύπρο,</w:t>
      </w:r>
    </w:p>
    <w:p>
      <w:pPr>
        <w:pStyle w:val="StructureList1"/>
        <w:spacing w:before="120" w:after="0"/>
        <w:rPr>
          <w:lang w:val="el" w:eastAsia="el"/>
        </w:rPr>
      </w:pPr>
      <w:r>
        <w:rPr>
          <w:b/>
          <w:bCs/>
          <w:lang w:val="el" w:eastAsia="el"/>
        </w:rPr>
        <w:t>δ)</w:t>
      </w:r>
      <w:r>
        <w:rPr>
          <w:b/>
          <w:bCs/>
          <w:lang w:val="en" w:eastAsia="en"/>
        </w:rPr>
        <w:tab/>
      </w:r>
      <w:r>
        <w:rPr>
          <w:b/>
          <w:bCs/>
          <w:lang w:val="el" w:eastAsia="el"/>
        </w:rPr>
        <w:t>τη νήσο του Μαν, αντιμετωπίζεται ως διακίνηση από ή προς το Ηνωμένο Βασίλειο,</w:t>
      </w:r>
    </w:p>
    <w:p>
      <w:pPr>
        <w:pStyle w:val="StructureList1"/>
        <w:spacing w:before="120" w:after="0"/>
        <w:rPr>
          <w:lang w:val="el" w:eastAsia="el"/>
        </w:rPr>
      </w:pPr>
      <w:r>
        <w:rPr>
          <w:b/>
          <w:bCs/>
          <w:lang w:val="el" w:eastAsia="el"/>
        </w:rPr>
        <w:t>ε)</w:t>
      </w:r>
      <w:r>
        <w:rPr>
          <w:b/>
          <w:bCs/>
          <w:lang w:val="en" w:eastAsia="en"/>
        </w:rPr>
        <w:tab/>
      </w:r>
      <w:r>
        <w:rPr>
          <w:b/>
          <w:bCs/>
          <w:lang w:val="el" w:eastAsia="el"/>
        </w:rPr>
        <w:t>το JUNGHOLZ και MITTELBERG (KLEINES WALSERTAL), αντιμετωπίζεται ως διακίνηση από ή προς τη Γερμανία.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3"/>
      </w: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παρόντος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ή να αποστέλλει, στο πλαίσιο των επιχειρηματικών δραστηριοτήτων του, υποκείμενα σε ειδικό φόρο κατανάλωσης προϊόντα, τα οποία τελούν υπό καθεστώς αναστολής του φόρου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"κράτος-μέλος" και "έδαφος κράτους-μέλους": το έδαφος κάθε κράτους-</w:t>
      </w:r>
    </w:p>
    <w:p>
      <w:pPr>
        <w:spacing w:before="240" w:after="240"/>
        <w:rPr>
          <w:lang w:val="el" w:eastAsia="el"/>
        </w:rPr>
      </w:pPr>
      <w:r>
        <w:rPr>
          <w:b/>
          <w:bCs/>
          <w:lang w:val="el" w:eastAsia="el"/>
        </w:rPr>
        <w:t>μέλους της Κοινότητας, στο οποίο εφαρμόζεται η συνθήκη ίδρυσης της Ευρωπαϊκής Κοινότητας, σύμφωνα με το άρθρο 299 αυτής, πλην των τρίτων εδαφών,</w:t>
      </w:r>
    </w:p>
    <w:p>
      <w:pPr>
        <w:pStyle w:val="StructureList1"/>
        <w:spacing w:before="120" w:after="0"/>
        <w:rPr>
          <w:lang w:val="el" w:eastAsia="el"/>
        </w:rPr>
      </w:pPr>
      <w:r>
        <w:rPr>
          <w:b/>
          <w:bCs/>
          <w:lang w:val="el" w:eastAsia="el"/>
        </w:rPr>
        <w:t>γ)</w:t>
      </w:r>
      <w:r>
        <w:rPr>
          <w:b/>
          <w:bCs/>
          <w:lang w:val="en" w:eastAsia="en"/>
        </w:rPr>
        <w:tab/>
      </w:r>
      <w:r>
        <w:rPr>
          <w:b/>
          <w:bCs/>
          <w:lang w:val="el" w:eastAsia="el"/>
        </w:rPr>
        <w:t>"Κοινότητα" και "έδαφος της Κοινότητας": τα εδάφη των κρατών- μελών, όπως ορίζονται στο σημείο β`,</w:t>
      </w:r>
    </w:p>
    <w:p>
      <w:pPr>
        <w:pStyle w:val="StructureList1"/>
        <w:spacing w:before="120" w:after="0"/>
        <w:rPr>
          <w:lang w:val="el" w:eastAsia="el"/>
        </w:rPr>
      </w:pPr>
      <w:r>
        <w:rPr>
          <w:b/>
          <w:bCs/>
          <w:lang w:val="el" w:eastAsia="el"/>
        </w:rPr>
        <w:t>δ)</w:t>
      </w:r>
      <w:r>
        <w:rPr>
          <w:b/>
          <w:bCs/>
          <w:lang w:val="en" w:eastAsia="en"/>
        </w:rPr>
        <w:tab/>
      </w:r>
      <w:r>
        <w:rPr>
          <w:b/>
          <w:bCs/>
          <w:lang w:val="el" w:eastAsia="el"/>
        </w:rPr>
        <w:t>"τρίτα εδάφη": τα εδάφη που απαριθμούνται στο άρθρο 54 παράγραφοι 5 και 6,</w:t>
      </w:r>
    </w:p>
    <w:p>
      <w:pPr>
        <w:pStyle w:val="StructureList1"/>
        <w:spacing w:before="120" w:after="0"/>
        <w:rPr>
          <w:lang w:val="el" w:eastAsia="el"/>
        </w:rPr>
      </w:pPr>
      <w:r>
        <w:rPr>
          <w:b/>
          <w:bCs/>
          <w:lang w:val="el" w:eastAsia="el"/>
        </w:rPr>
        <w:t>ε)</w:t>
      </w:r>
      <w:r>
        <w:rPr>
          <w:b/>
          <w:bCs/>
          <w:lang w:val="en" w:eastAsia="en"/>
        </w:rPr>
        <w:tab/>
      </w:r>
      <w:r>
        <w:rPr>
          <w:b/>
          <w:bCs/>
          <w:lang w:val="el" w:eastAsia="el"/>
        </w:rPr>
        <w:t>"τρίτη χώρα": κράτος ή έδαφος, στο οποίο δεν εφαρμόζεται η συνθήκη ίδρυσης της Ευρωπαϊκής Κοινότητας,</w:t>
      </w:r>
    </w:p>
    <w:p>
      <w:pPr>
        <w:pStyle w:val="StructureList1"/>
        <w:spacing w:before="120" w:after="0"/>
        <w:rPr>
          <w:lang w:val="el" w:eastAsia="el"/>
        </w:rPr>
      </w:pPr>
      <w:r>
        <w:rPr>
          <w:b/>
          <w:bCs/>
          <w:lang w:val="el" w:eastAsia="el"/>
        </w:rPr>
        <w:t>στ)</w:t>
      </w:r>
      <w:r>
        <w:rPr>
          <w:b/>
          <w:bCs/>
          <w:lang w:val="en" w:eastAsia="en"/>
        </w:rPr>
        <w:tab/>
      </w:r>
      <w:r>
        <w:rPr>
          <w:b/>
          <w:bCs/>
          <w:lang w:val="el" w:eastAsia="el"/>
        </w:rPr>
        <w:t>"τελωνειακή διαδικασία αναστολής ή τελωνειακό καθεστώς αναστολής": οποιαδήποτε από τις ειδικές διαδικασίες που προβλέπονται στον Κανονισμό (ΕΟΚ) αριθ. 2913/1992, σχετικά με την τελωνειακή επιτήρηση στην οποία υπόκεινται τα μη κοινοτικά εμπορεύματα κατά την είσοδο τους στο τελωνειακό έδαφος της Κοινότητας, την προσωρινή εναπόθεση, τις ελεύθερες ζώνες ή ελεύθερες αποθήκες, καθώς και οποιοδήποτε από τα καθεστώτα που αναφέρονται στο άρθρο 84 παράγραφος 1 στοιχείο α` του εν λόγω Κανονισμού,</w:t>
      </w:r>
    </w:p>
    <w:p>
      <w:pPr>
        <w:pStyle w:val="StructureList1"/>
        <w:spacing w:before="120" w:after="0"/>
        <w:rPr>
          <w:lang w:val="el" w:eastAsia="el"/>
        </w:rPr>
      </w:pPr>
      <w:r>
        <w:rPr>
          <w:b/>
          <w:bCs/>
          <w:lang w:val="el" w:eastAsia="el"/>
        </w:rPr>
        <w:t>ζ)</w:t>
      </w:r>
      <w:r>
        <w:rPr>
          <w:b/>
          <w:bCs/>
          <w:lang w:val="en" w:eastAsia="en"/>
        </w:rPr>
        <w:tab/>
      </w:r>
      <w:r>
        <w:rPr>
          <w:b/>
          <w:bCs/>
          <w:lang w:val="el" w:eastAsia="el"/>
        </w:rPr>
        <w:t>"καθεστώς αναστολής": το φορολογικό καθεστώς που εφαρμόζεται στην παραγωγή, τη μεταποίηση, την κατοχή ή τη διακίνηση υποκείμενων σε ειδικό φόρο κατανάλωσης προϊόντων, τα οποία δεν καλύπτονται από τελωνειακή διαδικασία αναστολής ή τελωνειακό καθεστώς αναστολής, αλλά τελούν σε αναστολή του ειδικού φόρου κατανάλωσης,</w:t>
      </w:r>
    </w:p>
    <w:p>
      <w:pPr>
        <w:pStyle w:val="StructureList1"/>
        <w:spacing w:before="120" w:after="0"/>
        <w:rPr>
          <w:lang w:val="el" w:eastAsia="el"/>
        </w:rPr>
      </w:pPr>
      <w:r>
        <w:rPr>
          <w:b/>
          <w:bCs/>
          <w:lang w:val="el" w:eastAsia="el"/>
        </w:rPr>
        <w:t>η)</w:t>
      </w:r>
      <w:r>
        <w:rPr>
          <w:b/>
          <w:bCs/>
          <w:lang w:val="en" w:eastAsia="en"/>
        </w:rPr>
        <w:tab/>
      </w:r>
      <w:r>
        <w:rPr>
          <w:b/>
          <w:bCs/>
          <w:lang w:val="el" w:eastAsia="el"/>
        </w:rPr>
        <w:t>"εισαγωγή υποκείμενων σε ειδικό φόρο κατανάλωσης προϊόντων": η είσοδος στο εσωτερικό της χώρας υποκείμενων σε ειδικό φόρο κατανάλωσης προϊόντων από τρίτες χώρες ή τρίτα εδάφη, εκτός εάν τα προϊόντα, κατά την είσοδο τους στο εσωτερικό της χώρας, υπάγονται σε τελωνειακή διαδικασία αναστολής ή τελωνειακό καθεστώς αναστολής, καθώς και η έξοδος τους από τελωνειακή διαδικασία αναστολής ή τελωνειακό καθεστώς αναστολής,</w:t>
      </w:r>
    </w:p>
    <w:p>
      <w:pPr>
        <w:pStyle w:val="StructureList1"/>
        <w:spacing w:before="120" w:after="0"/>
        <w:rPr>
          <w:lang w:val="el" w:eastAsia="el"/>
        </w:rPr>
      </w:pPr>
      <w:r>
        <w:rPr>
          <w:b/>
          <w:bCs/>
          <w:lang w:val="el" w:eastAsia="el"/>
        </w:rPr>
        <w:t>θ)</w:t>
      </w:r>
      <w:r>
        <w:rPr>
          <w:b/>
          <w:bCs/>
          <w:lang w:val="en" w:eastAsia="en"/>
        </w:rPr>
        <w:tab/>
      </w:r>
      <w:r>
        <w:rPr>
          <w:b/>
          <w:bCs/>
          <w:lang w:val="el" w:eastAsia="el"/>
        </w:rPr>
        <w:t>"εγγεγραμμένος παραλήπτης": το φυσικό ή νομικό πρόσωπο που έχει λάβει άδεια από τις αρμόδιες αρχές, να παραλαμβάνει, στο πλαίσιο των επιχειρηματικών δραστηριοτήτων του, υποκείμενα σε ειδικό φόρο κατανάλωσης προϊόντα προερχόμενα από άλλο κράτος-μέλος, τα οποία διακινούνται υπό καθεστώς αναστολής του ειδικού φόρου κατανάλωσης,</w:t>
      </w:r>
    </w:p>
    <w:p>
      <w:pPr>
        <w:pStyle w:val="StructureList1"/>
        <w:spacing w:before="120" w:after="0"/>
        <w:rPr>
          <w:lang w:val="el" w:eastAsia="el"/>
        </w:rPr>
      </w:pPr>
      <w:r>
        <w:rPr>
          <w:b/>
          <w:bCs/>
          <w:lang w:val="el" w:eastAsia="el"/>
        </w:rPr>
        <w:t>ι)</w:t>
      </w:r>
      <w:r>
        <w:rPr>
          <w:b/>
          <w:bCs/>
          <w:lang w:val="en" w:eastAsia="en"/>
        </w:rPr>
        <w:tab/>
      </w:r>
      <w:r>
        <w:rPr>
          <w:b/>
          <w:bCs/>
          <w:lang w:val="el" w:eastAsia="el"/>
        </w:rPr>
        <w:t>"εγγεγραμμένος αποστολέας": το φυσικό ή νομικό πρόσωπο που έχει λάβει άδεια από τις αρμόδιες αρχές, στο πλαίσιο των επιχειρηματικών δραστηριοτήτων του,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 2913/1992,</w:t>
      </w:r>
    </w:p>
    <w:p>
      <w:pPr>
        <w:pStyle w:val="StructureList1"/>
        <w:spacing w:before="120" w:after="0"/>
        <w:rPr>
          <w:lang w:val="el" w:eastAsia="el"/>
        </w:rPr>
      </w:pPr>
      <w:r>
        <w:rPr>
          <w:b/>
          <w:bCs/>
          <w:lang w:val="el" w:eastAsia="el"/>
        </w:rPr>
        <w:t>ια)</w:t>
      </w:r>
      <w:r>
        <w:rPr>
          <w:b/>
          <w:bCs/>
          <w:lang w:val="en" w:eastAsia="en"/>
        </w:rPr>
        <w:tab/>
      </w:r>
      <w:r>
        <w:rPr>
          <w:b/>
          <w:bCs/>
          <w:lang w:val="el" w:eastAsia="el"/>
        </w:rPr>
        <w:t>"φορολογική αποθήκη": ο τόπος όπου υποκείμενα σε ειδικό φόρο κατανάλωσης προϊόντα παράγονται, μεταποιούνται, κατέχονται, παραλαμβάνονται ή αποστέλλονται υπό καθεστώς αναστολής από εγκεκριμένο αποθηκευτή, στο πλαίσιο των επιχειρηματικών δραστηριοτήτων του.</w:t>
      </w:r>
    </w:p>
    <w:p>
      <w:pPr>
        <w:pStyle w:val="StructureList1"/>
        <w:spacing w:before="120" w:after="0"/>
        <w:rPr>
          <w:lang w:val="el" w:eastAsia="el"/>
        </w:rPr>
      </w:pPr>
      <w:r>
        <w:rPr>
          <w:b/>
          <w:bCs/>
          <w:lang w:val="el" w:eastAsia="el"/>
        </w:rPr>
        <w:t>ιβ)</w:t>
      </w:r>
      <w:r>
        <w:rPr>
          <w:b/>
          <w:bCs/>
          <w:lang w:val="en" w:eastAsia="en"/>
        </w:rPr>
        <w:tab/>
      </w:r>
      <w:r>
        <w:rPr>
          <w:b/>
          <w:bCs/>
          <w:lang w:val="el" w:eastAsia="el"/>
        </w:rPr>
        <w:t>«Σημείο Κατανάλωσης φυσικού αερίου»: Η εγκατάσταση καταναλωτή φυσικού αερίου στην οποία παραδίδεται φυσικό αέριο για τελική χρήση.</w:t>
      </w:r>
    </w:p>
    <w:p>
      <w:pPr>
        <w:pStyle w:val="StructureList1"/>
        <w:spacing w:before="120" w:after="0"/>
        <w:rPr>
          <w:lang w:val="el" w:eastAsia="el"/>
        </w:rPr>
      </w:pPr>
      <w:r>
        <w:rPr>
          <w:b/>
          <w:bCs/>
          <w:lang w:val="el" w:eastAsia="el"/>
        </w:rPr>
        <w:t>ιγ)</w:t>
      </w:r>
      <w:r>
        <w:rPr>
          <w:b/>
          <w:bCs/>
          <w:lang w:val="en" w:eastAsia="en"/>
        </w:rPr>
        <w:tab/>
      </w:r>
      <w:r>
        <w:rPr>
          <w:b/>
          <w:bCs/>
          <w:lang w:val="el" w:eastAsia="el"/>
        </w:rPr>
        <w:t>«Διανομέας ή Αναδιανομέας φυσικού αερίου» είναι:</w:t>
      </w:r>
    </w:p>
    <w:p>
      <w:pPr>
        <w:spacing w:before="240" w:after="240"/>
        <w:rPr>
          <w:lang w:val="el" w:eastAsia="el"/>
        </w:rPr>
      </w:pPr>
      <w:r>
        <w:rPr>
          <w:b/>
          <w:bCs/>
          <w:lang w:val="el" w:eastAsia="el"/>
        </w:rPr>
        <w:t>αα. ο Προμηθευτής φυσικού αερίου, κατά την έννοια της περίπτωσης κβ΄ της παρ. 2 του άρθρου 2 του ν. 4001/ 2011 (Α΄ 179), για την ποσότητα φυσικού αερίου που προμηθεύει σε Σημείο Κατανάλωσης φυσικού αερίου,</w:t>
      </w:r>
    </w:p>
    <w:p>
      <w:pPr>
        <w:spacing w:before="240" w:after="240"/>
        <w:rPr>
          <w:lang w:val="el" w:eastAsia="el"/>
        </w:rPr>
      </w:pPr>
      <w:r>
        <w:rPr>
          <w:b/>
          <w:bCs/>
          <w:lang w:val="el" w:eastAsia="el"/>
        </w:rPr>
        <w:t>ββ. ο Τελικός Πελάτης φυσικού αερίου, κατά την έννοια της περίπτωσης ιστ΄ της παρ. 1 του άρθρου 2 του ν. 4001/2011, για την ποσότητα που καταναλώνει και την οποία προμηθεύεται αποκλειστικά για δική του χρήση σε σημείο διαφορετικό από το Σημείο Κατανάλωσης φυσικού αερίου.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4"/>
      </w:r>
      <w:r>
        <w:rPr>
          <w:rStyle w:val="Hyperlink"/>
          <w:b/>
          <w:bCs/>
          <w:color w:val="000000"/>
          <w:sz w:val="20"/>
          <w:szCs w:val="20"/>
          <w:u w:val="none" w:color="0000EE"/>
          <w:vertAlign w:val="superscript"/>
          <w:lang w:val="el" w:eastAsia="el"/>
        </w:rPr>
        <w:footnoteReference w:id="35"/>
      </w: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καθίσταται απαιτητός κατά το χρόνο θέσης σε ανάλωση των προϊόντων στο εσωτερικό της χώρας.</w:t>
      </w:r>
    </w:p>
    <w:p>
      <w:pPr>
        <w:pStyle w:val="MainText"/>
        <w:spacing w:before="120" w:after="0"/>
        <w:rPr>
          <w:lang w:val="el" w:eastAsia="el"/>
        </w:rPr>
      </w:pPr>
      <w:r>
        <w:rPr>
          <w:b/>
          <w:bCs/>
          <w:lang w:val="el" w:eastAsia="el"/>
        </w:rPr>
        <w:t>2.</w:t>
      </w:r>
      <w:r>
        <w:rPr>
          <w:b/>
          <w:bCs/>
          <w:lang w:val="el" w:eastAsia="el"/>
        </w:rPr>
        <w:t xml:space="preserve"> θεωρείται ως "θέση σε ανάλωση":</w:t>
      </w:r>
    </w:p>
    <w:p>
      <w:pPr>
        <w:pStyle w:val="StructureList1"/>
        <w:spacing w:before="120" w:after="0"/>
        <w:rPr>
          <w:lang w:val="el" w:eastAsia="el"/>
        </w:rPr>
      </w:pPr>
      <w:r>
        <w:rPr>
          <w:b/>
          <w:bCs/>
          <w:lang w:val="el" w:eastAsia="el"/>
        </w:rPr>
        <w:t>α)</w:t>
      </w:r>
      <w:r>
        <w:rPr>
          <w:b/>
          <w:bCs/>
          <w:lang w:val="en" w:eastAsia="en"/>
        </w:rPr>
        <w:tab/>
      </w:r>
      <w:r>
        <w:rPr>
          <w:b/>
          <w:bCs/>
          <w:lang w:val="el" w:eastAsia="el"/>
        </w:rPr>
        <w:t>η έξοδος υποκείμενων σε ειδικό φόρο κατανάλωσης προϊόντων από ένα καθεστώς αναστολής, συμπεριλαμβανομένης της παράτυπης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η κατοχή υποκείμενων σε ειδικό φόρο κατανάλωσης προϊόντων εκτός καθεστώτος αναστολής, για τα οποία δεν έχει επιβληθεί ειδικός φόρος κατανάλωσης δυνάμει των εφαρμοστέων διατάξεων του κοινοτικού δικαίου και της εθνικής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παραγωγή υποκείμενων σε ειδικό φόρο κατανάλωσης προϊόντων, συμπεριλαμβανομένης της παράτυπης παραγωγής,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η εισαγωγή υποκείμενων σε ειδικό φόρο κατανάλωσης προϊόντων, συμπεριλαμβανομένης της παράτυπης εισαγωγής, εκτός εάν τα υποκείμενα σε ειδικό φόρο κατανάλωσης προϊόντα υπαχθούν, αμέσως μετά την εισαγωγή, σε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 προϊόντων από τη φορολογική αποθήκη.</w:t>
      </w:r>
    </w:p>
    <w:p>
      <w:pPr>
        <w:pStyle w:val="MainText"/>
        <w:spacing w:before="120" w:after="0"/>
        <w:rPr>
          <w:lang w:val="el" w:eastAsia="el"/>
        </w:rPr>
      </w:pPr>
      <w:r>
        <w:rPr>
          <w:b/>
          <w:bCs/>
          <w:lang w:val="el" w:eastAsia="el"/>
        </w:rPr>
        <w:t>3.</w:t>
      </w:r>
      <w:r>
        <w:rPr>
          <w:b/>
          <w:bCs/>
          <w:lang w:val="el" w:eastAsia="el"/>
        </w:rPr>
        <w:t xml:space="preserve"> Στις ακόλουθες περιπτώσεις ο χρόνος θέσης σε ανάλωση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αναφέρονται στο άρθρο 112 παράγραφος 1 περίπτωση α` σημείο Ν), ο χρόνος παραλαβής των υποκείμενων σε ειδικό φόρο κατανάλωσης προϊόντων από τον εγγεγραμμένο παραλήπτη,</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αναφέρονται στο άρθρο 112 παράγραφος 1 περίπτωση α` σημείο ίν), ο χρόνος παραλαβής των υποκείμενων σε ειδικό φόρο κατανάλωσης προϊόντων από τον παραλήπτη,</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περιπτώσεις που αναφέρονται στο άρθρο 112 παράγραφος 2, ο χρόνος παραλαβής των υποκείμενων σε ειδικό φόρο κατανάλωσης προϊόντων στον τόπο άμεσης παράδοσης τους.</w:t>
      </w:r>
    </w:p>
    <w:p>
      <w:pPr>
        <w:pStyle w:val="MainText"/>
        <w:spacing w:before="120" w:after="0"/>
        <w:rPr>
          <w:lang w:val="el" w:eastAsia="el"/>
        </w:rPr>
      </w:pPr>
      <w:r>
        <w:rPr>
          <w:b/>
          <w:bCs/>
          <w:lang w:val="el" w:eastAsia="el"/>
        </w:rPr>
        <w:t>4.</w:t>
      </w:r>
      <w:r>
        <w:rPr>
          <w:b/>
          <w:bCs/>
          <w:lang w:val="el" w:eastAsia="el"/>
        </w:rPr>
        <w:t xml:space="preserve"> Με την επιφύλαξη της παραγράφου 5, ο ειδικός φόρος κατανάλωσης στις περιπτώσεις των παραγράφων 2 και 3 του παρόντος άρθρου εισπράττεται με βάση τους συντελεστές που ισχύουν την ημερομηνία κατά την οποία ο φόρος καθίσταται απαιτητός.</w:t>
      </w:r>
    </w:p>
    <w:p>
      <w:pPr>
        <w:pStyle w:val="MainText"/>
        <w:spacing w:before="120" w:after="0"/>
        <w:rPr>
          <w:lang w:val="el" w:eastAsia="el"/>
        </w:rPr>
      </w:pPr>
      <w:r>
        <w:rPr>
          <w:b/>
          <w:bCs/>
          <w:lang w:val="el" w:eastAsia="el"/>
        </w:rPr>
        <w:t>5.</w:t>
      </w:r>
      <w:r>
        <w:rPr>
          <w:b/>
          <w:bCs/>
          <w:lang w:val="el" w:eastAsia="el"/>
        </w:rPr>
        <w:t xml:space="preserve"> Στην περίπτωση παράτυπης εξόδου από καθεστώς αναστολής ή κατοχής εκτός καθεστώτος αναστολής ή παράτυπης παραγωγής ή παράτυπης εισαγωγής, κατά τα οριζόμενα στην παράγραφο 2 του παρόντος άρθρου, ο ειδικός φόρος κατανάλωσης εισπράττεται με βάση τους συντελεστές που ισχύουν κατά το χρόνο διαπίστωσης των παρατυπιών αυτών.</w:t>
      </w:r>
    </w:p>
    <w:p>
      <w:pPr>
        <w:spacing w:before="240" w:after="240"/>
        <w:rPr>
          <w:lang w:val="el" w:eastAsia="el"/>
        </w:rPr>
      </w:pPr>
      <w:r>
        <w:rPr>
          <w:b/>
          <w:bCs/>
          <w:lang w:val="el" w:eastAsia="el"/>
        </w:rPr>
        <w:t>Εντούτοις, όταν από τα στοιχεία που διαθέτουν οι αρμόδιες αρχές διαπιστώνεται ότι η παράτυπη έξοδος από καθεστώς αναστολής ή η κατοχή εκτός καθεστώτος αναστολής ή η παράτυπη παραγωγή ή η παράτυπη εισαγωγή πραγματοποιήθηκαν ή υπήρξαν, κατά περίπτωση, σε χρόνο προγενέστερο της διαπίστωσης, ο ειδικός φόρος κατανάλωσης εισπράττεται με βάση τους συντελεστές που ίσχυαν κατά την προγενέστερη της διαπίστωσης ημερομηνία, στην οποία πραγματοποιήθηκαν ή υπήρξαν.</w:t>
      </w:r>
    </w:p>
    <w:p>
      <w:pPr>
        <w:pStyle w:val="MainText"/>
        <w:spacing w:before="120" w:after="0"/>
        <w:rPr>
          <w:lang w:val="el" w:eastAsia="el"/>
        </w:rPr>
      </w:pPr>
      <w:r>
        <w:rPr>
          <w:b/>
          <w:bCs/>
          <w:lang w:val="el" w:eastAsia="el"/>
        </w:rPr>
        <w:t>6.</w:t>
      </w:r>
      <w:r>
        <w:rPr>
          <w:b/>
          <w:bCs/>
          <w:lang w:val="el" w:eastAsia="el"/>
        </w:rPr>
        <w:t xml:space="preserve"> Με την επιφύλαξη των διατάξεων του άρθρου 101, υπόχρεος να καταβάλει τον ειδικό φόρο κατανάλωσης που καθίσταται απαιτητός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Σε σχέση με την έξοδο υποκείμενων σε ειδικό φόρο κατανάλωσης προϊόντων από καθεστώς αναστολής, όπως αναφέρεται στην περίπτωση α` της παραγράφου 2 του παρόντος άρθρου:</w:t>
      </w:r>
    </w:p>
    <w:p>
      <w:pPr>
        <w:pStyle w:val="StructureList1"/>
        <w:spacing w:before="120" w:after="0"/>
        <w:rPr>
          <w:lang w:val="el" w:eastAsia="el"/>
        </w:rPr>
      </w:pPr>
      <w:r>
        <w:rPr>
          <w:b/>
          <w:bCs/>
          <w:lang w:val="el" w:eastAsia="el"/>
        </w:rPr>
        <w:t>i)</w:t>
      </w:r>
      <w:r>
        <w:rPr>
          <w:b/>
          <w:bCs/>
          <w:lang w:val="en" w:eastAsia="en"/>
        </w:rPr>
        <w:tab/>
      </w:r>
      <w:r>
        <w:rPr>
          <w:b/>
          <w:bCs/>
          <w:lang w:val="el" w:eastAsia="el"/>
        </w:rPr>
        <w:t>Ο εγκεκριμένος αποθηκευτής, ο εγγεγραμμένος παραλήπτης ή κάθε άλλο πρόσωπο που απελευθερώνει ή εξ ονόματος του οποίου απελευθερώνονται τα υποκείμενα σε ειδικό φόρο κατανάλωσης προϊόντα από καθεστώς αναστολής και σε περίπτωση παράτυπης εξόδου από τη φορολογική αποθήκη, κάθε άλλο πρόσωπο που εμπλέκεται στην έξοδο αυτή,</w:t>
      </w:r>
    </w:p>
    <w:p>
      <w:pPr>
        <w:pStyle w:val="StructureList1"/>
        <w:spacing w:before="120" w:after="0"/>
        <w:rPr>
          <w:lang w:val="el" w:eastAsia="el"/>
        </w:rPr>
      </w:pPr>
      <w:r>
        <w:rPr>
          <w:b/>
          <w:bCs/>
          <w:lang w:val="el" w:eastAsia="el"/>
        </w:rPr>
        <w:t>ιι)</w:t>
      </w:r>
      <w:r>
        <w:rPr>
          <w:b/>
          <w:bCs/>
          <w:lang w:val="en" w:eastAsia="en"/>
        </w:rPr>
        <w:tab/>
      </w:r>
      <w:r>
        <w:rPr>
          <w:b/>
          <w:bCs/>
          <w:lang w:val="el" w:eastAsia="el"/>
        </w:rPr>
        <w:t>σε περίπτωση παρατυπίας κατά τη διακίνηση υποκείμενων σε ειδικό φόρο κατανάλωσης προϊόντων υπό καθεστώς αναστολής, όπως αυτό ορίζεται στο άρθρο 118 παράγραφοι 1, 2 και 4: ο εγκεκριμένος αποθηκευτής, ο εγγεγραμμένος αποστολέας ή κάθε άλλο πρόσωπο που εγγυήθηκε την πληρωμή, σύμφωνα με το άρθρο 112 παράγραφοι 6 και 7, και κάθε πρόσωπο που συμμετείχε στην παράτυπη έξοδο και το οποίο γνώριζε ή όφειλε ευλόγως να γνωρίζει τον παράτυπο χαρακτήρα της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σχετικά με την κατοχή υποκείμενων σε ειδικό φόρο κατανάλωσης προϊόντων, όπως αναφέρεται στην περίπτωση β` της παραγράφου 2 του παρόντος άρθρου: το πρόσωπο που κατέχει τα υποκείμενα σε ειδικό φόρο κατανάλωσης προϊόντα και κάθε άλλο πρόσωπο που εμπλέκεται στην κατοχή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σχετικά με την παραγωγή υποκείμενων σε ειδικό φόρο κατανάλωσης προϊόντων, όπως αναφέρεται στην περίπτωση γ` της παραγράφου 2 του παρόντος άρθρου: το πρόσωπο που παράγει τα υποκείμενα σε ειδικό φόρο κατανάλωσης προϊόντα και σε περίπτωση παράτυπης παραγωγής, κάθε άλλο πρόσωπο που εμπλέκεται στην παραγωγή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σχετικά με την εισαγωγή υποκείμενων σε ειδικό φόρο κατανάλωσης προϊόντων, που αναφέρεται στην περίπτωση δ` της παραγράφου 2 του παρόντος άρθρου: το πρόσωπο που δηλώνει τα υποκείμενα σε ειδικό φόρο κατανάλωσης προϊόντα ή εξ ονόματος του οποίου δηλώνονται αυτά κατά την εισαγωγή και σε περίπτωση παράτυπης εισαγωγής, κάθε άλλο πρόσωπο που εμπλέκεται στην εισαγωγή.</w:t>
      </w:r>
    </w:p>
    <w:p>
      <w:pPr>
        <w:spacing w:before="240" w:after="240"/>
        <w:rPr>
          <w:lang w:val="el" w:eastAsia="el"/>
        </w:rPr>
      </w:pPr>
      <w:r>
        <w:rPr>
          <w:b/>
          <w:bCs/>
          <w:lang w:val="el" w:eastAsia="el"/>
        </w:rPr>
        <w:t>Σε περίπτωση περισσότερων υπόχρεων για την καταβολή του οφειλόμενου ποσού του ειδικού φόρου κατανάλωσης, τα πρόσωπα αυτά είναι αλληλεγγύως και εις ολόκληρον υπόχρεα για την πληρωμή της εν λόγω οφειλής.</w:t>
      </w:r>
    </w:p>
    <w:p>
      <w:pPr>
        <w:pStyle w:val="MainText"/>
        <w:spacing w:before="120" w:after="0"/>
        <w:rPr>
          <w:lang w:val="el" w:eastAsia="el"/>
        </w:rPr>
      </w:pPr>
      <w:r>
        <w:rPr>
          <w:b/>
          <w:bCs/>
          <w:lang w:val="el" w:eastAsia="el"/>
        </w:rPr>
        <w:t>7.</w:t>
      </w:r>
      <w:r>
        <w:rPr>
          <w:b/>
          <w:bCs/>
          <w:lang w:val="el" w:eastAsia="el"/>
        </w:rPr>
        <w:t xml:space="preserve"> 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καθορίζονται οι λεπτομέρειες εφαρμογής του παρόντος άρθρου.</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60 παράγραφος 1, σε περίπτωση κατά την οποία υποκείμενα σε ειδικό φόρο κατανάλωσης προϊόντα, τα οποία έχουν ήδη τεθεί σε ανάλωση σε άλλο κράτος-μέλος, κατέχονται για εμπορικούς σκοπούς στο εσωτερικό της χώρας προκειμένου να παραδοθούν ή να χρησιμοποιηθούν σε αυτό, υπόκεινται σε ειδικό φόρο κατανάλωσης, ο οποίος καθίσταται απαιτητός από τις αρμόδιες αρχές.</w:t>
      </w:r>
    </w:p>
    <w:p>
      <w:pPr>
        <w:spacing w:before="240" w:after="240"/>
        <w:rPr>
          <w:lang w:val="el" w:eastAsia="el"/>
        </w:rPr>
      </w:pPr>
      <w:r>
        <w:rPr>
          <w:b/>
          <w:bCs/>
          <w:lang w:val="el" w:eastAsia="el"/>
        </w:rPr>
        <w:t>Για τους σκοπούς του παρόντος άρθρου, ως "κατοχή για εμπορικούς σκοπούς" νοείται η κατοχή προϊόντων υποκείμενων σε ειδικό φόρο κατανάλωσης από μη ιδιώτη ή από ιδιώτη για μη δική του χρήση και τα οποία μεταφέρονται από αυτόν, σύμφωνα με το άρθρο 59.</w:t>
      </w:r>
    </w:p>
    <w:p>
      <w:pPr>
        <w:pStyle w:val="MainText"/>
        <w:spacing w:before="120" w:after="0"/>
        <w:rPr>
          <w:lang w:val="el" w:eastAsia="el"/>
        </w:rPr>
      </w:pPr>
      <w:r>
        <w:rPr>
          <w:b/>
          <w:bCs/>
          <w:lang w:val="el" w:eastAsia="el"/>
        </w:rPr>
        <w:t>2.</w:t>
      </w:r>
      <w:r>
        <w:rPr>
          <w:b/>
          <w:bCs/>
          <w:lang w:val="el" w:eastAsia="el"/>
        </w:rPr>
        <w:t xml:space="preserve">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 στο εσωτερικό της χώρας.</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τα υποκείμενα σε ειδικό φόρο κατανάλωσης προϊόντα διακινούνται μεταξύ των εδαφών των διαφόρων κρατών- μελών υπό την κάλυψη του προβλεπόμενου από τον Κανονισμό (ΕΟΚ) αριθμ. 3649/1992 (ΕΕ L 369/18.12.1992) Απλουστευμένου Συνοδευτικού Διοικητικού Εγγράφου (Α.Σ.Δ.Ε.).</w:t>
      </w:r>
    </w:p>
    <w:p>
      <w:pPr>
        <w:pStyle w:val="MainText"/>
        <w:spacing w:before="120" w:after="0"/>
        <w:rPr>
          <w:lang w:val="el" w:eastAsia="el"/>
        </w:rPr>
      </w:pPr>
      <w:r>
        <w:rPr>
          <w:b/>
          <w:bCs/>
          <w:lang w:val="el" w:eastAsia="el"/>
        </w:rPr>
        <w:t>4.</w:t>
      </w:r>
      <w:r>
        <w:rPr>
          <w:b/>
          <w:bCs/>
          <w:lang w:val="el" w:eastAsia="el"/>
        </w:rPr>
        <w:t xml:space="preserve"> Με την επιφύλαξη του άρθρου 119, όταν υποκείμενα σε ειδικό φόρο κατανάλωσης προϊόντα, τα οποία έχουν ήδη τεθεί σε ανάλωση σε ένα κράτος-μέλος διακινούνται στο εσωτερικό της Κοινότητας για εμπορικούς σκοπούς, δεν θεωρείται ότι κατέχονται για αυτούς τους σκοπούς μέχρις ότου φτάσουν στο κράτος-μέλος προορισμού, υπό την προύπόθεση ότι διακινούνται βάσει των διατυπώσεων που προβλέπονται στις παραγράφους 3 και 7 του παρόντος άρθρου.</w:t>
      </w:r>
    </w:p>
    <w:p>
      <w:pPr>
        <w:pStyle w:val="MainText"/>
        <w:spacing w:before="120" w:after="0"/>
        <w:rPr>
          <w:lang w:val="el" w:eastAsia="el"/>
        </w:rPr>
      </w:pPr>
      <w:r>
        <w:rPr>
          <w:b/>
          <w:bCs/>
          <w:lang w:val="el" w:eastAsia="el"/>
        </w:rPr>
        <w:t>5.</w:t>
      </w:r>
      <w:r>
        <w:rPr>
          <w:b/>
          <w:bCs/>
          <w:lang w:val="el" w:eastAsia="el"/>
        </w:rPr>
        <w:t xml:space="preserve"> Τα υποκείμενα σε ειδικό φόρο κατανάλωσης προϊόντα τα οποία βρίσκονται επί πλοίου ή αεροσκάφους, που πραγματοποιεί θαλάσσια ταξίδια ή πτήσεις μεταξύ δύο κρατών-μελών και τα οποία δεν διατίθενται προς πώληση όταν το πλοίο ή το αεροσκάφος βρίσκεται στο έδαφος ενός κράτους-μέλους δεν θεωρείται ότι κατέχονται στο εν λόγω κράτος-μέλος για εμπορικούς σκοπούς.</w:t>
      </w:r>
    </w:p>
    <w:p>
      <w:pPr>
        <w:pStyle w:val="MainText"/>
        <w:spacing w:before="120" w:after="0"/>
        <w:rPr>
          <w:lang w:val="el" w:eastAsia="el"/>
        </w:rPr>
      </w:pPr>
      <w:r>
        <w:rPr>
          <w:b/>
          <w:bCs/>
          <w:lang w:val="el" w:eastAsia="el"/>
        </w:rPr>
        <w:t>6.</w:t>
      </w:r>
      <w:r>
        <w:rPr>
          <w:b/>
          <w:bCs/>
          <w:lang w:val="el" w:eastAsia="el"/>
        </w:rPr>
        <w:t xml:space="preserve"> Υπόχρεος για την καταβολή του ειδικού φόρου κατανάλωσης που καθίσταται απαιτητός είναι, ανάλογα με την περίπτωση που αναφέρεται στην παράγραφο 1, το πρόσωπο το οποίο εκτελεί την παράδοση ή το οποίο έχει στην κατοχή του τα παραδοτέα προϊόντα, ή το πρόσωπο στο οποίο παραδίδονται τα προϊόντα στο εσωτερικό της χώρας.</w:t>
      </w:r>
    </w:p>
    <w:p>
      <w:pPr>
        <w:pStyle w:val="MainText"/>
        <w:spacing w:before="120" w:after="0"/>
        <w:rPr>
          <w:lang w:val="el" w:eastAsia="el"/>
        </w:rPr>
      </w:pPr>
      <w:r>
        <w:rPr>
          <w:b/>
          <w:bCs/>
          <w:lang w:val="el" w:eastAsia="el"/>
        </w:rPr>
        <w:t>7.</w:t>
      </w:r>
      <w:r>
        <w:rPr>
          <w:b/>
          <w:bCs/>
          <w:lang w:val="el" w:eastAsia="el"/>
        </w:rPr>
        <w:t xml:space="preserve"> Τα πρόσωπα της παραγράφου 6 υποχρεούνται, σε περίπτωση αποστολής προϊόντων από άλλο κράτος-μέλος:</w:t>
      </w:r>
    </w:p>
    <w:p>
      <w:pPr>
        <w:pStyle w:val="StructureList1"/>
        <w:spacing w:before="120" w:after="0"/>
        <w:rPr>
          <w:lang w:val="el" w:eastAsia="el"/>
        </w:rPr>
      </w:pPr>
      <w:r>
        <w:rPr>
          <w:b/>
          <w:bCs/>
          <w:lang w:val="el" w:eastAsia="el"/>
        </w:rPr>
        <w:t>α)</w:t>
      </w:r>
      <w:r>
        <w:rPr>
          <w:b/>
          <w:bCs/>
          <w:lang w:val="en" w:eastAsia="en"/>
        </w:rPr>
        <w:tab/>
      </w:r>
      <w:r>
        <w:rPr>
          <w:b/>
          <w:bCs/>
          <w:lang w:val="el" w:eastAsia="el"/>
        </w:rPr>
        <w:t>να καταθέτουν, πριν από την αποστολή των προϊόντων, σχετική δήλωση στην αρμόδια αρχή του εσωτερικού της χώρας, καθώς και εγγύηση η οποία να καλύπτει τους αναλογούντες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καταβάλλουν στην αρμόδια αρχή, με την άφιξη των προϊόντων στο εσωτερικό της χώρας, ή το αργότερο την επόμενη εργάσιμη ημέρα από την άφιξη, τους οφειλόμενους φόρους,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8.</w:t>
      </w:r>
      <w:r>
        <w:rPr>
          <w:b/>
          <w:bCs/>
          <w:lang w:val="el" w:eastAsia="el"/>
        </w:rPr>
        <w:t xml:space="preserve"> Ο ειδικός φόρος κατανάλωσης, που έχει επιβληθεί στο εσωτερικό της χώρας κατά τη θέση σε ανάλωση προϊόντων, τα οποία βρίσκονται στην κατοχή προσώπου για εμπορικούς σκοπούς στο εσωτερικό άλλου κράτους-μέλους, διαγράφεται ή επιστρέφεται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9.</w:t>
      </w:r>
      <w:r>
        <w:rPr>
          <w:b/>
          <w:bCs/>
          <w:lang w:val="el" w:eastAsia="el"/>
        </w:rPr>
        <w:t xml:space="preserve"> Με αποφάσεις του Υπουργού Οικονομικών καθορίζονται οι διατυπώσεις και κάθε αναγκαία λεπτομέρεια για την εφαρμογή των διατάξεων του παρόντος άρθρου.</w:t>
      </w:r>
      <w:r>
        <w:rPr>
          <w:rStyle w:val="Hyperlink"/>
          <w:b/>
          <w:bCs/>
          <w:color w:val="000000"/>
          <w:sz w:val="20"/>
          <w:szCs w:val="20"/>
          <w:u w:val="none" w:color="0000EE"/>
          <w:vertAlign w:val="superscript"/>
          <w:lang w:val="el" w:eastAsia="el"/>
        </w:rPr>
        <w:footnoteReference w:id="36"/>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από ιδιώτες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7"/>
      </w:r>
      <w:r>
        <w:rPr>
          <w:b/>
          <w:bCs/>
          <w:lang w:val="el" w:eastAsia="el"/>
        </w:rPr>
        <w:t>Για τα υποκείμενα σε ειδικό φόρο κατανάλωσης προϊόντα τα οποία αποκτά ιδιώτης για δική του χρήση και τα οποία μεταφέρει αυτοπροσώπως από ένα κράτος-μέλος σε άλλο, οι ειδικοί φόροι κατανάλωσης οφείλονται μόνο στο κράτος-μέλος, όπου τα προϊόντα αυτά αποκτώνται.</w:t>
      </w:r>
    </w:p>
    <w:p>
      <w:pPr>
        <w:pStyle w:val="MainText"/>
        <w:spacing w:before="120" w:after="0"/>
        <w:rPr>
          <w:lang w:val="el" w:eastAsia="el"/>
        </w:rPr>
      </w:pPr>
      <w:r>
        <w:rPr>
          <w:b/>
          <w:bCs/>
          <w:lang w:val="el" w:eastAsia="el"/>
        </w:rPr>
        <w:t>2.</w:t>
      </w:r>
      <w:r>
        <w:rPr>
          <w:b/>
          <w:bCs/>
          <w:lang w:val="el" w:eastAsia="el"/>
        </w:rPr>
        <w:t xml:space="preserve"> Για να προσδιοριστεί κατά πόσο τα υποκείμενα σε ειδικό φόρο κατανάλωσης προϊόντα, τα οποία αναφέρονται στην παράγραφο 1, προορίζονται για ίδια χρήση ενός ιδιώτη, λαμβάνονται υπόψη από τις αρμόδιες αρχές τουλάχιστον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ανάλογα με την περίπτωση,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w:t>
      </w:r>
    </w:p>
    <w:p>
      <w:pPr>
        <w:pStyle w:val="MainText"/>
        <w:spacing w:before="120" w:after="0"/>
        <w:rPr>
          <w:lang w:val="el" w:eastAsia="el"/>
        </w:rPr>
      </w:pPr>
      <w:r>
        <w:rPr>
          <w:b/>
          <w:bCs/>
          <w:lang w:val="el" w:eastAsia="el"/>
        </w:rPr>
        <w:t>3.</w:t>
      </w:r>
      <w:r>
        <w:rPr>
          <w:b/>
          <w:bCs/>
          <w:lang w:val="el" w:eastAsia="el"/>
        </w:rPr>
        <w:t xml:space="preserve"> Για την εφαρμογή της περίπτωσης ε` της παραγράφου 2, ως αποδεικτικό στοιχείο, ορίζονται ενδεικτικά τα ακόλουθα ποσοτικά όρια ανά προϊόν: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 β) για τα 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90 λίτρα (από τους οποίους το πολύ 60 λίτρα αφρώδεις)</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pStyle w:val="MainText"/>
        <w:spacing w:before="120" w:after="0"/>
        <w:rPr>
          <w:lang w:val="el" w:eastAsia="el"/>
        </w:rPr>
      </w:pPr>
      <w:r>
        <w:rPr>
          <w:b/>
          <w:bCs/>
          <w:lang w:val="el" w:eastAsia="el"/>
        </w:rPr>
        <w:t>4.</w:t>
      </w:r>
      <w:r>
        <w:rPr>
          <w:b/>
          <w:bCs/>
          <w:lang w:val="el" w:eastAsia="el"/>
        </w:rPr>
        <w:t xml:space="preserve"> Ο ειδικός φόρος κατανάλωσης πετρελαιοειδών προϊόντων, τα οποία έχουν ήδη τεθεί σε ανάλωση σε άλλο κράτος-μέλος, καθίσταται απαιτητός και εισπράττεται από τις αρμόδιες αρχές, εάν η μεταφορά αυτών των προϊόντων στη χώρα γίνεται με ανορθόδοξους τρόπους από ιδιώτη ή για λογαριασμό του.</w:t>
      </w:r>
    </w:p>
    <w:p>
      <w:pPr>
        <w:spacing w:before="240" w:after="240"/>
        <w:rPr>
          <w:lang w:val="el" w:eastAsia="el"/>
        </w:rPr>
      </w:pPr>
      <w:r>
        <w:rPr>
          <w:b/>
          <w:bCs/>
          <w:lang w:val="el" w:eastAsia="el"/>
        </w:rPr>
        <w:t>Ως ανορθόδοξες μεταφορές θεωρούνται οι μεταφορές καυσίμων κινητήρων, όταν τα καύσιμα δεν μεταφέρονται στη δεξαμενή των οχημάτων ή σε κατάλληλο εφεδρικό δοχείο, καθώς και η μεταφορά υγρών καυσίμων θέρμανσης όταν δεν γίνεται με βυτιοφόρο επαγγελματιών..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8"/>
      </w:r>
      <w:r>
        <w:rPr>
          <w:b/>
          <w:bCs/>
          <w:lang w:val="el" w:eastAsia="el"/>
        </w:rPr>
        <w:t xml:space="preserve">Άρθρο 60 </w:t>
      </w:r>
    </w:p>
    <w:p>
      <w:pPr>
        <w:pStyle w:val="Heading6"/>
        <w:spacing w:before="240" w:after="240"/>
        <w:rPr>
          <w:lang w:val="el" w:eastAsia="el"/>
        </w:rPr>
      </w:pPr>
      <w:r>
        <w:rPr>
          <w:b/>
          <w:bCs/>
          <w:lang w:val="el" w:eastAsia="el"/>
        </w:rPr>
        <w:t>Πωλήσεις εξ αποστάσεως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έχουν ήδη τεθεί σε ανάλωση σε άλλο κράτος-μέλος και αγοράζονται από πρόσωπο που δεν έχει την ιδιότητα του εγκεκριμένου αποθηκευτή ή του εγγεγραμμένου παραλήπτη, είναι εγκατεστημένο στο εσωτερικό της χώρας και δεν ασκεί ανεξάρτητη οικονομική δραστηριότητα, και τα οποία αποστέλλονται ή μεταφέρονται στο εσωτερικό της χώρας άμεσα ή έμμεσα από τον πωλητή ή για λογαριασμό του,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Στην περίπτωση που αναφέρεται στην παράγραφο 1, ο ειδικός φόρος κατανάλωσης καθίσταται απαιτητός και καταβάλλεται κατά την παράδοση των υποκείμενων σε ειδικό φόρο κατανάλωσης προϊόντων στο εσωτερικό της χώρας.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w:t>
      </w:r>
    </w:p>
    <w:p>
      <w:pPr>
        <w:pStyle w:val="MainText"/>
        <w:spacing w:before="120" w:after="0"/>
        <w:rPr>
          <w:lang w:val="el" w:eastAsia="el"/>
        </w:rPr>
      </w:pPr>
      <w:r>
        <w:rPr>
          <w:b/>
          <w:bCs/>
          <w:lang w:val="el" w:eastAsia="el"/>
        </w:rPr>
        <w:t>3.</w:t>
      </w:r>
      <w:r>
        <w:rPr>
          <w:b/>
          <w:bCs/>
          <w:lang w:val="el" w:eastAsia="el"/>
        </w:rPr>
        <w:t xml:space="preserve"> Υπόχρεος για την καταβολή του ειδικού φόρου κατανάλωσης στο εσωτερικό της χώρας είναι ο πωλητής ή ο φορολογικός αντιπρόσωπος αυτού. Ο φορολογικός αντιπρόσωπος πρέπει να είναι εγκατεστημένος στο εσωτερικό της χώρας και εγκεκριμένος από την αρμόδια αρχή. Στις περιπτώσεις που ο πωλητής ή ο φορολογικός του αντιπρόσωπος δεν έχει τηρήσει τις υποχρεώσεις της περίπτωσης α` της παραγράφου 4, υπόχρεος για την καταβολή του ειδικού φόρου κατανάλωσης είναι ο παραλήπτης των υποκείμενων σε ειδικό φόρο κατανάλωσης προϊόντων</w:t>
      </w:r>
    </w:p>
    <w:p>
      <w:pPr>
        <w:pStyle w:val="MainText"/>
        <w:spacing w:before="120" w:after="0"/>
        <w:rPr>
          <w:lang w:val="el" w:eastAsia="el"/>
        </w:rPr>
      </w:pPr>
      <w:r>
        <w:rPr>
          <w:b/>
          <w:bCs/>
          <w:lang w:val="el" w:eastAsia="el"/>
        </w:rPr>
        <w:t>4.</w:t>
      </w:r>
      <w:r>
        <w:rPr>
          <w:b/>
          <w:bCs/>
          <w:lang w:val="el" w:eastAsia="el"/>
        </w:rPr>
        <w:t xml:space="preserve"> Στην περίπτωση αποστολής προϊόντων από άλλο κράτος-μέλος στο εσωτερικό της χώρας, ο πωλητής ή ο φορολογικός αντιπρόσωπος αυτού πρέπει να συμμορφώνεται προς τις ακόλουθες υποχρεώσεις: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πριν από την αποστολή των υποκείμενων σε ειδικό φόρο κατανάλωσης προϊόντων, να εγγράφεται στα μητρώα και να εγγυάται την καταβολή του ειδικού φόρου κατανάλωσης στην αρμόδια αρχή,</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καταβάλλει τον ειδικό φόρο κατανάλωσης στην αρχή που προβλέπεται στην περίπτωση α` την ημέρα άφιξης των προϊόντων ή το αργότερο την επόμενη εργάσιμη ημέρα,</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λογιστική των παραδιδόμενων υποκείμενων σε ειδικό φόρο κατανάλωσης προϊόντων.</w:t>
      </w:r>
    </w:p>
    <w:p>
      <w:pPr>
        <w:pStyle w:val="MainText"/>
        <w:spacing w:before="120" w:after="0"/>
        <w:rPr>
          <w:lang w:val="el" w:eastAsia="el"/>
        </w:rPr>
      </w:pPr>
      <w:r>
        <w:rPr>
          <w:b/>
          <w:bCs/>
          <w:lang w:val="el" w:eastAsia="el"/>
        </w:rPr>
        <w:t>5.</w:t>
      </w:r>
      <w:r>
        <w:rPr>
          <w:b/>
          <w:bCs/>
          <w:lang w:val="el" w:eastAsia="el"/>
        </w:rPr>
        <w:t xml:space="preserve"> Στην περίπτωση αποστολής προϊόντων από το εσωτερικό της χώρας σε άλλο κράτος-μέλος, ο ειδικός φόρος κατανάλωσης που επιβλήθηκε στο εσωτερικό της χώρας διαγράφεται ή επιστρέφεται κατόπιν σχετικού αιτήματος του πωλητή,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καθορίζονται οι διατυπώσεις και κάθε αναγκαία λεπτομέρεια για την εφαρμογή των διατάξεων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9"/>
      </w:r>
      <w:r>
        <w:rPr>
          <w:b/>
          <w:bCs/>
          <w:lang w:val="el" w:eastAsia="el"/>
        </w:rPr>
        <w:t>Οι διασυνοριακές εξ αποστάσεως πωλήσεις προϊόντων καπνού μέσω διαδικτύου, τηλεπικοινωνιών ή κάθε άλλου τρόπου πώλησης βασιζόμενου σε εξελισσόμενη τεχνολογία απαγορεύοντα.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0"/>
      </w: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Καταστροφές και απώλειες προϊόντων που έχουν τεθεί σε ανάλωση σε άλλο κράτος-μέλος</w:t>
      </w:r>
    </w:p>
    <w:p>
      <w:pPr>
        <w:pStyle w:val="MainText"/>
        <w:spacing w:before="120" w:after="0"/>
        <w:rPr>
          <w:lang w:val="el" w:eastAsia="el"/>
        </w:rPr>
      </w:pPr>
      <w:r>
        <w:rPr>
          <w:b/>
          <w:bCs/>
          <w:lang w:val="el" w:eastAsia="el"/>
        </w:rPr>
        <w:t>1.</w:t>
      </w:r>
      <w:r>
        <w:rPr>
          <w:b/>
          <w:bCs/>
          <w:lang w:val="el" w:eastAsia="el"/>
        </w:rPr>
        <w:t xml:space="preserve"> Στις περιπτώσεις που προβλέπονται στο άρθρο 57 παράγραφος 1 και στο άρθρο 60 παράγραφος 1, σε περί πτωση ολικής καταστροφής ή ανεπανόρθωτης απώλειας των υποκείμενων σε ειδικό φόρο κατανάλωσης προϊόντων κατά τη μεταφορά τους σε κράτος-μέλος άλλο από το κράτος-μέλος στο οποίο τέθηκαν σε ανάλωση, από αιτία οφειλόμενη στην ίδια τη φύση των προϊόντων, ή εξ αιτίας τυχαίων περιστατικών ή ανωτέρας βίας, ή κατόπιν έγκρισης των αρμόδιων αρχών του συγκεκριμένου κράτους-μέλους, ο ειδικός φόρος κατανάλωσης δεν καθίσταται απαιτητός στο εν λόγω κράτος-μέλος.</w:t>
      </w:r>
    </w:p>
    <w:p>
      <w:pPr>
        <w:spacing w:before="240" w:after="240"/>
        <w:rPr>
          <w:lang w:val="el" w:eastAsia="el"/>
        </w:rPr>
      </w:pPr>
      <w:r>
        <w:rPr>
          <w:b/>
          <w:bCs/>
          <w:lang w:val="el" w:eastAsia="el"/>
        </w:rPr>
        <w:t>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 Η εγγύηση που κατατίθεται σύμφωνα με το άρθρο 57 παράγραφος 7 περίπτωση α` ή το άρθρο 60 παράγραφος 4 περίπτωση α` αποδεσμεύεται.</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41"/>
      </w:r>
      <w:r>
        <w:rPr>
          <w:rStyle w:val="Hyperlink"/>
          <w:b/>
          <w:bCs/>
          <w:color w:val="000000"/>
          <w:sz w:val="20"/>
          <w:szCs w:val="20"/>
          <w:u w:val="none" w:color="0000EE"/>
          <w:vertAlign w:val="superscript"/>
          <w:lang w:val="el" w:eastAsia="el"/>
        </w:rPr>
        <w:footnoteReference w:id="42"/>
      </w:r>
      <w:r>
        <w:rPr>
          <w:b/>
          <w:bCs/>
          <w:lang w:val="el" w:eastAsia="el"/>
        </w:rPr>
        <w:t>Οι αρμόδιες Αρχές ασκούν εποπτεία και έλεγχο κατά τρόπο διαρκή ή</w:t>
      </w:r>
    </w:p>
    <w:p>
      <w:pPr>
        <w:spacing w:before="240" w:after="240"/>
        <w:rPr>
          <w:lang w:val="el" w:eastAsia="el"/>
        </w:rPr>
      </w:pPr>
      <w:r>
        <w:rPr>
          <w:b/>
          <w:bCs/>
          <w:lang w:val="el" w:eastAsia="el"/>
        </w:rPr>
        <w:t>περιοδικό στις φορολογικές αποθήκες, σύμφωνα με την κείμενη νομοθεσία.</w:t>
      </w:r>
    </w:p>
    <w:p>
      <w:pPr>
        <w:spacing w:before="240" w:after="240"/>
        <w:rPr>
          <w:lang w:val="el" w:eastAsia="el"/>
        </w:rPr>
      </w:pPr>
      <w:r>
        <w:rPr>
          <w:b/>
          <w:bCs/>
          <w:lang w:val="el" w:eastAsia="el"/>
        </w:rPr>
        <w:t>Ειδικά για τα βιομηχανοποιημένα καπνά οι όροι και προϋποθέσεις για την</w:t>
      </w:r>
    </w:p>
    <w:p>
      <w:pPr>
        <w:spacing w:before="240" w:after="240"/>
        <w:rPr>
          <w:lang w:val="el" w:eastAsia="el"/>
        </w:rPr>
      </w:pPr>
      <w:r>
        <w:rPr>
          <w:b/>
          <w:bCs/>
          <w:lang w:val="el" w:eastAsia="el"/>
        </w:rPr>
        <w:t>εποπτεία και τον έλεγχο των φορολογικών αποθηκών θα καθορίζονται με</w:t>
      </w:r>
    </w:p>
    <w:p>
      <w:pPr>
        <w:spacing w:before="240" w:after="240"/>
        <w:rPr>
          <w:lang w:val="el" w:eastAsia="el"/>
        </w:rPr>
      </w:pPr>
      <w:r>
        <w:rPr>
          <w:b/>
          <w:bCs/>
          <w:lang w:val="el" w:eastAsia="el"/>
        </w:rPr>
        <w:t>απόφαση του Υπουργού Οικονομικών.</w:t>
      </w:r>
    </w:p>
    <w:p>
      <w:pPr>
        <w:spacing w:before="240" w:after="240"/>
        <w:rPr>
          <w:lang w:val="el" w:eastAsia="el"/>
        </w:rPr>
      </w:pPr>
      <w:r>
        <w:rPr>
          <w:b/>
          <w:bCs/>
          <w:lang w:val="el" w:eastAsia="el"/>
        </w:rPr>
        <w:t>Ειδικά για τις φορολογικές αποθήκες ενεργειακών προϊόντων του άρθρου 73, εκτός των υγραερίων των περιπτώσεων ιγ`, ιδ` και ιε` της παραγράφου 1 του ίδιου άρθρου, εγκαθίστανται ολοκληρωμένα συστήματα ηλεκτρονικού ελέγχου εισροών-εκροών στα οποία συνδέεται υποχρεωτικά φορολογικός ηλεκτρονικός μηχανισμός.</w:t>
      </w:r>
    </w:p>
    <w:p>
      <w:pPr>
        <w:spacing w:before="240" w:after="240"/>
        <w:rPr>
          <w:lang w:val="el" w:eastAsia="el"/>
        </w:rPr>
      </w:pPr>
      <w:r>
        <w:rPr>
          <w:b/>
          <w:bCs/>
          <w:lang w:val="el" w:eastAsia="el"/>
        </w:rPr>
        <w:t>Με κοινή απόφαση των Υπουργών Οικονομικών, Ανάπτυξης, Ανταγωνιστικότητας και Ναυτιλίας και Υποδομών, Μεταφορών και Δικτύων καθορίζονται οι προδιαγραφές και ρυθμίζονται τα θέματα εγκατάστασης των συστημάτων ελέγχου εισροών-εκροών,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43"/>
      </w:r>
      <w:r>
        <w:rPr>
          <w:b/>
          <w:bCs/>
          <w:lang w:val="el" w:eastAsia="el"/>
        </w:rPr>
        <w:t>Οταν οι φορολογικές αποθήκες, οι οποίες λειτουργούν σύμφωνα με την κείμενη νομοθεσία,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 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44"/>
      </w:r>
      <w:r>
        <w:rPr>
          <w:b/>
          <w:bCs/>
          <w:lang w:val="el" w:eastAsia="el"/>
        </w:rPr>
        <w:t xml:space="preserve"> να παράγει, να μεταποιεί, να κατέχει, να παραλαμβάνει και να αποστέλλει, στα πλαίσια των επιχειρηματικών δραστηριοτήτων του, υποκείμενα σε ειδικό φόρο κατανάλωσης προϊόντα, τα οποία τελούν υπό αναστολή 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rStyle w:val="Hyperlink"/>
          <w:b/>
          <w:bCs/>
          <w:color w:val="000000"/>
          <w:sz w:val="20"/>
          <w:szCs w:val="20"/>
          <w:u w:val="none" w:color="0000EE"/>
          <w:vertAlign w:val="superscript"/>
          <w:lang w:val="el" w:eastAsia="el"/>
        </w:rPr>
        <w:footnoteReference w:id="45"/>
      </w:r>
      <w:r>
        <w:rPr>
          <w:b/>
          <w:bCs/>
          <w:lang w:val="el" w:eastAsia="el"/>
        </w:rPr>
        <w:t>να εισάγει στη φορολογική αποθήκη του και να προβαίνει στη λογιστική εγγραφή, με την περάτωση της διακίνησης, όλων των υποκείμενων σε ειδικό φόρο κατανάλωσης προϊόντων, τα οποία διακινούνται υπό καθεστώς αναστολής, εκτός εάν εφαρμόζεται η παράγραφος 2 του άρθρου 112 και να τηρεί λογιστικά βιβλία των αποθεμάτων και των κινήσεων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6"/>
      </w:r>
      <w:r>
        <w:rPr>
          <w:b/>
          <w:bCs/>
          <w:lang w:val="el" w:eastAsia="el"/>
        </w:rPr>
        <w:t xml:space="preserve">Άρθρο 65 </w:t>
      </w:r>
    </w:p>
    <w:p>
      <w:pPr>
        <w:pStyle w:val="Heading6"/>
        <w:spacing w:before="240" w:after="240"/>
        <w:rPr>
          <w:lang w:val="el" w:eastAsia="el"/>
        </w:rPr>
      </w:pPr>
      <w:r>
        <w:rPr>
          <w:b/>
          <w:bCs/>
          <w:lang w:val="el" w:eastAsia="el"/>
        </w:rPr>
        <w:t>Καταστροφές και απώλειες προϊόντων που τελούν υπό καθεστώς αναστολής</w:t>
      </w:r>
    </w:p>
    <w:p>
      <w:pPr>
        <w:pStyle w:val="MainText"/>
        <w:spacing w:before="120" w:after="0"/>
        <w:rPr>
          <w:lang w:val="el" w:eastAsia="el"/>
        </w:rPr>
      </w:pPr>
      <w:r>
        <w:rPr>
          <w:b/>
          <w:bCs/>
          <w:lang w:val="el" w:eastAsia="el"/>
        </w:rPr>
        <w:t>1.</w:t>
      </w:r>
      <w:r>
        <w:rPr>
          <w:b/>
          <w:bCs/>
          <w:lang w:val="el" w:eastAsia="el"/>
        </w:rPr>
        <w:t xml:space="preserve"> Η ολική καταστροφή ή η ανεπανόρθωτη απώλεια προϊόντων που υπόκεινται σε ειδικό φόρο κατανάλωσης και τελούν υπό καθεσττώς αναστολής από αιτία οφειλμενη στην ίδια τη φύση του προϊόντος, σε τυχαίο γεγονός ή ανωτέρα βία ή ακόμη και με την άδεια των αρμόδιων αρχών του κράτους-μέλους, δεν θεωρείται θέση σε ανάλωση. θεωρείται ότι τα προϊόντα έχουν υποστεί ολική καταστροφή ή ανεπανόρθωτη απώλεια όταν δεν μπορούν να χρησιμοποιηθούν ως προϊόντα που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7"/>
      </w:r>
      <w:r>
        <w:rPr>
          <w:b/>
          <w:bCs/>
          <w:lang w:val="el" w:eastAsia="el"/>
        </w:rPr>
        <w:t xml:space="preserve">Άρθρο 66 </w:t>
      </w:r>
    </w:p>
    <w:p>
      <w:pPr>
        <w:pStyle w:val="Heading6"/>
        <w:spacing w:before="240" w:after="240"/>
        <w:rPr>
          <w:lang w:val="el" w:eastAsia="el"/>
        </w:rPr>
      </w:pPr>
      <w:r>
        <w:rPr>
          <w:b/>
          <w:bCs/>
          <w:lang w:val="el" w:eastAsia="el"/>
        </w:rPr>
        <w:t>Επιστροφή ή διαγραφή του φόρου – Βεβαίωση και είσπραξη εκ των υστέρων</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 δύνανται στις προβλεπόμενες από τα άρθρα 57, 60 και 119 του παρόντος Κώδικα περιπτώσεις, να αποτελέσουν, μετά από αίτηση ενός ενδιαφερομένου, αντικείμενο επιστροφής ή διαγραφής του ειδικού φόρου κατανάλωσης από την αρμόδια αρχή, εφόσον τα προϊόντα αυτά δεν πρόκειται να καταναλωθούν στο εσωτερικό της χώρας.</w:t>
      </w:r>
    </w:p>
    <w:p>
      <w:pPr>
        <w:spacing w:before="240" w:after="240"/>
        <w:rPr>
          <w:lang w:val="el" w:eastAsia="el"/>
        </w:rPr>
      </w:pPr>
      <w:r>
        <w:rPr>
          <w:b/>
          <w:bCs/>
          <w:lang w:val="el" w:eastAsia="el"/>
        </w:rPr>
        <w:t>Αν τα προϊόντα αυτά φέρουν φορολογικά επισήματα (ένσημες ταινίες φορολογίας καπνού ή αλκοολούχων ποτών), πρέπει πριν από την αποστολή τους και προκειμένου να επιστραφεί ο ειδικός φόρος κατανάλωσης, να προσκομισθούν για καταστροφή τα επισήματα αυτά στην αρμόδια αρχή.</w:t>
      </w:r>
    </w:p>
    <w:p>
      <w:pPr>
        <w:pStyle w:val="MainText"/>
        <w:spacing w:before="120" w:after="0"/>
        <w:rPr>
          <w:lang w:val="el" w:eastAsia="el"/>
        </w:rPr>
      </w:pPr>
      <w:r>
        <w:rPr>
          <w:b/>
          <w:bCs/>
          <w:lang w:val="el" w:eastAsia="el"/>
        </w:rPr>
        <w:t>2.</w:t>
      </w:r>
      <w:r>
        <w:rPr>
          <w:b/>
          <w:bCs/>
          <w:lang w:val="el" w:eastAsia="el"/>
        </w:rPr>
        <w:t xml:space="preserve"> Στις περιπτώσεις του άρθρου 57 του παρόντος Κώδικα ο ειδικός φόρος κατανάλωσης που επιβλήθηκε στο εσωτερικό της χώρας επιστρέφεται ή διαγράφεται μόνον εφόσον ο φόρος αυτός έχει καταστεί απαιτητός και έχει εισπραχθεί στο άλλο κράτος-μέλος, σύμφωνα με τη διαδικασία της παραγράφου 7 του ίδιου άρθρου.</w:t>
      </w:r>
    </w:p>
    <w:p>
      <w:pPr>
        <w:pStyle w:val="MainText"/>
        <w:spacing w:before="120" w:after="0"/>
        <w:rPr>
          <w:lang w:val="el" w:eastAsia="el"/>
        </w:rPr>
      </w:pPr>
      <w:r>
        <w:rPr>
          <w:b/>
          <w:bCs/>
          <w:lang w:val="el" w:eastAsia="el"/>
        </w:rPr>
        <w:t>3.</w:t>
      </w:r>
      <w:r>
        <w:rPr>
          <w:b/>
          <w:bCs/>
          <w:lang w:val="el" w:eastAsia="el"/>
        </w:rPr>
        <w:t xml:space="preserve"> Στις περιπτώσεις του άρθρου 60 του παρόντος Κώδικα ο ειδικός φόρος κατανάλωσης που επιβλήθηκε στο εσωτερικό της χώρας επιστρέφεται ή διαγράφεται, κατόπιν σχετικού αιτήματος του πωλητή, εφόσον ο ίδιος ή ο φορολογικός του αντιπρόσωπος έχει ακολουθήσει στο κράτος-μέλος προορισμού τις διαδικασίες της παραγράφου 4 του ίδιου άρθρου.</w:t>
      </w:r>
    </w:p>
    <w:p>
      <w:pPr>
        <w:pStyle w:val="MainText"/>
        <w:spacing w:before="120" w:after="0"/>
        <w:rPr>
          <w:lang w:val="el" w:eastAsia="el"/>
        </w:rPr>
      </w:pPr>
      <w:r>
        <w:rPr>
          <w:b/>
          <w:bCs/>
          <w:lang w:val="el" w:eastAsia="el"/>
        </w:rPr>
        <w:t>4.</w:t>
      </w:r>
      <w:r>
        <w:rPr>
          <w:b/>
          <w:bCs/>
          <w:lang w:val="el" w:eastAsia="el"/>
        </w:rPr>
        <w:t xml:space="preserve"> Πέραν των προβλεπομένων στην παράγραφο 1, στις περιπτώσεις που υποκείμενα σε ειδικό φόρο κατανάλωσης προϊόντα φέρουν φορολογικά επισήματα (ένσημες ταινίες φορολογίας καπνού ή αλκοολούχων ποτών), τα τυχόν ποσά που καταβλήθηκαν ή αποτέλεσαν αντικείμενο εγγύησης για την απόκτηση τους, πλην της αξίας τους, επιστρέφονται, διαγράφονται ή αποδεσμεύονται από την αρμόδια αρχή εάν ο ειδικός φόρος κατανάλωσης έχει καταστεί απαιτητός και έχει εισπραχθεί σε άλλο κράτος-μέλος.</w:t>
      </w:r>
    </w:p>
    <w:p>
      <w:pPr>
        <w:spacing w:before="240" w:after="240"/>
        <w:rPr>
          <w:lang w:val="el" w:eastAsia="el"/>
        </w:rPr>
      </w:pPr>
      <w:r>
        <w:rPr>
          <w:b/>
          <w:bCs/>
          <w:lang w:val="el" w:eastAsia="el"/>
        </w:rPr>
        <w:t>Το ποσό του ειδικού φόρου κατανάλωσης, το οποίο καταβλήθηκε ή αποτέλεσε αντικείμενο εγγύησης επιστρέφεται, διαγράφεται ή αποδεσμεύεται με την προσκόμιση στην αρμόδια αρχή, ικανοποιητικής απόδειξης ότι τα φορολογικά επισήματα έχουν αφαιρεθεί ή καταστραφεί.</w:t>
      </w:r>
    </w:p>
    <w:p>
      <w:pPr>
        <w:pStyle w:val="MainText"/>
        <w:spacing w:before="120" w:after="0"/>
        <w:rPr>
          <w:lang w:val="el" w:eastAsia="el"/>
        </w:rPr>
      </w:pPr>
      <w:r>
        <w:rPr>
          <w:b/>
          <w:bCs/>
          <w:lang w:val="el" w:eastAsia="el"/>
        </w:rPr>
        <w:t>5.</w:t>
      </w:r>
      <w:r>
        <w:rPr>
          <w:b/>
          <w:bCs/>
          <w:lang w:val="el" w:eastAsia="el"/>
        </w:rPr>
        <w:t xml:space="preserve"> Ο ειδικός φόρος κατανάλωσης που έχει βεβαιωθεί για προϊόντα που έχουν τεθεί σε ανάλωση με απαλλαγή από τον φόρο αυτό, βάσει των διατάξεων που προβλέπονται από το τρίτο μέρος του παρόντος Κώδικα διαγράφεται, εάν τα προϊόντα μετά τη θέση τους σε ανάλωση υπέστησαν ανεπανόρθωτη απώλεια ή ολική καταστροφή, εξ αιτίας τυχαίων περιστατικών ή ανωτέρας βίας, ή ακόμη και με σχετική για την καταστροφή τους έγκριση από τις αρμόδιες αρχές της χώρας. Η ολική καταστροφή ή η ανεπανόρθωτη απώλεια πρέπει να αποδεικνύεται κατά τρόπο ικανοποιητικό για τις αρμόδιες αρχές.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όροι και οι προύποθέσεις υπό τις οποίες επιστρέφεται ή διαγράφεται ο ειδικός φόρος κατανάλωσης στις προβλεπόμενες από το άρθρο αυτό περιπτώσεις, οι αρμόδιες για την επιστροφή ή διαγραφή αρχές, καθώς και κάθε αναγκαία λεπτομέρεια εφαρμογής του παρόντος άρθρου.</w:t>
      </w:r>
    </w:p>
    <w:p>
      <w:pPr>
        <w:pStyle w:val="MainText"/>
        <w:spacing w:before="120" w:after="0"/>
        <w:rPr>
          <w:lang w:val="el" w:eastAsia="el"/>
        </w:rPr>
      </w:pPr>
      <w:r>
        <w:rPr>
          <w:b/>
          <w:bCs/>
          <w:lang w:val="el" w:eastAsia="el"/>
        </w:rPr>
        <w:t>7.</w:t>
      </w:r>
      <w:r>
        <w:rPr>
          <w:b/>
          <w:bCs/>
          <w:lang w:val="el" w:eastAsia="el"/>
        </w:rPr>
        <w:t xml:space="preserve"> Οι διατάξεις περί συμπληρωματικής βεβαίωσης και είσπραξης εκ των υστέρων του άρθρου 31 του παρόντος Κώδικα, καθώς και οι διατάξεις περί αχρεωστήτως εισπραχθέντων του άρθρου 32 του παρόντος Κώδικα εφαρμόζονται ανάλογα και για τα υποκείμενα σε ειδικό φόρο κατανάλωσης προϊόντα.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8"/>
      </w:r>
      <w:r>
        <w:rPr>
          <w:b/>
          <w:bCs/>
          <w:lang w:val="el" w:eastAsia="el"/>
        </w:rPr>
        <w:t xml:space="preserve">Άρθρο 67 </w:t>
      </w:r>
    </w:p>
    <w:p>
      <w:pPr>
        <w:pStyle w:val="Heading6"/>
        <w:spacing w:before="240" w:after="240"/>
        <w:rPr>
          <w:lang w:val="el" w:eastAsia="el"/>
        </w:rPr>
      </w:pPr>
      <w:r>
        <w:rPr>
          <w:b/>
          <w:bCs/>
          <w:lang w:val="el" w:eastAsia="el"/>
        </w:rPr>
        <w:t>Πωλήσεις από καταστήματα αφορολοόγητων κερδών</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διατίθενται από τα καταστήματα αφορολογήτων ειδών και τα οποία μεταφέρονται στις προσωπικές αποσκευές των ταξιδιωτών που μεταβαίνουν σε τρίτο έδαφος ή σε τρίτη χώρα αεροπορικώς ή διά θαλάσσης απαλλάσσονται από την καταβολή του ειδικού φόρου κατανάλωσης.</w:t>
      </w:r>
    </w:p>
    <w:p>
      <w:pPr>
        <w:pStyle w:val="MainText"/>
        <w:spacing w:before="120" w:after="0"/>
        <w:rPr>
          <w:lang w:val="el" w:eastAsia="el"/>
        </w:rPr>
      </w:pPr>
      <w:r>
        <w:rPr>
          <w:b/>
          <w:bCs/>
          <w:lang w:val="el" w:eastAsia="el"/>
        </w:rPr>
        <w:t>2.</w:t>
      </w:r>
      <w:r>
        <w:rPr>
          <w:b/>
          <w:bCs/>
          <w:lang w:val="el" w:eastAsia="el"/>
        </w:rPr>
        <w:t xml:space="preserve"> [Έως την 1η Ιανουαρίου 2017] απαλλάσσονται επίσης από την καταβολή του ειδικού φόρου κατανάλωσης τα υποκείμενα σε ειδικό φόρο κατανάλωσης προϊόντα, τα οποία διατίθενται από καταστήματα αφορολογήτων ειδών που είναι εγκατεστημένα εκτός αερολιμένα ή λιμένα και τα οποία μεταφέρονται στις προσωπικές αποσκευές των ταξιδιωτών που μεταβαίνουν σε τρίτο έδαφος ή σε τρίτη χώρα δια ξηράς.</w:t>
      </w:r>
    </w:p>
    <w:p>
      <w:pPr>
        <w:pStyle w:val="MainText"/>
        <w:spacing w:before="120" w:after="0"/>
        <w:rPr>
          <w:lang w:val="el" w:eastAsia="el"/>
        </w:rPr>
      </w:pPr>
      <w:r>
        <w:rPr>
          <w:b/>
          <w:bCs/>
          <w:lang w:val="el" w:eastAsia="el"/>
        </w:rPr>
        <w:t>3.</w:t>
      </w:r>
      <w:r>
        <w:rPr>
          <w:b/>
          <w:bCs/>
          <w:lang w:val="el" w:eastAsia="el"/>
        </w:rPr>
        <w:t xml:space="preserve"> Τα προϊόντα τα οποία διατίθενται μέσα σε αεροσκάφος ή πλοίο κατά τη διάρκεια της πτήσης ή του πλου προς τρίτο έδαφος ή τρίτη χώρα αντιμετωπίζονται κατά τον ίδιο τρόπο με τα προϊόντα τα οποία διατίθενται από τα καταστήματα αφορολογήτων ειδών.</w:t>
      </w:r>
    </w:p>
    <w:p>
      <w:pPr>
        <w:pStyle w:val="MainText"/>
        <w:spacing w:before="120" w:after="0"/>
        <w:rPr>
          <w:lang w:val="el" w:eastAsia="el"/>
        </w:rPr>
      </w:pPr>
      <w:r>
        <w:rPr>
          <w:b/>
          <w:bCs/>
          <w:lang w:val="el" w:eastAsia="el"/>
        </w:rPr>
        <w:t>4.</w:t>
      </w:r>
      <w:r>
        <w:rPr>
          <w:b/>
          <w:bCs/>
          <w:lang w:val="el" w:eastAsia="el"/>
        </w:rPr>
        <w:t xml:space="preserve"> Οι όροι και οι προύποθέσεις για τη χορήγηση των ανωτέρω απαλλαγών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Με την επιφύλαξη της παραγράφου 2, για τους σκοπούς του παρόντος άρθρου ισχύουν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"κατάστημα αφορολόγητων ειδών": κατάστημα που βρίσκεται μέσα σε αερολιμένα ή λιμένα και πληροί τις προύποθέσεις που καθορίζονται από τις οικείες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"ταξιδιώτης που μεταβαίνει σε τρίτο έδαφος ή σε τρίτη χώρα": επιβάτης κάτοχος αεροπορικού εισιτηρίου ή εισιτηρίου θαλάσσιας διαδρομής, στο οποίο ως τελικός προορισμός αναφέρεται αερολιμένας ή λιμένας τρίτου εδάφους ή τρίτης χώρας.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9"/>
      </w: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τα προϊόντα που αναφέρονται στο άρθρο 53 του παρόντος Κώδικα, εφόσον προορίζονται να χρησιμοποιηθούν: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από αναγνωρισμένους διεθνείς οργανισμούς και από τα μέλη των οργανισμών αυτών, μέσα στα όρια και σύμφωνα με τις προύποθέσεις που καθορίζονται από τις διεθνείς συμβάσεις για την ίδρυση τους ή από τις 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τις ένοπλες δυνάμεις κάθε κράτους που συμμετέχει στη συνθήκη του Βορείου Ατλαντικού πλην του κράτους-μέλους εντός του οποίου είναι απαιτητός ο ειδικός φόρος κατανάλωσης, εφόσον προορίζονται για χρήση από τις δυνάμεις αυτές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τις ένοπλες δυνάμεις του Ηνωμένου Βασιλείου που σταθμεύουν στην Κύπρο, σύμφωνα με τη συνθήκη εγκαθίδρυσης της Κυπριακής Δημοκρατίας της 16ης Αυγούστου 1960, για χρήση από τις εν λόγω ένοπλες δυνάμεις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ε)</w:t>
      </w:r>
      <w:r>
        <w:rPr>
          <w:b/>
          <w:bCs/>
          <w:lang w:val="en" w:eastAsia="en"/>
        </w:rPr>
        <w:tab/>
      </w:r>
      <w:r>
        <w:rPr>
          <w:b/>
          <w:bCs/>
          <w:lang w:val="el" w:eastAsia="el"/>
        </w:rPr>
        <w:t>για κατανάλωση στα πλαίσια συμφωνίας που συνάπτεται με τρίτες χώρες ή διεθνείς οργανισμούς, εφόσον αυτή η συμφωνία γίνεται δεκτή ή επιτρέπεται να υπαχθεί σε καθεστώς απαλλαγής από το φόρο προστιθέμενης αξίας.</w:t>
      </w:r>
    </w:p>
    <w:p>
      <w:pPr>
        <w:pStyle w:val="MainText"/>
        <w:spacing w:before="120" w:after="0"/>
        <w:rPr>
          <w:lang w:val="el" w:eastAsia="el"/>
        </w:rPr>
      </w:pPr>
      <w:r>
        <w:rPr>
          <w:b/>
          <w:bCs/>
          <w:lang w:val="el" w:eastAsia="el"/>
        </w:rPr>
        <w:t>2.</w:t>
      </w:r>
      <w:r>
        <w:rPr>
          <w:b/>
          <w:bCs/>
          <w:lang w:val="el" w:eastAsia="el"/>
        </w:rPr>
        <w:t xml:space="preserve"> Με την επιφύλαξη των διατάξεων του άρθρου 112 παράγραφος 1 και τηρουμένων των διατάξεων του άρθρου 114 παράγραφος 1, τα υποκείμενα σε ειδικό φόρο κατανάλωσης προϊόντα, τα οποία διακινούνται υπό καθεστώς αναστολής για να παραδοθούν σε παραλήπτη που αναφέρεται στην προηγούμενη παράγραφο, συνοδεύονται από πιστοποιητικό απαλλαγής, η μορφή και το περιεχόμενο του οποίου καθορίζονται από κοινοτικές διατάξεις.</w:t>
      </w:r>
    </w:p>
    <w:p>
      <w:pPr>
        <w:pStyle w:val="MainText"/>
        <w:spacing w:before="120" w:after="0"/>
        <w:rPr>
          <w:lang w:val="el" w:eastAsia="el"/>
        </w:rPr>
      </w:pPr>
      <w:r>
        <w:rPr>
          <w:b/>
          <w:bCs/>
          <w:lang w:val="el" w:eastAsia="el"/>
        </w:rPr>
        <w:t>3.</w:t>
      </w:r>
      <w:r>
        <w:rPr>
          <w:b/>
          <w:bCs/>
          <w:lang w:val="el" w:eastAsia="el"/>
        </w:rPr>
        <w:t xml:space="preserve"> Επίσης, απαλλάσσονται του ειδικού φόρου κατανάλωσης τα προϊόντα που προορίζονται για εφοδιασμό πλοίων και αεροσκαφών. Η απαλλαγή αυτή παρέχεται σύμφωνα με τις ισχύουσες εθνικές διατάξεις.</w:t>
      </w:r>
    </w:p>
    <w:p>
      <w:pPr>
        <w:pStyle w:val="MainText"/>
        <w:spacing w:before="120" w:after="0"/>
        <w:rPr>
          <w:lang w:val="el" w:eastAsia="el"/>
        </w:rPr>
      </w:pPr>
      <w:r>
        <w:rPr>
          <w:b/>
          <w:bCs/>
          <w:lang w:val="el" w:eastAsia="el"/>
        </w:rPr>
        <w:t>4.</w:t>
      </w:r>
      <w:r>
        <w:rPr>
          <w:b/>
          <w:bCs/>
          <w:lang w:val="el" w:eastAsia="el"/>
        </w:rPr>
        <w:t xml:space="preserve"> Οι όροι και οι προύποθέσεις χορήγησης των απαλλαγών των παραγράφων 1 και 3, καθώς και οι χορηγούμενες ποσότητες, καθορίζονται με αποφάσεις 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0"/>
      </w:r>
      <w:r>
        <w:rPr>
          <w:rStyle w:val="Hyperlink"/>
          <w:b/>
          <w:bCs/>
          <w:color w:val="000000"/>
          <w:sz w:val="20"/>
          <w:szCs w:val="20"/>
          <w:u w:val="none" w:color="0000EE"/>
          <w:vertAlign w:val="superscript"/>
          <w:lang w:val="el" w:eastAsia="el"/>
        </w:rPr>
        <w:footnoteReference w:id="51"/>
      </w: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κατά μέσο όρο κάτω από χίλια (1.000) HL ετησίως απαλλάσσονται από τις υποχρεώσεις που προβλέπονται από τις διατάξεις του τμήματος Β` του κεφαλαίου Α`, του τμήματος Β` του κεφαλαίου Γ` τις σχετικές με τη διακίνηση και τον έλεγχο, καθώς και από τις λοιπές υποχρεώσεις τις σχετικές με τη διακίνηση και τον έλεγχο του τρίτου μέρους του παρόντος Κώδικα.</w:t>
      </w:r>
    </w:p>
    <w:p>
      <w:pPr>
        <w:pStyle w:val="MainText"/>
        <w:spacing w:before="120" w:after="0"/>
        <w:rPr>
          <w:lang w:val="el" w:eastAsia="el"/>
        </w:rPr>
      </w:pPr>
      <w:r>
        <w:rPr>
          <w:b/>
          <w:bCs/>
          <w:lang w:val="el" w:eastAsia="el"/>
        </w:rPr>
        <w:t>2.</w:t>
      </w:r>
      <w:r>
        <w:rPr>
          <w:b/>
          <w:bCs/>
          <w:lang w:val="el" w:eastAsia="el"/>
        </w:rPr>
        <w:t xml:space="preserve"> Οταν οι μικροί οινοπαραγωγοί πραγματοποιούν οι ίδιοι ενδοκοινοτικές συναλλαγές, ενημερώνουν τις αρμόδιες αρχές τους και συμμορφώνονται με τις υποχρεώσεις που προβλέπονται στον Κανονισμό ΕΚ 436/2009 της 26ης Μαίου 2009 "για τις λεπτομέρειες εφαρμογής του Κανονισμού (ΕΚ) αριθμ. 479/2008 του Συμβουλίου, όσον αφορά το αμπελουργικό μητρώο, τις υποχρεωτικές δηλώσεις και τη συγκέντρωση στοιχείων για την παρακολούθηση της αγοράς, τα συνοδευτικά έγγραφα μεταφοράς των προϊόντων και τα βιβλία που πρέπει να τηρούνται στον αμπελοοινικό τομέα" (L128/27.5.2009).</w:t>
      </w:r>
    </w:p>
    <w:p>
      <w:pPr>
        <w:pStyle w:val="MainText"/>
        <w:spacing w:before="120" w:after="0"/>
        <w:rPr>
          <w:lang w:val="el" w:eastAsia="el"/>
        </w:rPr>
      </w:pPr>
      <w:r>
        <w:rPr>
          <w:b/>
          <w:bCs/>
          <w:lang w:val="el" w:eastAsia="el"/>
        </w:rPr>
        <w:t>3.</w:t>
      </w:r>
      <w:r>
        <w:rPr>
          <w:b/>
          <w:bCs/>
          <w:lang w:val="el" w:eastAsia="el"/>
        </w:rPr>
        <w:t xml:space="preserve"> Στις περιπτώσεις αυτές ο παραλήπτης οφείλει να ενημερώνει τις αρμόδιες αρχές του κράτους-μέλους προορισμού, μέσω του εγγράφου που απαιτείται από τον Κανονισμό (ΕΚ) 436/2009 ή με αναφορά σε αυτό, για τις πραγματοποιηθείσες παραλαβές οίνου.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δύναται να καθορίζονται οι διατυπώσεις και κάθε αναγκαία λεπτομέρεια για την εφαρμογή του παρόντος άρθρου.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52"/>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53"/>
      </w:r>
      <w:r>
        <w:rPr>
          <w:rStyle w:val="Hyperlink"/>
          <w:b/>
          <w:bCs/>
          <w:color w:val="000000"/>
          <w:sz w:val="20"/>
          <w:szCs w:val="20"/>
          <w:u w:val="none" w:color="0000EE"/>
          <w:vertAlign w:val="superscript"/>
          <w:lang w:val="el" w:eastAsia="el"/>
        </w:rPr>
        <w:footnoteReference w:id="54"/>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Προϊόντα που υπάγονται στους κωδικούς της Σ.Ο. 3824 99 86, 3824 99 92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3824 99 93, 3824 99 96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3826 00 10 και 3826 00 90,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12 έως 2710 19 68, 2710 20 έως 2710 20 39 και 2710 20 90 (μόνο για προϊόντα των οποίων λιγότερο από το ενενήντα τοις εκατό (90%) κατ` όγκο, συμπεριλαμβανομένων των απωλειών, αποστάζει σε θερμοκρασία 210° C και τουλάχιστον το εξήντα πέντε τοις εκατό (65 %) κατ` όγκο ,συμπεριλαμβανομένων των απωλειών, αποστάζει σε θερμοκρασία 250° C, σύμφωνα με τη μέθοδο ISO 3405 (ισοδύναμη προς τη μέθοδο ASTM D 86). Εντούτοις, για τα προϊόντα που υπάγονται στους κωδικούς της Σ.Ο. 2710 12 21,2710 12 25, 2710 19 29 και 2710 20 90 (μόνο για προϊόντα των οποίων λιγότερο από το ενενήντα τοις εκατό (90 %) κατ` όγκο (συμπεριλαμβανομένων των απωλειών) αποστάζει σε θερμοκρασία 210° C και τουλάχιστον το εξήντα πέντε τοις εκατό (65 %) κατ` όγκο (συμπεριλαμβανομένων των απωλειών) αποστάζει σε θερμοκρασία 250° C, σύμφωνα με τη μέθοδο ISO 3405 (ισοδύναμη προς τη μέθοδο ASTM D 86)),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Ξυλόλιο (κωδικός Σ.Ο. 2902 41).</w:t>
      </w:r>
    </w:p>
    <w:p>
      <w:pPr>
        <w:spacing w:before="240" w:after="240"/>
        <w:rPr>
          <w:lang w:val="el" w:eastAsia="el"/>
        </w:rPr>
      </w:pPr>
      <w:r>
        <w:rPr>
          <w:b/>
          <w:bCs/>
          <w:lang w:val="el" w:eastAsia="el"/>
        </w:rPr>
        <w:t>Ξυλόλιο (κωδικός Σ.Ο. 2902 42).</w:t>
      </w:r>
    </w:p>
    <w:p>
      <w:pPr>
        <w:spacing w:before="240" w:after="240"/>
        <w:rPr>
          <w:lang w:val="el" w:eastAsia="el"/>
        </w:rPr>
      </w:pPr>
      <w:r>
        <w:rPr>
          <w:b/>
          <w:bCs/>
          <w:lang w:val="el" w:eastAsia="el"/>
        </w:rPr>
        <w:t>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Προϊόντα που υπάγονται στους κωδικούς της Σ.Ο. 3824 99 86, 3824 99 92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3824 99 93, 3824 99 96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3826 00 10 και 3826 00 90, εφόσον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θ)</w:t>
      </w:r>
      <w:r>
        <w:rPr>
          <w:b/>
          <w:bCs/>
          <w:lang w:val="en" w:eastAsia="en"/>
        </w:rPr>
        <w:tab/>
      </w:r>
      <w:r>
        <w:rPr>
          <w:b/>
          <w:bCs/>
          <w:lang w:val="el" w:eastAsia="el"/>
        </w:rPr>
        <w:t>Πρόσθετες ύλες των κωδικών Σ.Ο. 38111110, 38111190, 38111900 και 38119000.</w:t>
      </w:r>
    </w:p>
    <w:p>
      <w:pPr>
        <w:spacing w:before="240" w:after="240"/>
        <w:rPr>
          <w:lang w:val="el" w:eastAsia="el"/>
        </w:rPr>
      </w:pPr>
      <w:r>
        <w:rPr>
          <w:b/>
          <w:bCs/>
          <w:lang w:val="el" w:eastAsia="el"/>
        </w:rPr>
        <w:t>4 Οι τίτλοι και κωδικοί αριθμοί της Σ.Ο. που περιλαμβάνονται στο άρθρο αυτό, αναφέρονται στο κείμενο της Σ.Ο. του Εκτελεστικού Κανονισμού (ΕΕ) 2017/1925 της Επιτροπής, της 12ης Οκτωβρίου 2017 (ΕΕ L282/1 της 31.10.2017), που τροποποιεί το Παράρτημα Ι του Κανονισμού (ΕΟΚ) 2658/87 του Συμβουλίου της 23ης Ιουλίου 1987 για τη δασμολογική και στατιστική ονοματολογία και το κοινό δασμολόγιο (EE L 256/1 της 7.9.1987).</w:t>
      </w:r>
      <w:r>
        <w:rPr>
          <w:rStyle w:val="Hyperlink"/>
          <w:b/>
          <w:bCs/>
          <w:color w:val="000000"/>
          <w:sz w:val="20"/>
          <w:szCs w:val="20"/>
          <w:u w:val="none" w:color="0000EE"/>
          <w:vertAlign w:val="superscript"/>
          <w:lang w:val="el" w:eastAsia="el"/>
        </w:rPr>
        <w:footnoteReference w:id="55"/>
      </w:r>
      <w:r>
        <w:rPr>
          <w:rStyle w:val="Hyperlink"/>
          <w:b/>
          <w:bCs/>
          <w:color w:val="000000"/>
          <w:sz w:val="20"/>
          <w:szCs w:val="20"/>
          <w:u w:val="none" w:color="0000EE"/>
          <w:vertAlign w:val="superscript"/>
          <w:lang w:val="el" w:eastAsia="el"/>
        </w:rPr>
        <w:footnoteReference w:id="56"/>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57"/>
      </w:r>
      <w:r>
        <w:rPr>
          <w:rStyle w:val="Hyperlink"/>
          <w:b/>
          <w:bCs/>
          <w:color w:val="000000"/>
          <w:sz w:val="20"/>
          <w:szCs w:val="20"/>
          <w:u w:val="none" w:color="0000EE"/>
          <w:vertAlign w:val="superscript"/>
          <w:lang w:val="el" w:eastAsia="el"/>
        </w:rPr>
        <w:footnoteReference w:id="58"/>
      </w:r>
      <w:r>
        <w:rPr>
          <w:rStyle w:val="Hyperlink"/>
          <w:b/>
          <w:bCs/>
          <w:color w:val="000000"/>
          <w:sz w:val="20"/>
          <w:szCs w:val="20"/>
          <w:u w:val="none" w:color="0000EE"/>
          <w:vertAlign w:val="superscript"/>
          <w:lang w:val="el" w:eastAsia="el"/>
        </w:rPr>
        <w:footnoteReference w:id="59"/>
      </w:r>
      <w:r>
        <w:rPr>
          <w:rStyle w:val="Hyperlink"/>
          <w:b/>
          <w:bCs/>
          <w:color w:val="000000"/>
          <w:sz w:val="20"/>
          <w:szCs w:val="20"/>
          <w:u w:val="none" w:color="0000EE"/>
          <w:vertAlign w:val="superscript"/>
          <w:lang w:val="el" w:eastAsia="el"/>
        </w:rPr>
        <w:footnoteReference w:id="60"/>
      </w:r>
      <w:r>
        <w:rPr>
          <w:rStyle w:val="Hyperlink"/>
          <w:b/>
          <w:bCs/>
          <w:color w:val="000000"/>
          <w:sz w:val="20"/>
          <w:szCs w:val="20"/>
          <w:u w:val="none" w:color="0000EE"/>
          <w:vertAlign w:val="superscript"/>
          <w:lang w:val="el" w:eastAsia="el"/>
        </w:rPr>
        <w:footnoteReference w:id="61"/>
      </w:r>
      <w:r>
        <w:rPr>
          <w:rStyle w:val="Hyperlink"/>
          <w:b/>
          <w:bCs/>
          <w:color w:val="000000"/>
          <w:sz w:val="20"/>
          <w:szCs w:val="20"/>
          <w:u w:val="none" w:color="0000EE"/>
          <w:vertAlign w:val="superscript"/>
          <w:lang w:val="el" w:eastAsia="el"/>
        </w:rPr>
        <w:footnoteReference w:id="62"/>
      </w:r>
      <w:r>
        <w:rPr>
          <w:rStyle w:val="Hyperlink"/>
          <w:b/>
          <w:bCs/>
          <w:color w:val="000000"/>
          <w:sz w:val="20"/>
          <w:szCs w:val="20"/>
          <w:u w:val="none" w:color="0000EE"/>
          <w:vertAlign w:val="superscript"/>
          <w:lang w:val="el" w:eastAsia="el"/>
        </w:rPr>
        <w:footnoteReference w:id="63"/>
      </w:r>
      <w:r>
        <w:rPr>
          <w:rStyle w:val="Hyperlink"/>
          <w:b/>
          <w:bCs/>
          <w:color w:val="000000"/>
          <w:sz w:val="20"/>
          <w:szCs w:val="20"/>
          <w:u w:val="none" w:color="0000EE"/>
          <w:vertAlign w:val="superscript"/>
          <w:lang w:val="el" w:eastAsia="el"/>
        </w:rPr>
        <w:footnoteReference w:id="64"/>
      </w:r>
      <w:r>
        <w:rPr>
          <w:rStyle w:val="Hyperlink"/>
          <w:b/>
          <w:bCs/>
          <w:color w:val="000000"/>
          <w:sz w:val="20"/>
          <w:szCs w:val="20"/>
          <w:u w:val="none" w:color="0000EE"/>
          <w:vertAlign w:val="superscript"/>
          <w:lang w:val="el" w:eastAsia="el"/>
        </w:rPr>
        <w:footnoteReference w:id="65"/>
      </w:r>
      <w:r>
        <w:rPr>
          <w:rStyle w:val="Hyperlink"/>
          <w:b/>
          <w:bCs/>
          <w:color w:val="000000"/>
          <w:sz w:val="20"/>
          <w:szCs w:val="20"/>
          <w:u w:val="none" w:color="0000EE"/>
          <w:vertAlign w:val="superscript"/>
          <w:lang w:val="el" w:eastAsia="el"/>
        </w:rPr>
        <w:footnoteReference w:id="66"/>
      </w:r>
      <w:r>
        <w:rPr>
          <w:rStyle w:val="Hyperlink"/>
          <w:b/>
          <w:bCs/>
          <w:color w:val="000000"/>
          <w:sz w:val="20"/>
          <w:szCs w:val="20"/>
          <w:u w:val="none" w:color="0000EE"/>
          <w:vertAlign w:val="superscript"/>
          <w:lang w:val="el" w:eastAsia="el"/>
        </w:rPr>
        <w:footnoteReference w:id="67"/>
      </w:r>
      <w:r>
        <w:rPr>
          <w:rStyle w:val="Hyperlink"/>
          <w:b/>
          <w:bCs/>
          <w:color w:val="000000"/>
          <w:sz w:val="20"/>
          <w:szCs w:val="20"/>
          <w:u w:val="none" w:color="0000EE"/>
          <w:vertAlign w:val="superscript"/>
          <w:lang w:val="el" w:eastAsia="el"/>
        </w:rPr>
        <w:footnoteReference w:id="68"/>
      </w:r>
      <w:r>
        <w:rPr>
          <w:rStyle w:val="Hyperlink"/>
          <w:b/>
          <w:bCs/>
          <w:color w:val="000000"/>
          <w:sz w:val="20"/>
          <w:szCs w:val="20"/>
          <w:u w:val="none" w:color="0000EE"/>
          <w:vertAlign w:val="superscript"/>
          <w:lang w:val="el" w:eastAsia="el"/>
        </w:rPr>
        <w:footnoteReference w:id="6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9"/>
        <w:gridCol w:w="1594"/>
        <w:gridCol w:w="938"/>
        <w:gridCol w:w="327"/>
        <w:gridCol w:w="18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70"/>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μικρότερο του 98</w:t>
            </w:r>
          </w:p>
          <w:p>
            <w:pPr>
              <w:spacing w:before="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2710 1251 2710 1259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μικρότερο του 95</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95, αλλά μικρότερο του 98</w:t>
            </w:r>
          </w:p>
          <w:p>
            <w:pPr>
              <w:spacing w:before="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2710 12 41 2710 12 45 2710 12 49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 2710 12 51 και 2710 12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271012 41 2710 12 45 2710 12 49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271012 31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 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 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62 έως 2710 19 68 και 2710 20 31 έως 2710 20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οικιακή χρήση</w:t>
            </w:r>
          </w:p>
          <w:p>
            <w:pPr>
              <w:spacing w:before="240"/>
              <w:rPr>
                <w:b w:val="0"/>
                <w:bCs w:val="0"/>
                <w:i w:val="0"/>
                <w:iCs w:val="0"/>
                <w:smallCaps w:val="0"/>
                <w:color w:val="000000"/>
                <w:lang w:val="el" w:eastAsia="el"/>
              </w:rPr>
            </w:pPr>
            <w:r>
              <w:rPr>
                <w:b w:val="0"/>
                <w:bCs w:val="0"/>
                <w:i w:val="0"/>
                <w:iCs w:val="0"/>
                <w:smallCaps w:val="0"/>
                <w:color w:val="000000"/>
                <w:lang w:val="el" w:eastAsia="el"/>
              </w:rPr>
              <w:t>για χρήση από τους λοιπούς καταναλωτές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&gt;3.600.000 Gjoule</w:t>
            </w:r>
          </w:p>
          <w:p>
            <w:pPr>
              <w:spacing w:before="240" w:after="240"/>
              <w:rPr>
                <w:b w:val="0"/>
                <w:bCs w:val="0"/>
                <w:i w:val="0"/>
                <w:iCs w:val="0"/>
                <w:smallCaps w:val="0"/>
                <w:color w:val="000000"/>
                <w:lang w:val="el" w:eastAsia="el"/>
              </w:rPr>
            </w:pPr>
            <w:r>
              <w:rPr>
                <w:b w:val="0"/>
                <w:bCs w:val="0"/>
                <w:i w:val="0"/>
                <w:iCs w:val="0"/>
                <w:smallCaps w:val="0"/>
                <w:color w:val="000000"/>
                <w:lang w:val="el" w:eastAsia="el"/>
              </w:rPr>
              <w:t>(&gt;1.000.000Mwh)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1.800.001 έως μεικτή 3.600.000 Gjoule (από 500.001 έως 1.000.000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360.001 έως 1.800.000 Gjoule (από 100.001 έως 500.001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 έως 360.000 Gjoule (από 10.000 έως 100.000 Mwh)</w:t>
            </w:r>
          </w:p>
          <w:p>
            <w:pPr>
              <w:spacing w:before="240"/>
              <w:rPr>
                <w:b w:val="0"/>
                <w:bCs w:val="0"/>
                <w:i w:val="0"/>
                <w:iCs w:val="0"/>
                <w:smallCaps w:val="0"/>
                <w:color w:val="000000"/>
                <w:lang w:val="el" w:eastAsia="el"/>
              </w:rPr>
            </w:pPr>
            <w:r>
              <w:rPr>
                <w:b w:val="0"/>
                <w:bCs w:val="0"/>
                <w:i w:val="0"/>
                <w:iCs w:val="0"/>
                <w:smallCaps w:val="0"/>
                <w:color w:val="000000"/>
                <w:lang w:val="el" w:eastAsia="el"/>
              </w:rPr>
              <w:t>για ετήσια κατανάλωση &lt; 36.000 Gjoule (&lt; 10.000 Mwh)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0,30</w:t>
            </w:r>
          </w:p>
          <w:p>
            <w:pPr>
              <w:spacing w:before="240" w:after="240"/>
              <w:rPr>
                <w:b w:val="0"/>
                <w:bCs w:val="0"/>
                <w:i w:val="0"/>
                <w:iCs w:val="0"/>
                <w:smallCaps w:val="0"/>
                <w:color w:val="000000"/>
                <w:lang w:val="el" w:eastAsia="el"/>
              </w:rPr>
            </w:pPr>
            <w:r>
              <w:rPr>
                <w:b w:val="0"/>
                <w:bCs w:val="0"/>
                <w:i w:val="0"/>
                <w:iCs w:val="0"/>
                <w:smallCaps w:val="0"/>
                <w:color w:val="000000"/>
                <w:lang w:val="el" w:eastAsia="el"/>
              </w:rPr>
              <w:t>0,35</w:t>
            </w:r>
          </w:p>
          <w:p>
            <w:pPr>
              <w:spacing w:before="240" w:after="240"/>
              <w:rPr>
                <w:b w:val="0"/>
                <w:bCs w:val="0"/>
                <w:i w:val="0"/>
                <w:iCs w:val="0"/>
                <w:smallCaps w:val="0"/>
                <w:color w:val="000000"/>
                <w:lang w:val="el" w:eastAsia="el"/>
              </w:rPr>
            </w:pPr>
            <w:r>
              <w:rPr>
                <w:b w:val="0"/>
                <w:bCs w:val="0"/>
                <w:i w:val="0"/>
                <w:iCs w:val="0"/>
                <w:smallCaps w:val="0"/>
                <w:color w:val="000000"/>
                <w:lang w:val="el" w:eastAsia="el"/>
              </w:rPr>
              <w:t>0,40</w:t>
            </w:r>
          </w:p>
          <w:p>
            <w:pPr>
              <w:spacing w:before="240" w:after="240"/>
              <w:rPr>
                <w:b w:val="0"/>
                <w:bCs w:val="0"/>
                <w:i w:val="0"/>
                <w:iCs w:val="0"/>
                <w:smallCaps w:val="0"/>
                <w:color w:val="000000"/>
                <w:lang w:val="el" w:eastAsia="el"/>
              </w:rPr>
            </w:pPr>
            <w:r>
              <w:rPr>
                <w:b w:val="0"/>
                <w:bCs w:val="0"/>
                <w:i w:val="0"/>
                <w:iCs w:val="0"/>
                <w:smallCaps w:val="0"/>
                <w:color w:val="000000"/>
                <w:lang w:val="el" w:eastAsia="el"/>
              </w:rPr>
              <w:t>0,45</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71"/>
            </w: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 xml:space="preserve">Ηλεκτρική ενέργεια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καταναλωτές υψηλής τάσης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 τους λοιπούς καταναλωτές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μη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οικιακή χρήση </w:t>
            </w:r>
          </w:p>
          <w:p>
            <w:pPr>
              <w:spacing w:before="240"/>
              <w:rPr>
                <w:b w:val="0"/>
                <w:bCs w:val="0"/>
                <w:i w:val="0"/>
                <w:iCs w:val="0"/>
                <w:smallCaps w:val="0"/>
                <w:color w:val="000000"/>
                <w:lang w:val="el" w:eastAsia="el"/>
              </w:rPr>
            </w:pPr>
            <w:r>
              <w:rPr>
                <w:b w:val="0"/>
                <w:bCs w:val="0"/>
                <w:i w:val="0"/>
                <w:iCs w:val="0"/>
                <w:smallCaps w:val="0"/>
                <w:color w:val="000000"/>
                <w:lang w:val="el" w:eastAsia="el"/>
              </w:rPr>
              <w:t>από λοιπές χρήσεις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val="0"/>
                <w:bCs w:val="0"/>
                <w:i w:val="0"/>
                <w:iCs w:val="0"/>
                <w:smallCaps w:val="0"/>
                <w:color w:val="000000"/>
                <w:lang w:val="el" w:eastAsia="el"/>
              </w:rPr>
              <w:t>2,5</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2,2</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Άλλα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72"/>
            </w:r>
            <w:r>
              <w:rPr>
                <w:b w:val="0"/>
                <w:bCs w:val="0"/>
                <w:i w:val="0"/>
                <w:iCs w:val="0"/>
                <w:smallCaps w:val="0"/>
                <w:color w:val="000000"/>
                <w:lang w:val="el" w:eastAsia="el"/>
              </w:rPr>
              <w:t xml:space="preserve"> Κστ) Βιοντίζελ και μείνματα αυτού, όπως ορίζονται με την ΚΥΑ (Α.Χ.Σ.) 52/2016, που χρησιμοποιούνται ως καύσιμα κινητήρων, είτε αυτούσια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3826 00 10 3826 00 90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73"/>
      </w:r>
      <w:r>
        <w:rPr>
          <w:rStyle w:val="Hyperlink"/>
          <w:b/>
          <w:bCs/>
          <w:color w:val="000000"/>
          <w:sz w:val="20"/>
          <w:szCs w:val="20"/>
          <w:u w:val="none" w:color="0000EE"/>
          <w:vertAlign w:val="superscript"/>
          <w:lang w:val="el" w:eastAsia="el"/>
        </w:rPr>
        <w:footnoteReference w:id="74"/>
      </w:r>
      <w:r>
        <w:rPr>
          <w:rStyle w:val="Hyperlink"/>
          <w:b/>
          <w:bCs/>
          <w:color w:val="000000"/>
          <w:sz w:val="20"/>
          <w:szCs w:val="20"/>
          <w:u w:val="none" w:color="0000EE"/>
          <w:vertAlign w:val="superscript"/>
          <w:lang w:val="el" w:eastAsia="el"/>
        </w:rPr>
        <w:footnoteReference w:id="75"/>
      </w:r>
      <w:r>
        <w:rPr>
          <w:rStyle w:val="Hyperlink"/>
          <w:b/>
          <w:bCs/>
          <w:color w:val="000000"/>
          <w:sz w:val="20"/>
          <w:szCs w:val="20"/>
          <w:u w:val="none" w:color="0000EE"/>
          <w:vertAlign w:val="superscript"/>
          <w:lang w:val="el" w:eastAsia="el"/>
        </w:rPr>
        <w:footnoteReference w:id="76"/>
      </w:r>
      <w:r>
        <w:rPr>
          <w:rStyle w:val="Hyperlink"/>
          <w:b/>
          <w:bCs/>
          <w:color w:val="000000"/>
          <w:sz w:val="20"/>
          <w:szCs w:val="20"/>
          <w:u w:val="none" w:color="0000EE"/>
          <w:vertAlign w:val="superscript"/>
          <w:lang w:val="el" w:eastAsia="el"/>
        </w:rPr>
        <w:footnoteReference w:id="77"/>
      </w:r>
      <w:r>
        <w:rPr>
          <w:rStyle w:val="Hyperlink"/>
          <w:b/>
          <w:bCs/>
          <w:color w:val="000000"/>
          <w:sz w:val="20"/>
          <w:szCs w:val="20"/>
          <w:u w:val="none" w:color="0000EE"/>
          <w:vertAlign w:val="superscript"/>
          <w:lang w:val="el" w:eastAsia="el"/>
        </w:rPr>
        <w:footnoteReference w:id="78"/>
      </w:r>
      <w:r>
        <w:rPr>
          <w:rStyle w:val="Hyperlink"/>
          <w:b/>
          <w:bCs/>
          <w:color w:val="000000"/>
          <w:sz w:val="20"/>
          <w:szCs w:val="20"/>
          <w:u w:val="none" w:color="0000EE"/>
          <w:vertAlign w:val="superscript"/>
          <w:lang w:val="el" w:eastAsia="el"/>
        </w:rPr>
        <w:footnoteReference w:id="79"/>
      </w:r>
      <w:r>
        <w:rPr>
          <w:rStyle w:val="Hyperlink"/>
          <w:b/>
          <w:bCs/>
          <w:color w:val="000000"/>
          <w:sz w:val="20"/>
          <w:szCs w:val="20"/>
          <w:u w:val="none" w:color="0000EE"/>
          <w:vertAlign w:val="superscript"/>
          <w:lang w:val="el" w:eastAsia="el"/>
        </w:rPr>
        <w:footnoteReference w:id="80"/>
      </w:r>
      <w:r>
        <w:rPr>
          <w:rStyle w:val="Hyperlink"/>
          <w:b/>
          <w:bCs/>
          <w:color w:val="000000"/>
          <w:sz w:val="20"/>
          <w:szCs w:val="20"/>
          <w:u w:val="none" w:color="0000EE"/>
          <w:vertAlign w:val="superscript"/>
          <w:lang w:val="el" w:eastAsia="el"/>
        </w:rPr>
        <w:footnoteReference w:id="81"/>
      </w:r>
      <w:r>
        <w:rPr>
          <w:b/>
          <w:bCs/>
          <w:lang w:val="el" w:eastAsia="el"/>
        </w:rPr>
        <w:t>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των παραπάνω περιπτώσεων ζ` για το πετρέλαιο εσωτερικής καύσης (DIESEL), και ια` για το φωτιστικό πετρέλαιο (κηροζίνη), τα οποία χρησιμοποιούνται ως καύσιμα θέρμανσης για τη χρονική περίοδο από τη 15η Οκτωβρίου μέχρι και την 30ή Απριλίου κάθε έτους, ο συντελεστής του Ειδικού Φόρου Κατανάλωσης (Ε.Φ.Κ.) ορίζεται σε διακόσια ογδόντα (280) ευρώ το χιλιόλιτρο.</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spacing w:before="240" w:after="240"/>
        <w:rPr>
          <w:lang w:val="el" w:eastAsia="el"/>
        </w:rPr>
      </w:pPr>
      <w:r>
        <w:rPr>
          <w:b/>
          <w:bCs/>
          <w:lang w:val="el" w:eastAsia="el"/>
        </w:rPr>
        <w:t>1) Το πετρέλαιο εσωτερικής καύσης (DIESEL) της περίπτωσης ζ της παραγράφου 1 τίθεται σε ανάλωση, διακινείται και διατίθεται από επιτηδευματίες που εντάσσονται σε Μητρώο Διακινητών Πετρελαίου Θέρμανσης (ΔΙΠΕΘΕ), με την εξαίρεση της περίπτωσης των Ενόπλων Δυνάμεων για τις οποίες δεν υπάρχει υποχρέωση ένταξης τους στο Μητρώο ΔΙΠΕΘΕ.</w:t>
      </w:r>
    </w:p>
    <w:p>
      <w:pPr>
        <w:spacing w:before="240" w:after="240"/>
        <w:rPr>
          <w:lang w:val="el" w:eastAsia="el"/>
        </w:rPr>
      </w:pPr>
      <w:r>
        <w:rPr>
          <w:b/>
          <w:bCs/>
          <w:lang w:val="el" w:eastAsia="el"/>
        </w:rPr>
        <w:t>2) Τα μέλη του Μητρώου ΔΙΠΕΘΕ υποχρεούνται να καταχωρούν με ακρίβεια εντός δεκατεσσάρων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προϋποθέσεις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 Μέχρι την έκδοση των προβλεπομένων στο προηγούμενο εδάφιο υπουργικών αποφάσεων εφαρμόζονται οι διατάξεις της υπ` αριθμ. Δ 33Α 5055143 ΕΞ 2010 (Β` 2047) απόφασης του Υπουργού Οικονομικών.</w:t>
      </w:r>
    </w:p>
    <w:p>
      <w:pPr>
        <w:pStyle w:val="MainText"/>
        <w:spacing w:before="120" w:after="0"/>
        <w:rPr>
          <w:lang w:val="el" w:eastAsia="el"/>
        </w:rPr>
      </w:pPr>
      <w:r>
        <w:rPr>
          <w:b/>
          <w:bCs/>
          <w:lang w:val="el" w:eastAsia="el"/>
        </w:rPr>
        <w:t>2.</w:t>
      </w:r>
      <w:r>
        <w:rPr>
          <w:b/>
          <w:bCs/>
          <w:lang w:val="el" w:eastAsia="el"/>
        </w:rPr>
        <w:t xml:space="preserve"> Τα μέλη του Μητρώου ΔΙΠΕΘΕ υποχρεούνται να καταχωρούν με ακρίβεια εντός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προύποθέσεις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82"/>
      </w:r>
      <w:r>
        <w:rPr>
          <w:b/>
          <w:bCs/>
          <w:lang w:val="el" w:eastAsia="el"/>
        </w:rPr>
        <w:t>.</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83"/>
      </w:r>
      <w:r>
        <w:rPr>
          <w:b/>
          <w:bCs/>
          <w:lang w:val="el" w:eastAsia="el"/>
        </w:rPr>
        <w:t>Για την εφαρμογή των διατάξεων της περίπτωσης κα` του πίνακα της παραγράφου 1 του άρθρου 73 του ν. 2690/2001 ως "επιχειρηματική χρήση" νοείται η χρήση από μία επιχείρηση ικανή να λειτουργήσει αυτόνομα από οργανωτική άποψη, η οποία διενεργεί ανεξαρτήτως και οπουδήποτε την παροχή αγαθών και υπηρεσιών όποιος και να είναι ο σκοπός ή τα αποτελέσματα αυτών των οικονομικών δραστηριοτήτων. Με απόφαση του Υπουργού Οικονομικών καθορίζονται οι όροι και προύποθέσεις που διέπουν τη διαδικασία βεβαίωσης και είσπραξης του ειδικού φόρου κατανάλωσης της ηλεκτρικής ενέργειας,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ηλεκτρικής ενέργειας και τον Διαχειριστή Ελληνικού Συστήματος Μεταφοράς Ηλεκτρικής Ενέργειας (ΔΕΣΜΗΕ ΑΕ) στην αρμόδια υπηρεσία του Υπουργείου Οικονομικών, καθώς και η συχνότητα και ο τρόπος διαβίβασης τους.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84"/>
      </w:r>
      <w:r>
        <w:rPr>
          <w:rStyle w:val="Hyperlink"/>
          <w:b/>
          <w:bCs/>
          <w:color w:val="000000"/>
          <w:sz w:val="20"/>
          <w:szCs w:val="20"/>
          <w:u w:val="none" w:color="0000EE"/>
          <w:vertAlign w:val="superscript"/>
          <w:lang w:val="el" w:eastAsia="el"/>
        </w:rPr>
        <w:footnoteReference w:id="85"/>
      </w:r>
      <w:r>
        <w:rPr>
          <w:b/>
          <w:bCs/>
          <w:lang w:val="el" w:eastAsia="el"/>
        </w:rPr>
        <w:t>Με απόφαση του Υπουργού Οικονομικών καθορίζονται οι όροι και προϋποθέσεις που διέπουν τη διαδικασία βεβαίωσης και είσπραξης του Ειδικού Φόρου Κατανάλωσης του φυσικού αερίου των περιπτώσεων ιζ` και ιη` της παραγράφου 1,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και Ενέργειας προσδιορίζονται τα στοιχεία που διαβιβάζονται στις αρμόδιες Ελεγκτικές Τελωνειακές Υπηρεσίες, καθώς και η συχνότητα και ο τρόπος διαβίβασής τους, στο πλαίσιο επιβολής Ειδικού Φόρου Κατανάλωσης (Ε.Φ.Κ.) στο φυσικό αέριο..</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86"/>
      </w:r>
      <w:r>
        <w:rPr>
          <w:b/>
          <w:bCs/>
          <w:lang w:val="el" w:eastAsia="el"/>
        </w:rPr>
        <w:t>Εκτός από τις διατάξεις του παρόντος Κώδικα που καθορίζουν τη γενεσιουργό αιτία και τους όρους καταβολής του φόρου, ο Ειδικός Φόρος Κατανάλωσης (Ε.Φ.Κ.) επί των ενεργειακών προϊόντων καθίσταται απαιτητός και κατά την επέλευση μίας εκ των γενεσιουργών αιτιών που αναφέρονται στις παραγράφους 4, 5 και 6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87"/>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88"/>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89"/>
      </w:r>
      <w:r>
        <w:rPr>
          <w:b/>
          <w:bCs/>
          <w:lang w:val="el" w:eastAsia="el"/>
        </w:rPr>
        <w:t>Για την εφαρμογή της παραγράφου 1 του άρθρου 54, της περίπτωσης ζ` του άρθρου 55 και της περίπτωσης γ` της παραγράφου 2 του άρθρου 56 του παρόντος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90"/>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91"/>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rStyle w:val="Hyperlink"/>
          <w:b/>
          <w:bCs/>
          <w:color w:val="000000"/>
          <w:sz w:val="20"/>
          <w:szCs w:val="20"/>
          <w:u w:val="none" w:color="0000EE"/>
          <w:vertAlign w:val="superscript"/>
          <w:lang w:val="el" w:eastAsia="el"/>
        </w:rPr>
        <w:footnoteReference w:id="92"/>
      </w:r>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43, 2710 19 46 και 2710 20 11, 2710 20 15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των κωδικών της Σ.Ο. 2710 19 43, 2710 19 46 και 2710 20 11, 2710 20 15, καθώς και το φωτιστικό πετρέλαιο (κηροζίνη), το ελαφρύ πετρέλαιο (WHITE SPIRIT) και τα άλλα ελαφρά λάδια των περιπτώσεων ιβ΄, κδ΄ και κε΄, αντιστοίχως, της παραγράφου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93"/>
      </w:r>
      <w:r>
        <w:rPr>
          <w:rStyle w:val="Hyperlink"/>
          <w:b/>
          <w:bCs/>
          <w:color w:val="000000"/>
          <w:sz w:val="20"/>
          <w:szCs w:val="20"/>
          <w:u w:val="none" w:color="0000EE"/>
          <w:vertAlign w:val="superscript"/>
          <w:lang w:val="el" w:eastAsia="el"/>
        </w:rPr>
        <w:footnoteReference w:id="94"/>
      </w:r>
      <w:r>
        <w:rPr>
          <w:b/>
          <w:bCs/>
          <w:lang w:val="el" w:eastAsia="el"/>
        </w:rPr>
        <w:t>Ο λιθάνθρακας, λιγνίτης και οπτάνθρακας (κοκ) της Σ.Ο. 2701, 2702 και 2704 και το φυσικό αέριο της Σ.Ο. 2711 11 00 και 2711 21 00,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rStyle w:val="Hyperlink"/>
          <w:b/>
          <w:bCs/>
          <w:color w:val="000000"/>
          <w:sz w:val="20"/>
          <w:szCs w:val="20"/>
          <w:u w:val="none" w:color="0000EE"/>
          <w:vertAlign w:val="superscript"/>
          <w:lang w:val="el" w:eastAsia="el"/>
        </w:rPr>
        <w:footnoteReference w:id="95"/>
      </w:r>
      <w:r>
        <w:rPr>
          <w:b/>
          <w:bCs/>
          <w:lang w:val="el" w:eastAsia="el"/>
        </w:rPr>
        <w:t>Ο λιθάνθρακας, λιγνίτης και οπτάνθρακας (κοκ) της Σ.Ο. 2701, 2702 και 2704 που χρησιμοποιούνται στην ορυκτολογική κατεργασία όπως αυτή ορίζεται στην ονοματολογία NΑCE υπό τον κωδικό ΔΘ 26 "κατασκευή άλλων μη μεταλλικών ορυκτών προϊόντων" στον Κανονισμό (ΕΟΚ) του Συμβουλίου 3037/1990, της 9ης Οκτωβρίου 1990, για τη στατιστική ονοματολογία των οικονομικών δραστηριοτήτων στην Κοινότητα, όπως τροποποιήθηκε από τον Κανονισμό (ΕΚ) της Επιτροπής 29/2002, της 19ης Δεκεμβρίου 2001.</w:t>
      </w:r>
    </w:p>
    <w:p>
      <w:pPr>
        <w:pStyle w:val="StructureList1"/>
        <w:spacing w:before="120" w:after="0"/>
        <w:rPr>
          <w:lang w:val="el" w:eastAsia="el"/>
        </w:rPr>
      </w:pPr>
      <w:r>
        <w:rPr>
          <w:b/>
          <w:bCs/>
          <w:lang w:val="el" w:eastAsia="el"/>
        </w:rPr>
        <w:t>θ)</w:t>
      </w:r>
      <w:r>
        <w:rPr>
          <w:b/>
          <w:bCs/>
          <w:lang w:val="en" w:eastAsia="en"/>
        </w:rPr>
        <w:tab/>
      </w:r>
      <w:r>
        <w:rPr>
          <w:rStyle w:val="Hyperlink"/>
          <w:b/>
          <w:bCs/>
          <w:color w:val="000000"/>
          <w:sz w:val="20"/>
          <w:szCs w:val="20"/>
          <w:u w:val="none" w:color="0000EE"/>
          <w:vertAlign w:val="superscript"/>
          <w:lang w:val="el" w:eastAsia="el"/>
        </w:rPr>
        <w:footnoteReference w:id="96"/>
      </w:r>
      <w:r>
        <w:rPr>
          <w:rStyle w:val="Hyperlink"/>
          <w:b/>
          <w:bCs/>
          <w:color w:val="000000"/>
          <w:sz w:val="20"/>
          <w:szCs w:val="20"/>
          <w:u w:val="none" w:color="0000EE"/>
          <w:vertAlign w:val="superscript"/>
          <w:lang w:val="el" w:eastAsia="el"/>
        </w:rPr>
        <w:footnoteReference w:id="97"/>
      </w:r>
      <w:r>
        <w:rPr>
          <w:b/>
          <w:bCs/>
          <w:lang w:val="el" w:eastAsia="el"/>
        </w:rPr>
        <w:t xml:space="preserve"> Ο λιθάνθρακας, λιγνίτης και οπτάνθρακας (κοκ) του κωδικού της Σ.Ο. 2701, 2702 και 2704 και η ηλεκτρική ενέργεια του κωδικού της Σ.Ο. 2716 που χρησιμοποιούνται για χημική αναγωγή, ηλεκτρολυτική και μεταλλουργική κατεργασία.</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98"/>
      </w:r>
      <w:r>
        <w:rPr>
          <w:b/>
          <w:bCs/>
          <w:lang w:val="el" w:eastAsia="el"/>
        </w:rPr>
        <w:t>Η ηλεκτρική ενέργεια που παράγεται και χρησιμοποιείται για ιδία χρήση, εφόσον προέρχεται από αιολική, ηλιακή, γεωθερμική, παλιρροϊκή ενέργεια και ενέργεια κυμάτων.</w:t>
      </w:r>
    </w:p>
    <w:p>
      <w:pPr>
        <w:pStyle w:val="StructureList1"/>
        <w:spacing w:before="120" w:after="0"/>
        <w:rPr>
          <w:lang w:val="el" w:eastAsia="el"/>
        </w:rPr>
      </w:pPr>
      <w:r>
        <w:rPr>
          <w:b/>
          <w:bCs/>
          <w:lang w:val="el" w:eastAsia="el"/>
        </w:rPr>
        <w:t>ια)</w:t>
      </w:r>
      <w:r>
        <w:rPr>
          <w:b/>
          <w:bCs/>
          <w:lang w:val="en" w:eastAsia="en"/>
        </w:rPr>
        <w:tab/>
      </w:r>
      <w:r>
        <w:rPr>
          <w:b/>
          <w:bCs/>
          <w:lang w:val="el" w:eastAsia="el"/>
        </w:rPr>
        <w:t>η ηλεκτρική ενέργεια που χρησιμοποιείται για γεωργική χρήση.</w:t>
      </w:r>
    </w:p>
    <w:p>
      <w:pPr>
        <w:spacing w:before="240" w:after="240"/>
        <w:rPr>
          <w:lang w:val="el" w:eastAsia="el"/>
        </w:rPr>
      </w:pPr>
      <w:r>
        <w:rPr>
          <w:rStyle w:val="Hyperlink"/>
          <w:b/>
          <w:bCs/>
          <w:color w:val="000000"/>
          <w:sz w:val="20"/>
          <w:szCs w:val="20"/>
          <w:u w:val="none" w:color="0000EE"/>
          <w:vertAlign w:val="superscript"/>
          <w:lang w:val="el" w:eastAsia="el"/>
        </w:rPr>
        <w:footnoteReference w:id="99"/>
      </w:r>
      <w:r>
        <w:rPr>
          <w:rStyle w:val="Hyperlink"/>
          <w:b/>
          <w:bCs/>
          <w:color w:val="000000"/>
          <w:sz w:val="20"/>
          <w:szCs w:val="20"/>
          <w:u w:val="none" w:color="0000EE"/>
          <w:vertAlign w:val="superscript"/>
          <w:lang w:val="el" w:eastAsia="el"/>
        </w:rPr>
        <w:footnoteReference w:id="100"/>
      </w:r>
      <w:r>
        <w:rPr>
          <w:b/>
          <w:bCs/>
          <w:lang w:val="el" w:eastAsia="el"/>
        </w:rPr>
        <w:t>ιβ)...</w:t>
      </w:r>
    </w:p>
    <w:p>
      <w:pPr>
        <w:spacing w:before="240" w:after="240"/>
        <w:rPr>
          <w:lang w:val="el" w:eastAsia="el"/>
        </w:rPr>
      </w:pPr>
      <w:r>
        <w:rPr>
          <w:b/>
          <w:bCs/>
          <w:lang w:val="el" w:eastAsia="el"/>
        </w:rPr>
        <w:t>Με κοινή απόφαση των Υπουργών Οικονομικών και Περιβάλλοντος και Ενέργειας καθορίζονται οι ειδικότεροι όροι, οι προϋποθέσεις, οι διαδικασίες, οι απαιτούμενοι έλεγχοι, καθώς και κάθε άλλη αναγκαία λεπτομέρεια για την απαλλαγή από τον ειδικό φόρο κατανάλωσης του φυσικού αερίου, σύμφωνα με την περίπτωση αυτή.</w:t>
      </w:r>
    </w:p>
    <w:p>
      <w:pPr>
        <w:spacing w:before="240" w:after="240"/>
        <w:rPr>
          <w:lang w:val="el" w:eastAsia="el"/>
        </w:rPr>
      </w:pPr>
      <w:r>
        <w:rPr>
          <w:b/>
          <w:bCs/>
          <w:lang w:val="el" w:eastAsia="el"/>
        </w:rPr>
        <w:t>Εξαιρούνται της απαλλαγής οι επιχειρήσεις με ληξιπρόθεσμες οφειλές προς τους φορείς κοινωνικής ασφάλισης και τους εργαζομένους.</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r>
        <w:rPr>
          <w:rStyle w:val="Hyperlink"/>
          <w:b/>
          <w:bCs/>
          <w:color w:val="000000"/>
          <w:sz w:val="20"/>
          <w:szCs w:val="20"/>
          <w:u w:val="none" w:color="0000EE"/>
          <w:vertAlign w:val="superscript"/>
          <w:lang w:val="el" w:eastAsia="el"/>
        </w:rPr>
        <w:footnoteReference w:id="101"/>
      </w:r>
      <w:r>
        <w:rPr>
          <w:rStyle w:val="Hyperlink"/>
          <w:b/>
          <w:bCs/>
          <w:color w:val="000000"/>
          <w:sz w:val="20"/>
          <w:szCs w:val="20"/>
          <w:u w:val="none" w:color="0000EE"/>
          <w:vertAlign w:val="superscript"/>
          <w:lang w:val="el" w:eastAsia="el"/>
        </w:rPr>
        <w:footnoteReference w:id="102"/>
      </w:r>
      <w:r>
        <w:rPr>
          <w:rStyle w:val="Hyperlink"/>
          <w:b/>
          <w:bCs/>
          <w:color w:val="000000"/>
          <w:sz w:val="20"/>
          <w:szCs w:val="20"/>
          <w:u w:val="none" w:color="0000EE"/>
          <w:vertAlign w:val="superscript"/>
          <w:lang w:val="el" w:eastAsia="el"/>
        </w:rPr>
        <w:footnoteReference w:id="10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8"/>
        <w:gridCol w:w="1629"/>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και δασικών συνεταιρισμών άρθρου 5 του ν.827/1978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1251 και 2710 1259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r>
              <w:rPr>
                <w:rStyle w:val="Hyperlink"/>
                <w:b w:val="0"/>
                <w:bCs w:val="0"/>
                <w:i w:val="0"/>
                <w:iCs w:val="0"/>
                <w:smallCaps w:val="0"/>
                <w:color w:val="000000"/>
                <w:sz w:val="20"/>
                <w:szCs w:val="20"/>
                <w:u w:val="none" w:color="0000EE"/>
                <w:vertAlign w:val="superscript"/>
                <w:lang w:val="el" w:eastAsia="el"/>
              </w:rPr>
              <w:footnoteReference w:id="104"/>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05"/>
            </w:r>
            <w:r>
              <w:rPr>
                <w:b w:val="0"/>
                <w:bCs w:val="0"/>
                <w:i w:val="0"/>
                <w:iCs w:val="0"/>
                <w:smallCaps w:val="0"/>
                <w:color w:val="000000"/>
                <w:lang w:val="el" w:eastAsia="el"/>
              </w:rPr>
              <w:t xml:space="preserve"> 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06"/>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07"/>
            </w:r>
            <w:r>
              <w:rPr>
                <w:rStyle w:val="Hyperlink"/>
                <w:b w:val="0"/>
                <w:bCs w:val="0"/>
                <w:i w:val="0"/>
                <w:iCs w:val="0"/>
                <w:smallCaps w:val="0"/>
                <w:color w:val="000000"/>
                <w:sz w:val="20"/>
                <w:szCs w:val="20"/>
                <w:u w:val="none" w:color="0000EE"/>
                <w:vertAlign w:val="superscript"/>
                <w:lang w:val="el" w:eastAsia="el"/>
              </w:rPr>
              <w:footnoteReference w:id="108"/>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09"/>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0"/>
      </w:r>
      <w:r>
        <w:rPr>
          <w:rStyle w:val="Hyperlink"/>
          <w:b/>
          <w:bCs/>
          <w:color w:val="000000"/>
          <w:sz w:val="20"/>
          <w:szCs w:val="20"/>
          <w:u w:val="none" w:color="0000EE"/>
          <w:vertAlign w:val="superscript"/>
          <w:lang w:val="el" w:eastAsia="el"/>
        </w:rPr>
        <w:footnoteReference w:id="111"/>
      </w:r>
      <w:r>
        <w:rPr>
          <w:b/>
          <w:bCs/>
          <w:lang w:val="el" w:eastAsia="el"/>
        </w:rPr>
        <w:t>Για το πετρέλαιο εσωτερικής καύσης (DIESEL) των κωδικών της Σ.Ο. 2710 19 43 και 2710 20 11 της περίπτωσης στ΄ της παραγράφου 1 του Άρθρου 73,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 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εκατόν εικοσιπέντε (125)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112"/>
      </w:r>
      <w:r>
        <w:rPr>
          <w:rStyle w:val="Hyperlink"/>
          <w:b/>
          <w:bCs/>
          <w:color w:val="000000"/>
          <w:sz w:val="20"/>
          <w:szCs w:val="20"/>
          <w:u w:val="none" w:color="0000EE"/>
          <w:vertAlign w:val="superscript"/>
          <w:lang w:val="el" w:eastAsia="el"/>
        </w:rPr>
        <w:footnoteReference w:id="113"/>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14"/>
      </w:r>
      <w:r>
        <w:rPr>
          <w:rStyle w:val="Hyperlink"/>
          <w:b/>
          <w:bCs/>
          <w:color w:val="000000"/>
          <w:sz w:val="20"/>
          <w:szCs w:val="20"/>
          <w:u w:val="none" w:color="0000EE"/>
          <w:vertAlign w:val="superscript"/>
          <w:lang w:val="el" w:eastAsia="el"/>
        </w:rPr>
        <w:footnoteReference w:id="115"/>
      </w:r>
      <w:r>
        <w:rPr>
          <w:rStyle w:val="Hyperlink"/>
          <w:b/>
          <w:bCs/>
          <w:color w:val="000000"/>
          <w:sz w:val="20"/>
          <w:szCs w:val="20"/>
          <w:u w:val="none" w:color="0000EE"/>
          <w:vertAlign w:val="superscript"/>
          <w:lang w:val="el" w:eastAsia="el"/>
        </w:rPr>
        <w:footnoteReference w:id="116"/>
      </w:r>
      <w:r>
        <w:rPr>
          <w:rStyle w:val="Hyperlink"/>
          <w:b/>
          <w:bCs/>
          <w:color w:val="000000"/>
          <w:sz w:val="20"/>
          <w:szCs w:val="20"/>
          <w:u w:val="none" w:color="0000EE"/>
          <w:vertAlign w:val="superscript"/>
          <w:lang w:val="el" w:eastAsia="el"/>
        </w:rPr>
        <w:footnoteReference w:id="117"/>
      </w:r>
      <w:r>
        <w:rPr>
          <w:b/>
          <w:bCs/>
          <w:lang w:val="el" w:eastAsia="el"/>
        </w:rPr>
        <w:t>…</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18"/>
      </w:r>
      <w:r>
        <w:rPr>
          <w:b/>
          <w:bCs/>
          <w:lang w:val="el" w:eastAsia="el"/>
        </w:rPr>
        <w:t>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119"/>
      </w:r>
    </w:p>
    <w:p>
      <w:pPr>
        <w:spacing w:before="240" w:after="240"/>
        <w:rPr>
          <w:lang w:val="el" w:eastAsia="el"/>
        </w:rPr>
      </w:pPr>
      <w:r>
        <w:rPr>
          <w:rStyle w:val="Hyperlink"/>
          <w:b/>
          <w:bCs/>
          <w:color w:val="000000"/>
          <w:sz w:val="20"/>
          <w:szCs w:val="20"/>
          <w:u w:val="none" w:color="0000EE"/>
          <w:vertAlign w:val="superscript"/>
          <w:lang w:val="el" w:eastAsia="el"/>
        </w:rPr>
        <w:footnoteReference w:id="120"/>
      </w:r>
      <w:r>
        <w:rPr>
          <w:b/>
          <w:bCs/>
          <w:lang w:val="el" w:eastAsia="el"/>
        </w:rPr>
        <w:t>Με κοινή απόφαση του Υπουργού Περιβάλλοντος και Ενέργειας και του Διοικητή της Ανεξάρτητης Αρχής Δημοσίων Εσόδων (Α.Α.Δ.Ε.) καθορίζονται οι όροι, οι προϋποθέσεις, οι απαιτούμενοι έλεγχοι, καθώς και κάθε άλλη αναγκαία λεπτομέρεια για την απαλλαγή από τον Ε.Φ.Κ. του φυσικού αερίου που χρησιμοποιείται για την παραγωγή ηλεκτρικής ενέργειας, σύμφωνα με τις διατάξεις της περίπτωσης ζ` της παραγράφου 1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21"/>
      </w:r>
      <w:r>
        <w:rPr>
          <w:rStyle w:val="Hyperlink"/>
          <w:b/>
          <w:bCs/>
          <w:color w:val="000000"/>
          <w:sz w:val="20"/>
          <w:szCs w:val="20"/>
          <w:u w:val="none" w:color="0000EE"/>
          <w:vertAlign w:val="superscript"/>
          <w:lang w:val="el" w:eastAsia="el"/>
        </w:rPr>
        <w:footnoteReference w:id="122"/>
      </w:r>
      <w:r>
        <w:rPr>
          <w:b/>
          <w:bCs/>
          <w:lang w:val="el" w:eastAsia="el"/>
        </w:rPr>
        <w:t>Για τις παρακάτω ποσότητες αυτούσιου βιοντήζελ της περίπτωσης κστ΄ της παραγράφου 1 του άρθρου 73 του παρόντα Κώδικα, ο συντελεστής του Ειδικού Φόρου Κατανάλωσης ορίζεται σε 0 ευρώ ανά χιλιόλιτρο:</w:t>
      </w:r>
    </w:p>
    <w:p>
      <w:pPr>
        <w:spacing w:before="240" w:after="240"/>
        <w:rPr>
          <w:lang w:val="el" w:eastAsia="el"/>
        </w:rPr>
      </w:pPr>
      <w:r>
        <w:rPr>
          <w:b/>
          <w:bCs/>
          <w:lang w:val="el" w:eastAsia="el"/>
        </w:rPr>
        <w:t>Χρονική Περίοδος Ποσότητα Βιοντήζελ</w:t>
      </w:r>
    </w:p>
    <w:p>
      <w:pPr>
        <w:spacing w:before="240" w:after="240"/>
        <w:rPr>
          <w:lang w:val="el" w:eastAsia="el"/>
        </w:rPr>
      </w:pPr>
      <w:r>
        <w:rPr>
          <w:b/>
          <w:bCs/>
          <w:lang w:val="el" w:eastAsia="el"/>
        </w:rPr>
        <w:t>(χιλιόλιτρα)</w:t>
      </w:r>
    </w:p>
    <w:p>
      <w:pPr>
        <w:spacing w:before="240" w:after="240"/>
        <w:rPr>
          <w:lang w:val="el" w:eastAsia="el"/>
        </w:rPr>
      </w:pPr>
      <w:r>
        <w:rPr>
          <w:b/>
          <w:bCs/>
          <w:lang w:val="el" w:eastAsia="el"/>
        </w:rPr>
        <w:t>1η Ιανουαρίου - 31η Δεκεμβρίου 2005 51.000</w:t>
      </w:r>
    </w:p>
    <w:p>
      <w:pPr>
        <w:spacing w:before="240" w:after="240"/>
        <w:rPr>
          <w:lang w:val="el" w:eastAsia="el"/>
        </w:rPr>
      </w:pPr>
      <w:r>
        <w:rPr>
          <w:b/>
          <w:bCs/>
          <w:lang w:val="el" w:eastAsia="el"/>
        </w:rPr>
        <w:t>1η Ιανουαρίου - 31η Δεκεμβρίου 2006 91.000</w:t>
      </w:r>
    </w:p>
    <w:p>
      <w:pPr>
        <w:spacing w:before="240" w:after="240"/>
        <w:rPr>
          <w:lang w:val="el" w:eastAsia="el"/>
        </w:rPr>
      </w:pPr>
      <w:r>
        <w:rPr>
          <w:b/>
          <w:bCs/>
          <w:lang w:val="el" w:eastAsia="el"/>
        </w:rPr>
        <w:t>1η Ιανουαρίου - 31η Δεκεμβρίου 2007 114.000</w:t>
      </w:r>
    </w:p>
    <w:p>
      <w:pPr>
        <w:spacing w:before="240" w:after="240"/>
        <w:rPr>
          <w:lang w:val="el" w:eastAsia="el"/>
        </w:rPr>
      </w:pPr>
      <w:r>
        <w:rPr>
          <w:b/>
          <w:bCs/>
          <w:lang w:val="el" w:eastAsia="el"/>
        </w:rPr>
        <w:t>Με κοινή απόφαση των Υπουργών Οικονομίας και Οικονομικών και Ανάπτυξης ορίζεται κάθε αναγκαία λεπτομέρεια εφαρμογής των διατάξεων της παρούσας παραγράφου, καθώς και ο τρόπος παρακολούθησης και ελέγχου της νόμιμης παραγωγής, ανάμιξης, διακίνησης και θέσης σε ανάλωση των παραλαμβανόμενων με μηδενικό συντελεστή Ειδικού Φόρου Κατανάλωσης ποσοτήτων αυτούσιου βιοντήζελ.</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23"/>
      </w:r>
      <w:r>
        <w:rPr>
          <w:rStyle w:val="Hyperlink"/>
          <w:b/>
          <w:bCs/>
          <w:color w:val="000000"/>
          <w:sz w:val="20"/>
          <w:szCs w:val="20"/>
          <w:u w:val="none" w:color="0000EE"/>
          <w:vertAlign w:val="superscript"/>
          <w:lang w:val="el" w:eastAsia="el"/>
        </w:rPr>
        <w:footnoteReference w:id="124"/>
      </w:r>
      <w:r>
        <w:rPr>
          <w:b/>
          <w:bCs/>
          <w:lang w:val="el" w:eastAsia="el"/>
        </w:rPr>
        <w:t xml:space="preserve">Άρθρο 81 </w:t>
      </w:r>
    </w:p>
    <w:p>
      <w:pPr>
        <w:pStyle w:val="Heading6"/>
        <w:spacing w:before="240" w:after="240"/>
        <w:rPr>
          <w:lang w:val="el" w:eastAsia="el"/>
        </w:rPr>
      </w:pPr>
      <w:r>
        <w:rPr>
          <w:b/>
          <w:bCs/>
          <w:lang w:val="el" w:eastAsia="el"/>
        </w:rPr>
        <w:t>Ειδικός Φόρος Κατανάλωσης αιθυλικής αλκοόλης</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 xml:space="preserve">αλκοόλης. </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25"/>
      </w:r>
      <w:r>
        <w:rPr>
          <w:rStyle w:val="Hyperlink"/>
          <w:b/>
          <w:bCs/>
          <w:color w:val="000000"/>
          <w:sz w:val="20"/>
          <w:szCs w:val="20"/>
          <w:u w:val="none" w:color="0000EE"/>
          <w:vertAlign w:val="superscript"/>
          <w:lang w:val="el" w:eastAsia="el"/>
        </w:rPr>
        <w:footnoteReference w:id="126"/>
      </w:r>
      <w:r>
        <w:rPr>
          <w:rStyle w:val="Hyperlink"/>
          <w:b/>
          <w:bCs/>
          <w:color w:val="000000"/>
          <w:sz w:val="20"/>
          <w:szCs w:val="20"/>
          <w:u w:val="none" w:color="0000EE"/>
          <w:vertAlign w:val="superscript"/>
          <w:lang w:val="el" w:eastAsia="el"/>
        </w:rPr>
        <w:footnoteReference w:id="127"/>
      </w:r>
      <w:r>
        <w:rPr>
          <w:b/>
          <w:bCs/>
          <w:lang w:val="el" w:eastAsia="el"/>
        </w:rPr>
        <w:t>Ο συντελεστής του ειδικού φόρου κατανάλωσης αιθυλικής αλκοόλης καθορίζεται σε δύο χιλιάδες τετρακόσια πενήντα (2.450) ευρώ, ανά εκατόλιτρο άνυδρης αιθυλικής αλκοόλης.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28"/>
      </w:r>
      <w:r>
        <w:rPr>
          <w:rStyle w:val="Hyperlink"/>
          <w:b/>
          <w:bCs/>
          <w:color w:val="000000"/>
          <w:sz w:val="20"/>
          <w:szCs w:val="20"/>
          <w:u w:val="none" w:color="0000EE"/>
          <w:vertAlign w:val="superscript"/>
          <w:lang w:val="el" w:eastAsia="el"/>
        </w:rPr>
        <w:footnoteReference w:id="129"/>
      </w:r>
      <w:r>
        <w:rPr>
          <w:rStyle w:val="Hyperlink"/>
          <w:b/>
          <w:bCs/>
          <w:color w:val="000000"/>
          <w:sz w:val="20"/>
          <w:szCs w:val="20"/>
          <w:u w:val="none" w:color="0000EE"/>
          <w:vertAlign w:val="superscript"/>
          <w:lang w:val="el" w:eastAsia="el"/>
        </w:rPr>
        <w:footnoteReference w:id="130"/>
      </w:r>
      <w:r>
        <w:rPr>
          <w:rStyle w:val="Hyperlink"/>
          <w:b/>
          <w:bCs/>
          <w:color w:val="000000"/>
          <w:sz w:val="20"/>
          <w:szCs w:val="20"/>
          <w:u w:val="none" w:color="0000EE"/>
          <w:vertAlign w:val="superscript"/>
          <w:lang w:val="el" w:eastAsia="el"/>
        </w:rPr>
        <w:footnoteReference w:id="131"/>
      </w:r>
      <w:r>
        <w:rPr>
          <w:rStyle w:val="Hyperlink"/>
          <w:b/>
          <w:bCs/>
          <w:color w:val="000000"/>
          <w:sz w:val="20"/>
          <w:szCs w:val="20"/>
          <w:u w:val="none" w:color="0000EE"/>
          <w:vertAlign w:val="superscript"/>
          <w:lang w:val="el" w:eastAsia="el"/>
        </w:rPr>
        <w:footnoteReference w:id="132"/>
      </w:r>
      <w:r>
        <w:rPr>
          <w:rStyle w:val="Hyperlink"/>
          <w:b/>
          <w:bCs/>
          <w:color w:val="000000"/>
          <w:sz w:val="20"/>
          <w:szCs w:val="20"/>
          <w:u w:val="none" w:color="0000EE"/>
          <w:vertAlign w:val="superscript"/>
          <w:lang w:val="el" w:eastAsia="el"/>
        </w:rPr>
        <w:footnoteReference w:id="133"/>
      </w:r>
      <w:r>
        <w:rPr>
          <w:b/>
          <w:bCs/>
          <w:lang w:val="el" w:eastAsia="el"/>
        </w:rPr>
        <w:t>Εφαρμόζεται μειωμένος κατά πενήντα τοις εκατό (50%) συντελεστής Ειδικού Φόρου Κατανάλωσης (Ε.Φ.Κ.)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χίλια διακόσια είκοσι πέντε (1.225) ευρώ, ανά εκατόλιτρο άνυδρης αιθυλικής αλκοόλης.</w:t>
      </w:r>
    </w:p>
    <w:p>
      <w:pPr>
        <w:spacing w:before="240" w:after="240"/>
        <w:rPr>
          <w:lang w:val="el" w:eastAsia="el"/>
        </w:rPr>
      </w:pPr>
      <w:r>
        <w:rPr>
          <w:b/>
          <w:bCs/>
          <w:lang w:val="el" w:eastAsia="el"/>
        </w:rPr>
        <w:t>Οι όροι και οι προϋποθέσεις εφαρμογής των διατάξεων της παρούσας παραγράφου καθορίζονται με απόφαση του Γενικού Γραμματέα 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34"/>
      </w:r>
      <w:r>
        <w:rPr>
          <w:rStyle w:val="Hyperlink"/>
          <w:b/>
          <w:bCs/>
          <w:color w:val="000000"/>
          <w:sz w:val="20"/>
          <w:szCs w:val="20"/>
          <w:u w:val="none" w:color="0000EE"/>
          <w:vertAlign w:val="superscript"/>
          <w:lang w:val="el" w:eastAsia="el"/>
        </w:rPr>
        <w:footnoteReference w:id="135"/>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36"/>
      </w:r>
      <w:r>
        <w:rPr>
          <w:rStyle w:val="Hyperlink"/>
          <w:b/>
          <w:bCs/>
          <w:color w:val="000000"/>
          <w:sz w:val="20"/>
          <w:szCs w:val="20"/>
          <w:u w:val="none" w:color="0000EE"/>
          <w:vertAlign w:val="superscript"/>
          <w:lang w:val="el" w:eastAsia="el"/>
        </w:rPr>
        <w:footnoteReference w:id="137"/>
      </w:r>
      <w:r>
        <w:rPr>
          <w:b/>
          <w:bCs/>
          <w:lang w:val="el" w:eastAsia="el"/>
        </w:rPr>
        <w:t>...</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39"/>
      </w:r>
      <w:r>
        <w:rPr>
          <w:b/>
          <w:bCs/>
          <w:lang w:val="el" w:eastAsia="el"/>
        </w:rPr>
        <w:t>Το τσίπουρο ή η τσικουδιά που παρασκευάζεται από απόσταγμα στεμφύλων σταφυλιών και λοιπών επιτρεπόμενων υλών από τους μικρούς αποσταγματοποιούς (διήμερους), σύμφωνα με την παράγραφο Ε` του άρθρου 7 του ν. 2969/2001, υπόκειται σε εφάπαξ και κατ` αποκοπή φορολόγηση πενήντα εννέα λεπτών (0,59) του ευρώ ανά χιλιόγραμμο 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0"/>
      </w: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w:t>
      </w:r>
    </w:p>
    <w:p>
      <w:pPr>
        <w:spacing w:before="240" w:after="240"/>
        <w:rPr>
          <w:lang w:val="el" w:eastAsia="el"/>
        </w:rPr>
      </w:pPr>
      <w:r>
        <w:rPr>
          <w:b/>
          <w:bCs/>
          <w:lang w:val="el" w:eastAsia="el"/>
        </w:rPr>
        <w:t>Ειδικού Φόρου Κατανάλωσης (Ε.Φ.Κ,) αιθυλικής αλκοόλης, στις παρακάτω</w:t>
      </w:r>
    </w:p>
    <w:p>
      <w:pPr>
        <w:spacing w:before="240" w:after="240"/>
        <w:rPr>
          <w:lang w:val="el" w:eastAsia="el"/>
        </w:rPr>
      </w:pPr>
      <w:r>
        <w:rPr>
          <w:b/>
          <w:bCs/>
          <w:lang w:val="el" w:eastAsia="el"/>
        </w:rPr>
        <w:t>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w:t>
      </w:r>
    </w:p>
    <w:p>
      <w:pPr>
        <w:spacing w:before="240" w:after="240"/>
        <w:rPr>
          <w:lang w:val="el" w:eastAsia="el"/>
        </w:rPr>
      </w:pPr>
      <w:r>
        <w:rPr>
          <w:b/>
          <w:bCs/>
          <w:lang w:val="el" w:eastAsia="el"/>
        </w:rPr>
        <w:t>υποστεί πλήρη μετουσίωση, σύμφωνα με τις ισχύουσες διατάξεις περί</w:t>
      </w:r>
    </w:p>
    <w:p>
      <w:pPr>
        <w:spacing w:before="240" w:after="240"/>
        <w:rPr>
          <w:lang w:val="el" w:eastAsia="el"/>
        </w:rPr>
      </w:pPr>
      <w:r>
        <w:rPr>
          <w:b/>
          <w:bCs/>
          <w:lang w:val="el" w:eastAsia="el"/>
        </w:rPr>
        <w:t>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w:t>
      </w:r>
    </w:p>
    <w:p>
      <w:pPr>
        <w:spacing w:before="240" w:after="240"/>
        <w:rPr>
          <w:lang w:val="el" w:eastAsia="el"/>
        </w:rPr>
      </w:pPr>
      <w:r>
        <w:rPr>
          <w:b/>
          <w:bCs/>
          <w:lang w:val="el" w:eastAsia="el"/>
        </w:rPr>
        <w:t>Ελληνικής Νομοθεσίας ή της νομοθεσίας άλλου Κράτους - Μέλους και</w:t>
      </w:r>
    </w:p>
    <w:p>
      <w:pPr>
        <w:spacing w:before="240" w:after="240"/>
        <w:rPr>
          <w:lang w:val="el" w:eastAsia="el"/>
        </w:rPr>
      </w:pPr>
      <w:r>
        <w:rPr>
          <w:b/>
          <w:bCs/>
          <w:lang w:val="el" w:eastAsia="el"/>
        </w:rPr>
        <w:t>χρησιμοποιούνται για την παρασκευή οποιουδήποτε προϊόντος που δεν</w:t>
      </w:r>
    </w:p>
    <w:p>
      <w:pPr>
        <w:spacing w:before="240" w:after="240"/>
        <w:rPr>
          <w:lang w:val="el" w:eastAsia="el"/>
        </w:rPr>
      </w:pPr>
      <w:r>
        <w:rPr>
          <w:b/>
          <w:bCs/>
          <w:lang w:val="el" w:eastAsia="el"/>
        </w:rPr>
        <w:t>προορίζεται για ανθρώπινη κατανάλωση (παραγωγή ποτών) ,</w:t>
      </w:r>
    </w:p>
    <w:p>
      <w:pPr>
        <w:spacing w:before="240" w:after="240"/>
        <w:rPr>
          <w:lang w:val="el" w:eastAsia="el"/>
        </w:rPr>
      </w:pPr>
      <w:r>
        <w:rPr>
          <w:b/>
          <w:bCs/>
          <w:lang w:val="el" w:eastAsia="el"/>
        </w:rPr>
        <w:t>Με απόφαση του Υπουργού Οικονομικών, που εκδίδεται σύμφωνα με τις</w:t>
      </w:r>
    </w:p>
    <w:p>
      <w:pPr>
        <w:spacing w:before="240" w:after="240"/>
        <w:rPr>
          <w:lang w:val="el" w:eastAsia="el"/>
        </w:rPr>
      </w:pPr>
      <w:r>
        <w:rPr>
          <w:b/>
          <w:bCs/>
          <w:lang w:val="el" w:eastAsia="el"/>
        </w:rPr>
        <w:t>εκάστοτε ισχύουσες Κοινοτικές Διατάξεις, μετά από εισήγηση της αρμόδιας</w:t>
      </w:r>
    </w:p>
    <w:p>
      <w:pPr>
        <w:spacing w:before="240" w:after="240"/>
        <w:rPr>
          <w:lang w:val="el" w:eastAsia="el"/>
        </w:rPr>
      </w:pPr>
      <w:r>
        <w:rPr>
          <w:b/>
          <w:bCs/>
          <w:lang w:val="el" w:eastAsia="el"/>
        </w:rPr>
        <w:t>Διεύθυνσης του Γενικού Χημείου του Κράτους, καθορίζεται το είδος και το</w:t>
      </w:r>
    </w:p>
    <w:p>
      <w:pPr>
        <w:spacing w:before="240" w:after="240"/>
        <w:rPr>
          <w:lang w:val="el" w:eastAsia="el"/>
        </w:rPr>
      </w:pPr>
      <w:r>
        <w:rPr>
          <w:b/>
          <w:bCs/>
          <w:lang w:val="el" w:eastAsia="el"/>
        </w:rPr>
        <w:t>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w:t>
      </w:r>
    </w:p>
    <w:p>
      <w:pPr>
        <w:spacing w:before="240" w:after="240"/>
        <w:rPr>
          <w:lang w:val="el" w:eastAsia="el"/>
        </w:rPr>
      </w:pPr>
      <w:r>
        <w:rPr>
          <w:b/>
          <w:bCs/>
          <w:lang w:val="el" w:eastAsia="el"/>
        </w:rPr>
        <w:t>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για την παραγωγή φαρμάκων, σύμφωνα με την αριθ. ΔΥΓ3(α)83657/30.12.2005 (ΦΕΚ 59 Β/24.1.2006) κοινή απόφαση των Υπουργών Οικονομίας και Οικονομικών και Υγείας και Κοινωνικής Αλληλεγγύης, καθώς και κτηνιατρικών φαρμάκων, σύμφωνα με την αριθ. 282371/31.5.2006 (ΦΕΚ 731 Β/16.6.2006) κοινή απόφαση των Υπουργών Οικονομίας και Οικονομικών και Αγροτικής Ανάπτυξης και Τροφίμων,</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w:t>
      </w:r>
    </w:p>
    <w:p>
      <w:pPr>
        <w:spacing w:before="240" w:after="240"/>
        <w:rPr>
          <w:lang w:val="el" w:eastAsia="el"/>
        </w:rPr>
      </w:pPr>
      <w:r>
        <w:rPr>
          <w:b/>
          <w:bCs/>
          <w:lang w:val="el" w:eastAsia="el"/>
        </w:rPr>
        <w:t>προορίζονται για την παραγωγή ειδών διατροφής και μη αλκοολούχων ποτών,</w:t>
      </w:r>
    </w:p>
    <w:p>
      <w:pPr>
        <w:spacing w:before="240" w:after="240"/>
        <w:rPr>
          <w:lang w:val="el" w:eastAsia="el"/>
        </w:rPr>
      </w:pPr>
      <w:r>
        <w:rPr>
          <w:b/>
          <w:bCs/>
          <w:lang w:val="el" w:eastAsia="el"/>
        </w:rPr>
        <w:t>με ογκομετρικό αλκοολικό τίτλο μέχρι και 1 ,2% νοl.,</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w:t>
      </w:r>
    </w:p>
    <w:p>
      <w:pPr>
        <w:spacing w:before="240" w:after="240"/>
        <w:rPr>
          <w:lang w:val="el" w:eastAsia="el"/>
        </w:rPr>
      </w:pPr>
      <w:r>
        <w:rPr>
          <w:b/>
          <w:bCs/>
          <w:lang w:val="el" w:eastAsia="el"/>
        </w:rPr>
        <w:t>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w:t>
      </w:r>
    </w:p>
    <w:p>
      <w:pPr>
        <w:spacing w:before="240" w:after="240"/>
        <w:rPr>
          <w:lang w:val="el" w:eastAsia="el"/>
        </w:rPr>
      </w:pPr>
      <w:r>
        <w:rPr>
          <w:b/>
          <w:bCs/>
          <w:lang w:val="el" w:eastAsia="el"/>
        </w:rPr>
        <w:t>νοσηλευτικά ιδρύματα δημόσιου ή ιδιωτικού δικαίου, για ιατρικούς</w:t>
      </w:r>
    </w:p>
    <w:p>
      <w:pPr>
        <w:spacing w:before="240" w:after="240"/>
        <w:rPr>
          <w:lang w:val="el" w:eastAsia="el"/>
        </w:rPr>
      </w:pPr>
      <w:r>
        <w:rPr>
          <w:b/>
          <w:bCs/>
          <w:lang w:val="el" w:eastAsia="el"/>
        </w:rPr>
        <w:t>σκοπούς,</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141"/>
      </w:r>
      <w:r>
        <w:rPr>
          <w:b/>
          <w:bCs/>
          <w:lang w:val="el" w:eastAsia="el"/>
        </w:rPr>
        <w:t>Όταν χρησιμοποιούνται για τον ψεκασμό αρτοσκευασμάτων και παραλμβάνονται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42"/>
      </w:r>
      <w:r>
        <w:rPr>
          <w:b/>
          <w:bCs/>
          <w:lang w:val="el" w:eastAsia="el"/>
        </w:rPr>
        <w:t>...</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43"/>
      </w:r>
      <w:r>
        <w:rPr>
          <w:b/>
          <w:bCs/>
          <w:lang w:val="el" w:eastAsia="el"/>
        </w:rPr>
        <w:t>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w:t>
      </w:r>
      <w:r>
        <w:rPr>
          <w:rStyle w:val="Hyperlink"/>
          <w:b/>
          <w:bCs/>
          <w:color w:val="000000"/>
          <w:sz w:val="20"/>
          <w:szCs w:val="20"/>
          <w:u w:val="none" w:color="0000EE"/>
          <w:vertAlign w:val="superscript"/>
          <w:lang w:val="el" w:eastAsia="el"/>
        </w:rPr>
        <w:footnoteReference w:id="144"/>
      </w:r>
      <w:r>
        <w:rPr>
          <w:rStyle w:val="Hyperlink"/>
          <w:b/>
          <w:bCs/>
          <w:color w:val="000000"/>
          <w:sz w:val="20"/>
          <w:szCs w:val="20"/>
          <w:u w:val="none" w:color="0000EE"/>
          <w:vertAlign w:val="superscript"/>
          <w:lang w:val="el" w:eastAsia="el"/>
        </w:rPr>
        <w:footnoteReference w:id="145"/>
      </w:r>
      <w:r>
        <w:rPr>
          <w:b/>
          <w:bCs/>
          <w:lang w:val="el" w:eastAsia="el"/>
        </w:rPr>
        <w:t>. Με αποφάσεις του Υπουργού Οικονομικών καθορίζονται οι ποσότητες, οι όροι και οι διατυπώσεις των απαλλαγών από τον ειδικό φόρο κατανάλωσης αιθυλικής αλκοόλης των παραγράφων 1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46"/>
      </w:r>
      <w:r>
        <w:rPr>
          <w:b/>
          <w:bCs/>
          <w:lang w:val="el" w:eastAsia="el"/>
        </w:rPr>
        <w:t>Οι ταινίες αυτές χορηγούνται:</w:t>
      </w:r>
    </w:p>
    <w:p>
      <w:pPr>
        <w:spacing w:before="240" w:after="240"/>
        <w:rPr>
          <w:lang w:val="el" w:eastAsia="el"/>
        </w:rPr>
      </w:pPr>
      <w:r>
        <w:rPr>
          <w:b/>
          <w:bCs/>
          <w:lang w:val="el" w:eastAsia="el"/>
        </w:rPr>
        <w:t>-στους εγκεκριμένους αποθηκευτές και εγγεγραμμένους παραλήπτες, προκειμένου να επικολληθούν σε αλκοολούχα ποτά προερχόμενα από άλλο κράτος-μέλος ή σε εισαγωγείς προκειμένου για ποτά από τρίτες χώρες,</w:t>
      </w:r>
    </w:p>
    <w:p>
      <w:pPr>
        <w:spacing w:before="240" w:after="240"/>
        <w:rPr>
          <w:lang w:val="el" w:eastAsia="el"/>
        </w:rPr>
      </w:pPr>
      <w:r>
        <w:rPr>
          <w:b/>
          <w:bCs/>
          <w:lang w:val="el" w:eastAsia="el"/>
        </w:rPr>
        <w:t>-στους εγκεκριμένους αποθηκευτές ή ποτοποιούς, προκειμένου να επικολληθούν σε αλκοολούχα ποτά εγχώριας παραγωγής,</w:t>
      </w:r>
    </w:p>
    <w:p>
      <w:pPr>
        <w:spacing w:before="240" w:after="240"/>
        <w:rPr>
          <w:lang w:val="el" w:eastAsia="el"/>
        </w:rPr>
      </w:pPr>
      <w:r>
        <w:rPr>
          <w:b/>
          <w:bCs/>
          <w:lang w:val="el" w:eastAsia="el"/>
        </w:rPr>
        <w:t>-στους φορολογικούς αντιπροσώπους εγκεκριμένων αποθηκευτών άλλων κρατών-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47"/>
      </w:r>
      <w:r>
        <w:rPr>
          <w:rStyle w:val="Hyperlink"/>
          <w:b/>
          <w:bCs/>
          <w:color w:val="000000"/>
          <w:sz w:val="20"/>
          <w:szCs w:val="20"/>
          <w:u w:val="none" w:color="0000EE"/>
          <w:vertAlign w:val="superscript"/>
          <w:lang w:val="el" w:eastAsia="el"/>
        </w:rPr>
        <w:footnoteReference w:id="148"/>
      </w:r>
      <w:r>
        <w:rPr>
          <w:rStyle w:val="Hyperlink"/>
          <w:b/>
          <w:bCs/>
          <w:color w:val="000000"/>
          <w:sz w:val="20"/>
          <w:szCs w:val="20"/>
          <w:u w:val="none" w:color="0000EE"/>
          <w:vertAlign w:val="superscript"/>
          <w:lang w:val="el" w:eastAsia="el"/>
        </w:rPr>
        <w:footnoteReference w:id="149"/>
      </w:r>
      <w:r>
        <w:rPr>
          <w:rStyle w:val="Hyperlink"/>
          <w:b/>
          <w:bCs/>
          <w:color w:val="000000"/>
          <w:sz w:val="20"/>
          <w:szCs w:val="20"/>
          <w:u w:val="none" w:color="0000EE"/>
          <w:vertAlign w:val="superscript"/>
          <w:lang w:val="el" w:eastAsia="el"/>
        </w:rPr>
        <w:footnoteReference w:id="150"/>
      </w:r>
      <w:r>
        <w:rPr>
          <w:rStyle w:val="Hyperlink"/>
          <w:b/>
          <w:bCs/>
          <w:color w:val="000000"/>
          <w:sz w:val="20"/>
          <w:szCs w:val="20"/>
          <w:u w:val="none" w:color="0000EE"/>
          <w:vertAlign w:val="superscript"/>
          <w:lang w:val="el" w:eastAsia="el"/>
        </w:rPr>
        <w:footnoteReference w:id="151"/>
      </w:r>
      <w:r>
        <w:rPr>
          <w:b/>
          <w:bCs/>
          <w:lang w:val="el" w:eastAsia="el"/>
        </w:rPr>
        <w:t>Ο φόρος αυτός ορίζεται σε πέντε ευρώ (5 ευρώ) ανά βαθμό PLATO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52"/>
      </w:r>
      <w:r>
        <w:rPr>
          <w:rStyle w:val="Hyperlink"/>
          <w:b/>
          <w:bCs/>
          <w:color w:val="000000"/>
          <w:sz w:val="20"/>
          <w:szCs w:val="20"/>
          <w:u w:val="none" w:color="0000EE"/>
          <w:vertAlign w:val="superscript"/>
          <w:lang w:val="el" w:eastAsia="el"/>
        </w:rPr>
        <w:footnoteReference w:id="153"/>
      </w:r>
      <w:r>
        <w:rPr>
          <w:rStyle w:val="Hyperlink"/>
          <w:b/>
          <w:bCs/>
          <w:color w:val="000000"/>
          <w:sz w:val="20"/>
          <w:szCs w:val="20"/>
          <w:u w:val="none" w:color="0000EE"/>
          <w:vertAlign w:val="superscript"/>
          <w:lang w:val="el" w:eastAsia="el"/>
        </w:rPr>
        <w:footnoteReference w:id="154"/>
      </w:r>
      <w:r>
        <w:rPr>
          <w:b/>
          <w:bCs/>
          <w:lang w:val="el" w:eastAsia="el"/>
        </w:rPr>
        <w:t>Εφαρμόζεται μειωμένος κατά πενήντα τοις εκατό (50%) ο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Ένωσης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w:t>
      </w:r>
    </w:p>
    <w:p>
      <w:pPr>
        <w:spacing w:before="240" w:after="240"/>
        <w:rPr>
          <w:lang w:val="el" w:eastAsia="el"/>
        </w:rPr>
      </w:pPr>
      <w:r>
        <w:rPr>
          <w:rStyle w:val="Hyperlink"/>
          <w:b/>
          <w:bCs/>
          <w:color w:val="000000"/>
          <w:sz w:val="20"/>
          <w:szCs w:val="20"/>
          <w:u w:val="none" w:color="0000EE"/>
          <w:vertAlign w:val="superscript"/>
          <w:lang w:val="el" w:eastAsia="el"/>
        </w:rPr>
        <w:footnoteReference w:id="155"/>
      </w:r>
      <w:r>
        <w:rPr>
          <w:rStyle w:val="Hyperlink"/>
          <w:b/>
          <w:bCs/>
          <w:color w:val="000000"/>
          <w:sz w:val="20"/>
          <w:szCs w:val="20"/>
          <w:u w:val="none" w:color="0000EE"/>
          <w:vertAlign w:val="superscript"/>
          <w:lang w:val="el" w:eastAsia="el"/>
        </w:rPr>
        <w:footnoteReference w:id="156"/>
      </w:r>
      <w:r>
        <w:rPr>
          <w:rStyle w:val="Hyperlink"/>
          <w:b/>
          <w:bCs/>
          <w:color w:val="000000"/>
          <w:sz w:val="20"/>
          <w:szCs w:val="20"/>
          <w:u w:val="none" w:color="0000EE"/>
          <w:vertAlign w:val="superscript"/>
          <w:lang w:val="el" w:eastAsia="el"/>
        </w:rPr>
        <w:footnoteReference w:id="157"/>
      </w:r>
      <w:r>
        <w:rPr>
          <w:b/>
          <w:bCs/>
          <w:lang w:val="el" w:eastAsia="el"/>
        </w:rPr>
        <w:t>Ο μειωμένος αυτός συντελεστής καθορίζεται σε δύο ευρώ και πενήντα λεπτά (2,50)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Συντελεστές Ειδικού Φόρου Κατανάλωσης</w:t>
      </w:r>
    </w:p>
    <w:p>
      <w:pPr>
        <w:spacing w:before="240" w:after="240"/>
        <w:rPr>
          <w:lang w:val="el" w:eastAsia="el"/>
        </w:rPr>
      </w:pPr>
      <w:r>
        <w:rPr>
          <w:rStyle w:val="Hyperlink"/>
          <w:b/>
          <w:bCs/>
          <w:color w:val="000000"/>
          <w:sz w:val="20"/>
          <w:szCs w:val="20"/>
          <w:u w:val="none" w:color="0000EE"/>
          <w:vertAlign w:val="superscript"/>
          <w:lang w:val="el" w:eastAsia="el"/>
        </w:rPr>
        <w:footnoteReference w:id="158"/>
      </w:r>
      <w:r>
        <w:rPr>
          <w:rStyle w:val="Hyperlink"/>
          <w:b/>
          <w:bCs/>
          <w:color w:val="000000"/>
          <w:sz w:val="20"/>
          <w:szCs w:val="20"/>
          <w:u w:val="none" w:color="0000EE"/>
          <w:vertAlign w:val="superscript"/>
          <w:lang w:val="el" w:eastAsia="el"/>
        </w:rPr>
        <w:footnoteReference w:id="159"/>
      </w:r>
      <w:r>
        <w:rPr>
          <w:rStyle w:val="Hyperlink"/>
          <w:b/>
          <w:bCs/>
          <w:color w:val="000000"/>
          <w:sz w:val="20"/>
          <w:szCs w:val="20"/>
          <w:u w:val="none" w:color="0000EE"/>
          <w:vertAlign w:val="superscript"/>
          <w:lang w:val="el" w:eastAsia="el"/>
        </w:rPr>
        <w:footnoteReference w:id="160"/>
      </w:r>
      <w:r>
        <w:rPr>
          <w:rStyle w:val="Hyperlink"/>
          <w:b/>
          <w:bCs/>
          <w:color w:val="000000"/>
          <w:sz w:val="20"/>
          <w:szCs w:val="20"/>
          <w:u w:val="none" w:color="0000EE"/>
          <w:vertAlign w:val="superscript"/>
          <w:lang w:val="el" w:eastAsia="el"/>
        </w:rPr>
        <w:footnoteReference w:id="161"/>
      </w:r>
      <w:r>
        <w:rPr>
          <w:b/>
          <w:bCs/>
          <w:lang w:val="el" w:eastAsia="el"/>
        </w:rPr>
        <w:t>Ο συντελεστής του ειδικού φόρου κατανάλωσης που επιβάλλεται στα προϊόντα του προηγούμενου άρθρου ορίζεται σε εκατόν δύο (102) ευρώ ανά εκατόλιτρο τελικού προϊόντος, με εξαίρεση τα προϊόντα που ορίζονται στις παραγράφους 6 και 7 του σημείου Β` του παραρτήματος III του κανονισμού (Ε.Κ.) της Επιτροπής 606/2009 (EEL 193/24.7.2009) για τα οποία ο συντελεστής ορίζεται σε πενήντα ένα (51) ευρώ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2"/>
      </w: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90,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3"/>
      </w: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pStyle w:val="MainText"/>
        <w:spacing w:before="120" w:after="0"/>
        <w:rPr>
          <w:lang w:val="el" w:eastAsia="el"/>
        </w:rPr>
      </w:pPr>
      <w:r>
        <w:rPr>
          <w:b/>
          <w:bCs/>
          <w:lang w:val="el" w:eastAsia="el"/>
        </w:rPr>
        <w:t>1.</w:t>
      </w:r>
      <w:r>
        <w:rPr>
          <w:b/>
          <w:bCs/>
          <w:lang w:val="el" w:eastAsia="el"/>
        </w:rPr>
        <w:t xml:space="preserve"> Ο συντελεστής του Ε.Φ.Κ. που επιβάλλεται στα προϊόντα του άρθρου 92 ορίζεται σε είκοσι (20) ευρώ ανά εκατόλιτρο τελικού προϊόντος.</w:t>
      </w:r>
    </w:p>
    <w:p>
      <w:pPr>
        <w:pStyle w:val="MainText"/>
        <w:spacing w:before="120" w:after="0"/>
        <w:rPr>
          <w:lang w:val="el" w:eastAsia="el"/>
        </w:rPr>
      </w:pPr>
      <w:r>
        <w:rPr>
          <w:b/>
          <w:bCs/>
          <w:lang w:val="el" w:eastAsia="el"/>
        </w:rPr>
        <w:t>2.</w:t>
      </w:r>
      <w:r>
        <w:rPr>
          <w:b/>
          <w:bCs/>
          <w:lang w:val="el" w:eastAsia="el"/>
        </w:rPr>
        <w:t xml:space="preserve"> Απαλλάσσονται του Ε.Φ.Κ. τα προϊόντα του άρθρου 92, όταν χρησιμοποιούνται για την παραγωγή ξυδιού, σύμφωνα με τον ορισμό του κωδικού Σ.Ο. 22.09.</w:t>
      </w:r>
    </w:p>
    <w:p>
      <w:pPr>
        <w:spacing w:before="240" w:after="240"/>
        <w:rPr>
          <w:lang w:val="el" w:eastAsia="el"/>
        </w:rPr>
      </w:pPr>
      <w:r>
        <w:rPr>
          <w:b/>
          <w:bCs/>
          <w:lang w:val="el" w:eastAsia="el"/>
        </w:rPr>
        <w:t>Με απόφαση του Υπουργού Οικονομικών καθορίζονται οι όροι, οι διαδικασίες, καθώς και κάθε άλλη λεπτομέρεια για την εφαρμογή των διατάξεων της παρούσας παραγράφου.</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 οι όροι και οι διαδικασίες για τον έλεγχο και την εποπτεία των μονάδων παραγωγής, εμφιάλωσης και εμπορίας των προϊόντων του άρθρου 92 για φορολογικούς σκοπούς.</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πουράκια,,</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4"/>
      </w: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πουρακια.</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γλιστρούν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πουρακια: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με εξωτερικό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με τεμαχισμένο μείγμα καπνού και με εξωτερικό περιτύλιγμα στο σύνηθες χρώμα του πούρου, από ανασυσταθέντα καπνό, που καλύπτει πλήρως το προϊόν και όπου χρειάζεται και το φίλτρο, όχι όμως και το επιστόμιο στην περίπτωση προϊόντων με επιστόμιο, όπου το βάρος ανά μονάδα, μη περιλαμβανομένου του φίλτρου ή του επιστομίου, δεν είναι μικρότερο από 2,3 γραμμάρια ούτε μεγαλύτερο από 10 γραμμάρια και η περίμετρος στο ένα τρίτο τουλάχιστον του μήκους δεν είναι μικρότερη από 34 χιλιοστά.</w:t>
      </w:r>
    </w:p>
    <w:p>
      <w:pPr>
        <w:spacing w:before="240" w:after="240"/>
        <w:rPr>
          <w:lang w:val="el" w:eastAsia="el"/>
        </w:rPr>
      </w:pPr>
      <w:r>
        <w:rPr>
          <w:b/>
          <w:bCs/>
          <w:lang w:val="el" w:eastAsia="el"/>
        </w:rPr>
        <w:t>Τα προϊόντα των παραπάνω περιπτώσεων θεωρούνται πούρα ή πουρακια αν μπορούν και προορίζονται αποκλειστικά να καπνίζονται ως έχουν, δεδομένων των χαρακτηριστικών τους και των συνήθων καταναλωτικών προσδοκιών.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 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1,5 χιλιοστόμετρο ή έχει πλάτος κοπής ίσο προς 1,5 χιλιοστόμετρο ή μεγαλύτερο, εφόσον ο καπνός αυτός πωλείται ή έχει πωληθεί για στρίψιμο τσιγάρων.</w:t>
      </w:r>
    </w:p>
    <w:p>
      <w:pPr>
        <w:spacing w:before="240" w:after="240"/>
        <w:rPr>
          <w:lang w:val="el" w:eastAsia="el"/>
        </w:rPr>
      </w:pPr>
      <w:r>
        <w:rPr>
          <w:b/>
          <w:bCs/>
          <w:lang w:val="el" w:eastAsia="el"/>
        </w:rPr>
        <w:t>Δ. Άλλα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 Για τους σκοπούς του παρόντος άρθρου, ως «υπολείμματα καπνού» νοούνται τα κατάλοιπα των φύλλων καπνού και τα υποπροϊόντα που προέρχονται από την επεξεργασία του καπνού ή την παραγωγή προϊόντων καπνού.</w:t>
      </w:r>
    </w:p>
    <w:p>
      <w:pPr>
        <w:pStyle w:val="MainText"/>
        <w:spacing w:before="120" w:after="0"/>
        <w:rPr>
          <w:lang w:val="el" w:eastAsia="el"/>
        </w:rPr>
      </w:pPr>
      <w:r>
        <w:rPr>
          <w:b/>
          <w:bCs/>
          <w:lang w:val="el" w:eastAsia="el"/>
        </w:rPr>
        <w:t>2.</w:t>
      </w:r>
      <w:r>
        <w:rPr>
          <w:b/>
          <w:bCs/>
          <w:lang w:val="el" w:eastAsia="el"/>
        </w:rPr>
        <w:t xml:space="preserve"> Εξομοιώνονται με πούρα και πουράκια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65"/>
      </w:r>
      <w:r>
        <w:rPr>
          <w:rStyle w:val="Hyperlink"/>
          <w:b/>
          <w:bCs/>
          <w:color w:val="000000"/>
          <w:sz w:val="20"/>
          <w:szCs w:val="20"/>
          <w:u w:val="none" w:color="0000EE"/>
          <w:vertAlign w:val="superscript"/>
          <w:lang w:val="el" w:eastAsia="el"/>
        </w:rPr>
        <w:footnoteReference w:id="166"/>
      </w:r>
      <w:r>
        <w:rPr>
          <w:b/>
          <w:bCs/>
          <w:lang w:val="el" w:eastAsia="el"/>
        </w:rPr>
        <w:t>Ο ειδικός φόρος κατανάλωσης των βιομηχανοποιημένων καπνών:</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τα πούρα και τα πουράκια σε ποσοστό επί της κατά 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7"/>
      </w:r>
      <w:r>
        <w:rPr>
          <w:rStyle w:val="Hyperlink"/>
          <w:b/>
          <w:bCs/>
          <w:color w:val="000000"/>
          <w:sz w:val="20"/>
          <w:szCs w:val="20"/>
          <w:u w:val="none" w:color="0000EE"/>
          <w:vertAlign w:val="superscript"/>
          <w:lang w:val="el" w:eastAsia="el"/>
        </w:rPr>
        <w:footnoteReference w:id="168"/>
      </w:r>
      <w:r>
        <w:rPr>
          <w:rStyle w:val="Hyperlink"/>
          <w:b/>
          <w:bCs/>
          <w:color w:val="000000"/>
          <w:sz w:val="20"/>
          <w:szCs w:val="20"/>
          <w:u w:val="none" w:color="0000EE"/>
          <w:vertAlign w:val="superscript"/>
          <w:lang w:val="el" w:eastAsia="el"/>
        </w:rPr>
        <w:footnoteReference w:id="169"/>
      </w:r>
      <w:r>
        <w:rPr>
          <w:rStyle w:val="Hyperlink"/>
          <w:b/>
          <w:bCs/>
          <w:color w:val="000000"/>
          <w:sz w:val="20"/>
          <w:szCs w:val="20"/>
          <w:u w:val="none" w:color="0000EE"/>
          <w:vertAlign w:val="superscript"/>
          <w:lang w:val="el" w:eastAsia="el"/>
        </w:rPr>
        <w:footnoteReference w:id="170"/>
      </w:r>
      <w:r>
        <w:rPr>
          <w:rStyle w:val="Hyperlink"/>
          <w:b/>
          <w:bCs/>
          <w:color w:val="000000"/>
          <w:sz w:val="20"/>
          <w:szCs w:val="20"/>
          <w:u w:val="none" w:color="0000EE"/>
          <w:vertAlign w:val="superscript"/>
          <w:lang w:val="el" w:eastAsia="el"/>
        </w:rPr>
        <w:footnoteReference w:id="171"/>
      </w:r>
      <w:r>
        <w:rPr>
          <w:rStyle w:val="Hyperlink"/>
          <w:b/>
          <w:bCs/>
          <w:color w:val="000000"/>
          <w:sz w:val="20"/>
          <w:szCs w:val="20"/>
          <w:u w:val="none" w:color="0000EE"/>
          <w:vertAlign w:val="superscript"/>
          <w:lang w:val="el" w:eastAsia="el"/>
        </w:rPr>
        <w:footnoteReference w:id="172"/>
      </w:r>
      <w:r>
        <w:rPr>
          <w:rStyle w:val="Hyperlink"/>
          <w:b/>
          <w:bCs/>
          <w:color w:val="000000"/>
          <w:sz w:val="20"/>
          <w:szCs w:val="20"/>
          <w:u w:val="none" w:color="0000EE"/>
          <w:vertAlign w:val="superscript"/>
          <w:lang w:val="el" w:eastAsia="el"/>
        </w:rPr>
        <w:footnoteReference w:id="173"/>
      </w: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Ο ειδικός φόρος κατανάλωσης που επιβάλλεται στα βιομηχανοποιημένα καπνά υπολογίζεται ως εξής:</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 πάγιο φόρο, ο οποίος επιβάλλεται ανά μονάδα προϊόντος, το ποσό του οποίου είναι 82,50 ευρώ ανά χίλια (1.000) τεμάχια τσιγάρων (1 φορολογική μονάδα) και είναι το ίδιο για όλες τις κατηγορίες τσιγάρων,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26%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b/>
          <w:bCs/>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117,50 ευρώ ανά χίλια (1.000) τεμάχια τσιγάρων (1 φορολογική μονάδα).</w:t>
      </w:r>
    </w:p>
    <w:p>
      <w:pPr>
        <w:pStyle w:val="MainText"/>
        <w:spacing w:before="120" w:after="0"/>
        <w:rPr>
          <w:lang w:val="el" w:eastAsia="el"/>
        </w:rPr>
      </w:pPr>
      <w:r>
        <w:rPr>
          <w:b/>
          <w:bCs/>
          <w:lang w:val="el" w:eastAsia="el"/>
        </w:rPr>
        <w:t>2.</w:t>
      </w:r>
      <w:r>
        <w:rPr>
          <w:b/>
          <w:bCs/>
          <w:lang w:val="el" w:eastAsia="el"/>
        </w:rPr>
        <w:t xml:space="preserve"> Στα πούρα ή στα πουράκια ο συντελεστής του ειδικού φόρου κατανάλωσης ορίζεται σε ποσοστό 35% επί της κατά χιλιόγραμμο τιμής λιανικής πώλησης τους.</w:t>
      </w:r>
    </w:p>
    <w:p>
      <w:pPr>
        <w:pStyle w:val="MainText"/>
        <w:spacing w:before="120" w:after="0"/>
        <w:rPr>
          <w:lang w:val="el" w:eastAsia="el"/>
        </w:rPr>
      </w:pPr>
      <w:r>
        <w:rPr>
          <w:b/>
          <w:bCs/>
          <w:lang w:val="el" w:eastAsia="el"/>
        </w:rPr>
        <w:t>3.</w:t>
      </w:r>
      <w:r>
        <w:rPr>
          <w:b/>
          <w:bCs/>
          <w:lang w:val="el" w:eastAsia="el"/>
        </w:rPr>
        <w:t xml:space="preserve"> Στο λεπτοκομμένο καπνό, ο οποίος προορίζεται για την κατασκευή χειροποίητων τσιγάρων, ο συντελεστής του ειδικού φόρου κατανάλωσης ορίζεται στα 170 ευρώ ανά χιλιόγραμμο καθαρού βάρους.</w:t>
      </w:r>
    </w:p>
    <w:p>
      <w:pPr>
        <w:pStyle w:val="MainText"/>
        <w:spacing w:before="120" w:after="0"/>
        <w:rPr>
          <w:lang w:val="el" w:eastAsia="el"/>
        </w:rPr>
      </w:pPr>
      <w:r>
        <w:rPr>
          <w:b/>
          <w:bCs/>
          <w:lang w:val="el" w:eastAsia="el"/>
        </w:rPr>
        <w:t>4.</w:t>
      </w:r>
      <w:r>
        <w:rPr>
          <w:b/>
          <w:bCs/>
          <w:lang w:val="el" w:eastAsia="el"/>
        </w:rPr>
        <w:t xml:space="preserve"> Στα άλλα καπνά για κάπνισμα, ο συντελεστής του ειδικού φόρου κατανάλωσης ορίζεται στα 156,70 ευρώ ανά χιλιόγραμμο καθαρού βάρους.</w:t>
      </w:r>
    </w:p>
    <w:p>
      <w:pPr>
        <w:pStyle w:val="MainText"/>
        <w:spacing w:before="120" w:after="0"/>
        <w:rPr>
          <w:lang w:val="el" w:eastAsia="el"/>
        </w:rPr>
      </w:pPr>
      <w:r>
        <w:rPr>
          <w:b/>
          <w:bCs/>
          <w:lang w:val="el" w:eastAsia="el"/>
        </w:rPr>
        <w:t>5.</w:t>
      </w:r>
      <w:r>
        <w:rPr>
          <w:b/>
          <w:bCs/>
          <w:lang w:val="el" w:eastAsia="el"/>
        </w:rPr>
        <w:t xml:space="preserve">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προέλευση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6.</w:t>
      </w:r>
      <w:r>
        <w:rPr>
          <w:b/>
          <w:bCs/>
          <w:lang w:val="el" w:eastAsia="el"/>
        </w:rPr>
        <w:t xml:space="preserve">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7.</w:t>
      </w:r>
      <w:r>
        <w:rPr>
          <w:b/>
          <w:bCs/>
          <w:lang w:val="el" w:eastAsia="el"/>
        </w:rPr>
        <w:t xml:space="preserve">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b/>
          <w:bCs/>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b/>
          <w:bCs/>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4"/>
      </w: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b/>
          <w:bCs/>
          <w:lang w:val="el" w:eastAsia="el"/>
        </w:rPr>
        <w:t xml:space="preserve"> Η ισχύς των διατάξεων της παρούσας υποπαραγράφου Ε.3. αρχίζει από την κατάθεση του σχεδίου νόμου στη Βουλή.</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οκτώ (8)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οκτώ (8) εκατοστά και μέχρι έντεκα (11)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έντεκα (11) εκατοστά και μέχρι δεκατέσσερα (14) εκατοστά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5"/>
      </w:r>
      <w:r>
        <w:rPr>
          <w:rStyle w:val="article-num"/>
          <w:b/>
          <w:bCs/>
          <w:lang w:val="el" w:eastAsia="el"/>
        </w:rPr>
        <w:t>Άρθρο 100</w:t>
      </w:r>
      <w:r>
        <w:rPr>
          <w:rStyle w:val="article-num"/>
          <w:b/>
          <w:bCs/>
          <w:sz w:val="30"/>
          <w:szCs w:val="30"/>
          <w:vertAlign w:val="superscript"/>
          <w:lang w:val="el" w:eastAsia="el"/>
        </w:rPr>
        <w:t>Α</w:t>
      </w:r>
    </w:p>
    <w:p>
      <w:pPr>
        <w:pStyle w:val="MainText"/>
        <w:spacing w:before="120" w:after="0"/>
        <w:rPr>
          <w:lang w:val="el" w:eastAsia="el"/>
        </w:rPr>
      </w:pPr>
      <w:r>
        <w:rPr>
          <w:b/>
          <w:bCs/>
          <w:lang w:val="el" w:eastAsia="el"/>
        </w:rPr>
        <w:t>1.</w:t>
      </w:r>
      <w:r>
        <w:rPr>
          <w:b/>
          <w:bCs/>
          <w:lang w:val="el" w:eastAsia="el"/>
        </w:rPr>
        <w:t xml:space="preserve"> Για τη σύσταση καπνοβιομηχανίας ή επαγγελματικού εργαστηρίου παραγωγής προϊόντων καπνού, εκτός από τις άδειες εγκατάστασης και λειτουργίας που χορηγούνται από την αρμόδια Διεύθυνση Ανάπτυξης της οικείας Περιφέρειας, απαιτείται και άδεια του Υπουργού Οικονομικών. Η άδεια αυτή, η οποία εκδίδεται μετά από αίτηση του ενδιαφερόμενου φυσικού ή νομικού προσώπου, είναι τριετούς διάρκειας και για την ανανέωση της απαιτείται η υποβολή νέας αίτησης.</w:t>
      </w:r>
    </w:p>
    <w:p>
      <w:pPr>
        <w:pStyle w:val="MainText"/>
        <w:spacing w:before="120" w:after="0"/>
        <w:rPr>
          <w:lang w:val="el" w:eastAsia="el"/>
        </w:rPr>
      </w:pPr>
      <w:r>
        <w:rPr>
          <w:b/>
          <w:bCs/>
          <w:lang w:val="el" w:eastAsia="el"/>
        </w:rPr>
        <w:t>2.</w:t>
      </w:r>
      <w:r>
        <w:rPr>
          <w:b/>
          <w:bCs/>
          <w:lang w:val="el" w:eastAsia="el"/>
        </w:rPr>
        <w:t xml:space="preserve"> Για τη χορήγηση άδειας σύστασης καπνοβιομηχανίας απαιτείται κατοχή μηχανικών εγκαταστάσεων ετήσιας παραγωγικής δυναμικότητας τουλάχιστον 250.000 χιλιόγραμμων επεξεργασμένου καπνού.</w:t>
      </w:r>
    </w:p>
    <w:p>
      <w:pPr>
        <w:spacing w:before="240" w:after="240"/>
        <w:rPr>
          <w:lang w:val="el" w:eastAsia="el"/>
        </w:rPr>
      </w:pPr>
      <w:r>
        <w:rPr>
          <w:b/>
          <w:bCs/>
          <w:lang w:val="el" w:eastAsia="el"/>
        </w:rPr>
        <w:t>Το φυσικό ή νομικό πρόσωπο που επιθυμεί να συστήσει καπνοβιομηχανία οφείλει επιπλέον πριν από την έναρξη της εργασίας του να συστήσει φορολογική αποθήκη και να λάβει άδεια εγκεκριμένου αποθηκευτή.</w:t>
      </w:r>
    </w:p>
    <w:p>
      <w:pPr>
        <w:pStyle w:val="MainText"/>
        <w:spacing w:before="120" w:after="0"/>
        <w:rPr>
          <w:lang w:val="el" w:eastAsia="el"/>
        </w:rPr>
      </w:pPr>
      <w:r>
        <w:rPr>
          <w:b/>
          <w:bCs/>
          <w:lang w:val="el" w:eastAsia="el"/>
        </w:rPr>
        <w:t>3.</w:t>
      </w:r>
      <w:r>
        <w:rPr>
          <w:b/>
          <w:bCs/>
          <w:lang w:val="el" w:eastAsia="el"/>
        </w:rPr>
        <w:t xml:space="preserve"> Για τη χορήγηση άδειας σύστασης επαγγελματικού εργαστηρίου απαιτείται κατοχή μηχανικών εγκαταστάσεων ετήσιας παραγωγικής δυναμικότητας τουλάχιστον 2.000 χιλιόγραμμων επεξεργασμένου καπνού.</w:t>
      </w:r>
    </w:p>
    <w:p>
      <w:pPr>
        <w:spacing w:before="240" w:after="240"/>
        <w:rPr>
          <w:lang w:val="el" w:eastAsia="el"/>
        </w:rPr>
      </w:pPr>
      <w:r>
        <w:rPr>
          <w:b/>
          <w:bCs/>
          <w:lang w:val="el" w:eastAsia="el"/>
        </w:rPr>
        <w:t>Οταν παράγονται προϊόντα καπνού από επαγγελματικό εργαστήριο υπό καθεστώς αναστολής του φόρου, σύμφωνα με τις διατάξεις του τρίτου μέρους του παρόντος Κώδικα, το ενδιαφερόμενο φυσικό ή νομικό πρόσωπο οφείλει επιπλέον πριν από την έναρξη της εργασίας του να συστήσει φορολογική αποθήκη και να λάβει άδεια εγκεκριμένου αποθηκευτή.</w:t>
      </w:r>
    </w:p>
    <w:p>
      <w:pPr>
        <w:spacing w:before="240" w:after="240"/>
        <w:rPr>
          <w:lang w:val="el" w:eastAsia="el"/>
        </w:rPr>
      </w:pPr>
      <w:r>
        <w:rPr>
          <w:b/>
          <w:bCs/>
          <w:lang w:val="el" w:eastAsia="el"/>
        </w:rPr>
        <w:t>Οταν παράγονται προϊόντα καπνού από επαγγελματικό εργαστήριο εκτός καθεστώτος αναστολής του φόρου, σύμφωνα με τις διατάξεις των άρθρων 56, 106 και 111 του παρόντος Κώδικα, το ενδιαφερόμενο φυσικό ή νομικό πρόσωπο πρέπει να πληροί τις προϋποθέσεις που καθορίζονται με απόφαση του Υπουργού Οικονομικών Το πρόσωπο αυτό υποχρεούται να παρέχει εγγύηση προς το Δημόσιο για τη διασφάλιση των συμφερόντων του και να συμμορφώνεται με τις υποχρεώσεις που επιβάλλει ο Υπουργός Οικονομικών και η αρμόδια αρχή.</w:t>
      </w:r>
    </w:p>
    <w:p>
      <w:pPr>
        <w:pStyle w:val="MainText"/>
        <w:spacing w:before="120" w:after="0"/>
        <w:rPr>
          <w:lang w:val="el" w:eastAsia="el"/>
        </w:rPr>
      </w:pPr>
      <w:r>
        <w:rPr>
          <w:b/>
          <w:bCs/>
          <w:lang w:val="el" w:eastAsia="el"/>
        </w:rPr>
        <w:t>4.</w:t>
      </w:r>
      <w:r>
        <w:rPr>
          <w:b/>
          <w:bCs/>
          <w:lang w:val="el" w:eastAsia="el"/>
        </w:rPr>
        <w:t xml:space="preserve"> Για τους σκοπούς εφαρμογής του άρθρου 18 του προεδρικού διατάγματος της 28ης Ιουλίου 1931 (ΦΕΚ 239 Α`), ως άδεια σύστασης ειδικού καπνεργοστασίου νοείται η άδεια που προβλέπεται από τις διατάξεις του παρόντος άρθρου.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76"/>
      </w:r>
      <w:r>
        <w:rPr>
          <w:b/>
          <w:bCs/>
          <w:lang w:val="el" w:eastAsia="el"/>
        </w:rPr>
        <w:t>α) Για την αποστολή σε άλλο κράτος-μέλος, παραλαβή από άλλο κράτος-μέλος, εισαγωγή, εξαγωγή καπνού,</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εισαγωγή βιομηχανοποιημένων καπνών και</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την κατασκευή, αποστολή, παραλαβή, εισαγωγή, εξαγωγή εξοπλισμού παραγωγής βιομηχανοποιημένων καπνών απαιτείται άδεια, η οποία εκδίδεται από την αρμόδια αρχή κατόπιν αίτησης του ενδιαφερομένου φυσικού ή νομικού προσώπου.</w:t>
      </w:r>
    </w:p>
    <w:p>
      <w:pPr>
        <w:spacing w:before="240" w:after="240"/>
        <w:rPr>
          <w:lang w:val="el" w:eastAsia="el"/>
        </w:rPr>
      </w:pPr>
      <w:r>
        <w:rPr>
          <w:b/>
          <w:bCs/>
          <w:lang w:val="el" w:eastAsia="el"/>
        </w:rPr>
        <w:t>Με απόφαση του Υπουργού Οικονομικών καθορίζονται οι όροι και οι προϋποθέσεις για τη χορήγηση, την τροποποίηση, την ανάκληση και τον χρόνο ισχύος της άδειας αυτής, καθώς και κάθε άλλο σχετικό ζήτημα.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7"/>
      </w:r>
      <w:r>
        <w:rPr>
          <w:b/>
          <w:bCs/>
          <w:lang w:val="el" w:eastAsia="el"/>
        </w:rPr>
        <w:t xml:space="preserve">Άρθρο 100Β </w:t>
      </w:r>
    </w:p>
    <w:p>
      <w:pPr>
        <w:pStyle w:val="Heading6"/>
        <w:spacing w:before="240" w:after="240"/>
        <w:rPr>
          <w:lang w:val="el" w:eastAsia="el"/>
        </w:rPr>
      </w:pPr>
      <w:r>
        <w:rPr>
          <w:b/>
          <w:bCs/>
          <w:lang w:val="el" w:eastAsia="el"/>
        </w:rPr>
        <w:t>Ενιαίο κεντρικό μητρώο εφοδιαστικής αλυσίδας καπνού και βιομηχανοποιημένων καπνών (ΕΚ- ΜΕΑ)</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άρθρου, ως «εφοδιαστική αλυσίδα» νοείται η αποστολή σε άλλο κράτος -μέλος, παραλαβή από άλλο κράτος-μέλος, εισαγωγή και εξαγωγή καπνού, η παραγωγή, αποθήκευση, μεταποίηση, αποστολή, παραλαβή, εισαγωγή, εξαγωγή βιομηχανοποιημένων καπνών, η κατασκευή, εισαγωγή, εξαγωγή, αποστολή, παραλαβή του εξοπλισμού παραγωγής αυτών, καθώς και οι λοιπές δραστηριότητες στα πλαίσια της εμπορίας καπνού και βιομηχανοποιημένων καπνών.</w:t>
      </w:r>
    </w:p>
    <w:p>
      <w:pPr>
        <w:pStyle w:val="MainText"/>
        <w:spacing w:before="120" w:after="0"/>
        <w:rPr>
          <w:lang w:val="el" w:eastAsia="el"/>
        </w:rPr>
      </w:pPr>
      <w:r>
        <w:rPr>
          <w:b/>
          <w:bCs/>
          <w:lang w:val="el" w:eastAsia="el"/>
        </w:rPr>
        <w:t>2.</w:t>
      </w:r>
      <w:r>
        <w:rPr>
          <w:b/>
          <w:bCs/>
          <w:lang w:val="el" w:eastAsia="el"/>
        </w:rPr>
        <w:t xml:space="preserve"> Στο Πληροφορικό Σύστημα Τελωνειακών Ηλεκτρονικών υπηρεσιών ICIS net καθιερώνεται μητρώο υπό την ονομασία «Ενιαίο Κεντρικό Μητρώο Εφοδιαστικής</w:t>
      </w:r>
    </w:p>
    <w:p>
      <w:pPr>
        <w:spacing w:before="240" w:after="240"/>
        <w:rPr>
          <w:lang w:val="el" w:eastAsia="el"/>
        </w:rPr>
      </w:pPr>
      <w:r>
        <w:rPr>
          <w:b/>
          <w:bCs/>
          <w:lang w:val="el" w:eastAsia="el"/>
        </w:rPr>
        <w:t>Αλυσίδας καπνού και βιομηχανοποιημένων καπνών» (ΕΚΜΕΑ).</w:t>
      </w:r>
    </w:p>
    <w:p>
      <w:pPr>
        <w:pStyle w:val="MainText"/>
        <w:spacing w:before="120" w:after="0"/>
        <w:rPr>
          <w:lang w:val="el" w:eastAsia="el"/>
        </w:rPr>
      </w:pPr>
      <w:r>
        <w:rPr>
          <w:b/>
          <w:bCs/>
          <w:lang w:val="el" w:eastAsia="el"/>
        </w:rPr>
        <w:t>3.</w:t>
      </w:r>
      <w:r>
        <w:rPr>
          <w:b/>
          <w:bCs/>
          <w:lang w:val="el" w:eastAsia="el"/>
        </w:rPr>
        <w:t xml:space="preserve"> Στο μητρώο αυτό καταχωρούνται, τηρούνται και παρακολουθούνται όλες οι άδειες, οι οποίες χορηγούνται από τις κατά περίπτωση αρμόδιες αρχές σε φυσικά ή νομικά πρόσωπα, τα οποία δραστηριοποιούνται στα πλαίσια της εφοδιαστικής αλυσίδας καπνού και βιομηχανοποιημένων καπνών. Με την καταχώριση των αδειών αυτών στο ανωτέρω μητρώο, οι κάτοχοι αυτών λαμβάνουν έναν Μοναδικό Αριθμό Μητρώου Διακινητή Καπνικών Προϊόντων (ΑΜΔΙΚΑΠ). Οι κατά περίπτωση αρμόδιες αρχές αδειοδότησης έχουν την υποχρέωση να τηρούν ενήμερο το ΕΚΜΕΑ.</w:t>
      </w:r>
    </w:p>
    <w:p>
      <w:pPr>
        <w:pStyle w:val="MainText"/>
        <w:spacing w:before="120" w:after="0"/>
        <w:rPr>
          <w:lang w:val="el" w:eastAsia="el"/>
        </w:rPr>
      </w:pPr>
      <w:r>
        <w:rPr>
          <w:b/>
          <w:bCs/>
          <w:lang w:val="el" w:eastAsia="el"/>
        </w:rPr>
        <w:t>4.</w:t>
      </w:r>
      <w:r>
        <w:rPr>
          <w:b/>
          <w:bCs/>
          <w:lang w:val="el" w:eastAsia="el"/>
        </w:rPr>
        <w:t xml:space="preserve"> Ο ΑΜΔΙΚΑΠ του αποστολέα και του παραλήπτη αναγράφεται υποχρεωτικά σε κάθε διακίνηση στο εσωτερικό της χώρας μέχρι το τελικό σημείο λιανικής πώλησης στα προβλεπόμενα κατά περίπτωση εμπορικά ή συνοδευτικά έγγραφα μεταφοράς.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ή με κοινές αποφάσεις του Υπουργού Οικονομικών και των κατά περίπτωση αρμόδιων Υπουργών καθορίζονται οι λεπτομέρειες εφαρμογής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8"/>
      </w:r>
      <w:r>
        <w:rPr>
          <w:rStyle w:val="article-num"/>
          <w:b/>
          <w:bCs/>
          <w:lang w:val="el" w:eastAsia="el"/>
        </w:rPr>
        <w:t>Άρθρο 100Γ</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άρθρου, οι παρακάτω όροι χρησιμοποιούνται με την εξής σημασία: α) Ως «πελάτες» νοούνται τα φυσικά ή νομικά πρόσωπα, ημεδαπά ή αλλοδαπά, που προμηθεύονται βιομηχανο- ποιημένα καπνά από τις αδειοδοτημένες καπνοβιομηχανίες, τα αδειοδοτημένα επαγγελματικά εργαστήρια παραγωγής προϊόντων καπνού, από τους εισαγωγείς από τρίτες χώρες και τους παραλήπτες από άλλα κράτη - μέλη με σκοπό τη μεταπώλησή τους. β) Ως «προμηθευτές» νοούνται τα φυσικά ή νομικά πρόσωπα, ημεδαπά ή αλλοδαπά, τα οποία, ενεργώντας στο πλαίσιο της εμπορικής ή επαγγελματικής τους ιδιότητας, παρέχουν συμβατικώς στις αδειοδοτημένες καπνοβιομηχανίες ή στα αδειοδοτημένα επαγγελματικά εργαστήρια παραγωγής προϊόντων καπνού πρώτες ύλες, καθώς και πάσης φύσεως υλικά και υπηρεσίες.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79"/>
      </w:r>
      <w:r>
        <w:rPr>
          <w:b/>
          <w:bCs/>
          <w:lang w:val="el" w:eastAsia="el"/>
        </w:rPr>
        <w:t>Οι αδειοδοτημένες καπνοβιομηχανίες, οι επιχειρήσεις πρώτης μεταποίησης καπνού, τα αδειοδοτημένα επαγγελματικά εργαστήρια παραγωγής βιομηχανοποιημένων καπνών και οι επιχειρήσεις χονδρικής πώλησης έχουν την υποχρέωση να εφαρμόζουν μέτρα δέουσας επιμέλειας ως προς τους πελάτες και τους προμηθευτές τους. Μέτρα δέουσας επιμέλειας έχουν την υποχρέωση να εφαρμόζουν και οι εισαγωγείς από τρίτες χώρες και οι παραλήπτες βιομηχανοποιημένων καπνών από άλλα κράτη-μέλη της Ε.Ε. ως προς τους πελάτες τους. Οι καλλιεργητές καπνού εξαιρούνται απολύτως από την εφαρμογή των μέτρων δέουσας επιμέλειας..</w:t>
      </w:r>
    </w:p>
    <w:p>
      <w:pPr>
        <w:pStyle w:val="MainText"/>
        <w:spacing w:before="120" w:after="0"/>
        <w:rPr>
          <w:lang w:val="el" w:eastAsia="el"/>
        </w:rPr>
      </w:pPr>
      <w:r>
        <w:rPr>
          <w:b/>
          <w:bCs/>
          <w:lang w:val="el" w:eastAsia="el"/>
        </w:rPr>
        <w:t>3.</w:t>
      </w:r>
      <w:r>
        <w:rPr>
          <w:b/>
          <w:bCs/>
          <w:lang w:val="el" w:eastAsia="el"/>
        </w:rPr>
        <w:t xml:space="preserve"> Τα μέτρα δέουσας επιμέλειας ως προς τους πελάτες και τους προμηθευτές περιλαμβάνουν τουλάχιστον: α) την εξακρίβωση και την επαλήθευση της ταυτότητας των πελατών και των προμηθευτών βάσει εγγράφων, δεδομένων ή πληροφοριών από αξιόπιστη και ανεξάρ</w:t>
      </w:r>
    </w:p>
    <w:p>
      <w:pPr>
        <w:spacing w:before="240" w:after="240"/>
        <w:rPr>
          <w:lang w:val="el" w:eastAsia="el"/>
        </w:rPr>
      </w:pPr>
      <w:r>
        <w:rPr>
          <w:b/>
          <w:bCs/>
          <w:lang w:val="el" w:eastAsia="el"/>
        </w:rPr>
        <w:t>τητη πηγή, β) την τήρηση και καταγραφή αρχείων με όλες τις σχετικές συναλλαγές, γ) την άσκηση συνεχούς εποπτείας της εμπορικής δραστηριότητας στα πλαίσια της εφοδιαστικής αλυσίδας καπνού και βιομηχανοποιημένων καπνών, με ενδελεχή εξέταση των συναλλαγών που πραγματοποιούνται κατά τη διάρκεια αυτής, ώστε να είναι δυνατός ο εντοπισμός ασυνήθιστων ή ύποπτων συναλλαγών.</w:t>
      </w:r>
    </w:p>
    <w:p>
      <w:pPr>
        <w:pStyle w:val="MainText"/>
        <w:spacing w:before="120" w:after="0"/>
        <w:rPr>
          <w:lang w:val="el" w:eastAsia="el"/>
        </w:rPr>
      </w:pPr>
      <w:r>
        <w:rPr>
          <w:b/>
          <w:bCs/>
          <w:lang w:val="el" w:eastAsia="el"/>
        </w:rPr>
        <w:t>4.</w:t>
      </w:r>
      <w:r>
        <w:rPr>
          <w:b/>
          <w:bCs/>
          <w:lang w:val="el" w:eastAsia="el"/>
        </w:rPr>
        <w:t xml:space="preserve"> Τα πρόσωπα της παραγράφου 2 υποχρεούνται να αποστέλλουν κάθε μήνα, στο συντονιστικό κέντρο για την αντιμετώπιση του λαθρεμπορίου, που ιδρύεται με το άρθρο 6 του παρόντος, ηλεκτρονική κατάσταση με τις συναλλαγές των προμηθευτών και πελατών τους, καθώς και να παρέχουν πληροφορίες σχετικά με ασυνήθιστες ή ύποπτες συναλλαγές. Οι ηλεκτρονικές καταστάσεις υποβάλλονται μέχρι την τελευταία εργάσιμη ημέρα του επομένου μήνα από το μήνα διενέργειας της συναλλαγής.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ή με κοινές αποφάσεις του Υπουργού Οικονομικών και των κατά περίπτωση αρμόδιων Υπουργών καθορίζονται οι λεπτομέρειες εφαρμογής του παρόντος άρθρου.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80"/>
      </w:r>
      <w:r>
        <w:rPr>
          <w:b/>
          <w:bCs/>
          <w:lang w:val="el" w:eastAsia="el"/>
        </w:rPr>
        <w:t>...</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181"/>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182"/>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83"/>
      </w:r>
      <w:r>
        <w:rPr>
          <w:rStyle w:val="Hyperlink"/>
          <w:b/>
          <w:bCs/>
          <w:color w:val="000000"/>
          <w:sz w:val="20"/>
          <w:szCs w:val="20"/>
          <w:u w:val="none" w:color="0000EE"/>
          <w:vertAlign w:val="superscript"/>
          <w:lang w:val="el" w:eastAsia="el"/>
        </w:rPr>
        <w:footnoteReference w:id="184"/>
      </w:r>
      <w:r>
        <w:rPr>
          <w:b/>
          <w:bCs/>
          <w:lang w:val="el" w:eastAsia="el"/>
        </w:rPr>
        <w:t>Στα πρόσωπα της παραγράφου 1 του άρθρου 106 του παρόντα κώδικα, μετά από αίτηση τους, παρέχεται πίστωση του φόρου του παρόντα κώδικα, διάρκειας τεσσάρων (4)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 Ενωσης, συμπεριλαμβανομένων των εδαφίων των παραγράφων 5 και 6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185"/>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186"/>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παραλήπτη του εσωτερικού, καθώς και στον εγκεκριμένο αποθηκευτή άλλων κρατών-μελών της Ευρωπαϊκής Ένωσης,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αντιπρόσωπο εγκεκριμένου αποθηκευτή άλλων κρατών-</w:t>
      </w:r>
    </w:p>
    <w:p>
      <w:pPr>
        <w:spacing w:before="240" w:after="240"/>
        <w:rPr>
          <w:lang w:val="el" w:eastAsia="el"/>
        </w:rPr>
      </w:pPr>
      <w:r>
        <w:rPr>
          <w:b/>
          <w:bCs/>
          <w:lang w:val="el" w:eastAsia="el"/>
        </w:rPr>
        <w:t>μελών της Ευρωπαϊκής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187"/>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8"/>
      </w:r>
      <w:r>
        <w:rPr>
          <w:b/>
          <w:bCs/>
          <w:lang w:val="el" w:eastAsia="el"/>
        </w:rPr>
        <w:t xml:space="preserve">Άρθρο 106Α </w:t>
      </w:r>
    </w:p>
    <w:p>
      <w:pPr>
        <w:pStyle w:val="Heading6"/>
        <w:spacing w:before="240" w:after="240"/>
        <w:rPr>
          <w:lang w:val="el" w:eastAsia="el"/>
        </w:rPr>
      </w:pPr>
      <w:r>
        <w:rPr>
          <w:b/>
          <w:bCs/>
          <w:lang w:val="el" w:eastAsia="el"/>
        </w:rPr>
        <w:t>Ιχνηλασιμότητα (άρθρο 15 της οδηγίας)</w:t>
      </w:r>
    </w:p>
    <w:p>
      <w:pPr>
        <w:spacing w:before="240" w:after="240"/>
        <w:rPr>
          <w:lang w:val="el" w:eastAsia="el"/>
        </w:rPr>
      </w:pPr>
      <w:r>
        <w:rPr>
          <w:b/>
          <w:bCs/>
          <w:lang w:val="el" w:eastAsia="el"/>
        </w:rPr>
        <w:t>Γ ια τους σκοπούς του παρόντος άρθρου, οι παρακάτω όροι χρησιμοποιούνται με την εξής σημασία:</w:t>
      </w:r>
    </w:p>
    <w:p>
      <w:pPr>
        <w:spacing w:before="240" w:after="240"/>
        <w:rPr>
          <w:lang w:val="el" w:eastAsia="el"/>
        </w:rPr>
      </w:pPr>
      <w:r>
        <w:rPr>
          <w:b/>
          <w:bCs/>
          <w:lang w:val="el" w:eastAsia="el"/>
        </w:rPr>
        <w:t>Ως «κατασκευαστής» θεωρείται κάθε φυσικό ή νομικό πρόσωπο που κατασκευάζει προϊόν ή το οποίο δίνει εντολή να σχεδιαστεί ή να κατασκευαστεί ένα προϊόν και διαθέτει το προϊόν αυτό στην αγορά υπό την ονομασία ή το εμπορικό σήμα του.</w:t>
      </w:r>
    </w:p>
    <w:p>
      <w:pPr>
        <w:spacing w:before="240" w:after="240"/>
        <w:rPr>
          <w:lang w:val="el" w:eastAsia="el"/>
        </w:rPr>
      </w:pPr>
      <w:r>
        <w:rPr>
          <w:b/>
          <w:bCs/>
          <w:lang w:val="el" w:eastAsia="el"/>
        </w:rPr>
        <w:t>Ως «μονάδα συσκευασίας» θεωρείται η μικρότερη ατομική συσκευασία ενός προϊόντος καπνού ή συναφούς προϊόντος που διατίθεται στην αγορά.</w:t>
      </w:r>
    </w:p>
    <w:p>
      <w:pPr>
        <w:pStyle w:val="MainText"/>
        <w:spacing w:before="120" w:after="0"/>
        <w:rPr>
          <w:lang w:val="el" w:eastAsia="el"/>
        </w:rPr>
      </w:pPr>
      <w:r>
        <w:rPr>
          <w:b/>
          <w:bCs/>
          <w:lang w:val="el" w:eastAsia="el"/>
        </w:rPr>
        <w:t>1.</w:t>
      </w:r>
      <w:r>
        <w:rPr>
          <w:b/>
          <w:bCs/>
          <w:lang w:val="el" w:eastAsia="el"/>
        </w:rPr>
        <w:t xml:space="preserve"> Όλες οι μονάδες συσκευασίας των προϊόντων καπνού επισημαίνονται με μοναδικό αναγνωριστικό κωδικό, ο οποίος τυπώνεται ή τοποθετείται κατά τρόπον ώστε να μην μπορεί να αφαιρεθεί, είναι ανεξίτηλος και δεν κρύβεται ούτε διακόπτεται με κανένα τρόπο, μεταξύ άλλων από φορολογικά επισήματα ή ετικέτες αναγραφής της τιμής ή από το άνοιγμα της μονάδας συσκευασίας. Στην περίπτωση προϊόντων καπνού που κατασκευάζονται εκτός της Ευρωπαϊκής Ένωσης οι υποχρεώσεις που προβλέπονται στο παρόν άρθρο εφαρμόζονται μόνο στα προϊόντα εκείνα που προορίζονται για την αγορά της Ένωσης ή διατίθενται σε αυτήν.</w:t>
      </w:r>
    </w:p>
    <w:p>
      <w:pPr>
        <w:pStyle w:val="MainText"/>
        <w:spacing w:before="120" w:after="0"/>
        <w:rPr>
          <w:lang w:val="el" w:eastAsia="el"/>
        </w:rPr>
      </w:pPr>
      <w:r>
        <w:rPr>
          <w:b/>
          <w:bCs/>
          <w:lang w:val="el" w:eastAsia="el"/>
        </w:rPr>
        <w:t>2.</w:t>
      </w:r>
      <w:r>
        <w:rPr>
          <w:b/>
          <w:bCs/>
          <w:lang w:val="el" w:eastAsia="el"/>
        </w:rPr>
        <w:t xml:space="preserve"> Ο μοναδικός αναγνωριστικός κωδικός επιτρέπει τον προσδιορισμό των ακολούθων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της ημερομηνίας και του τόπου κατασκευής,</w:t>
      </w:r>
    </w:p>
    <w:p>
      <w:pPr>
        <w:pStyle w:val="StructureList1"/>
        <w:spacing w:before="120" w:after="0"/>
        <w:rPr>
          <w:lang w:val="el" w:eastAsia="el"/>
        </w:rPr>
      </w:pPr>
      <w:r>
        <w:rPr>
          <w:b/>
          <w:bCs/>
          <w:lang w:val="el" w:eastAsia="el"/>
        </w:rPr>
        <w:t>β)</w:t>
      </w:r>
      <w:r>
        <w:rPr>
          <w:b/>
          <w:bCs/>
          <w:lang w:val="en" w:eastAsia="en"/>
        </w:rPr>
        <w:tab/>
      </w:r>
      <w:r>
        <w:rPr>
          <w:b/>
          <w:bCs/>
          <w:lang w:val="el" w:eastAsia="el"/>
        </w:rPr>
        <w:t>της μονάδας κατασκευής,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μηχανήματος που χρησιμοποιήθηκε για την κατασκευή των προϊόντων καπνού,</w:t>
      </w:r>
    </w:p>
    <w:p>
      <w:pPr>
        <w:pStyle w:val="StructureList1"/>
        <w:spacing w:before="120" w:after="0"/>
        <w:rPr>
          <w:lang w:val="el" w:eastAsia="el"/>
        </w:rPr>
      </w:pPr>
      <w:r>
        <w:rPr>
          <w:b/>
          <w:bCs/>
          <w:lang w:val="el" w:eastAsia="el"/>
        </w:rPr>
        <w:t>δ)</w:t>
      </w:r>
      <w:r>
        <w:rPr>
          <w:b/>
          <w:bCs/>
          <w:lang w:val="en" w:eastAsia="en"/>
        </w:rPr>
        <w:tab/>
      </w:r>
      <w:r>
        <w:rPr>
          <w:b/>
          <w:bCs/>
          <w:lang w:val="el" w:eastAsia="el"/>
        </w:rPr>
        <w:t>της βάρδιας παραγωγής ή του χρόνου κατασκευής,</w:t>
      </w:r>
    </w:p>
    <w:p>
      <w:pPr>
        <w:pStyle w:val="StructureList1"/>
        <w:spacing w:before="120" w:after="0"/>
        <w:rPr>
          <w:lang w:val="el" w:eastAsia="el"/>
        </w:rPr>
      </w:pPr>
      <w:r>
        <w:rPr>
          <w:b/>
          <w:bCs/>
          <w:lang w:val="el" w:eastAsia="el"/>
        </w:rPr>
        <w:t>ε)</w:t>
      </w:r>
      <w:r>
        <w:rPr>
          <w:b/>
          <w:bCs/>
          <w:lang w:val="en" w:eastAsia="en"/>
        </w:rPr>
        <w:tab/>
      </w:r>
      <w:r>
        <w:rPr>
          <w:b/>
          <w:bCs/>
          <w:lang w:val="el" w:eastAsia="el"/>
        </w:rPr>
        <w:t>της περιγραφής του προϊόντος,</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προβλεπόμενης αγοράς λιανικής πώλησης,</w:t>
      </w:r>
    </w:p>
    <w:p>
      <w:pPr>
        <w:pStyle w:val="StructureList1"/>
        <w:spacing w:before="120" w:after="0"/>
        <w:rPr>
          <w:lang w:val="el" w:eastAsia="el"/>
        </w:rPr>
      </w:pPr>
      <w:r>
        <w:rPr>
          <w:b/>
          <w:bCs/>
          <w:lang w:val="el" w:eastAsia="el"/>
        </w:rPr>
        <w:t>ζ)</w:t>
      </w:r>
      <w:r>
        <w:rPr>
          <w:b/>
          <w:bCs/>
          <w:lang w:val="en" w:eastAsia="en"/>
        </w:rPr>
        <w:tab/>
      </w:r>
      <w:r>
        <w:rPr>
          <w:b/>
          <w:bCs/>
          <w:lang w:val="el" w:eastAsia="el"/>
        </w:rPr>
        <w:t>του προβλεπόμενου δρομολογίου της φόρτωσης,</w:t>
      </w:r>
    </w:p>
    <w:p>
      <w:pPr>
        <w:pStyle w:val="StructureList1"/>
        <w:spacing w:before="120" w:after="0"/>
        <w:rPr>
          <w:lang w:val="el" w:eastAsia="el"/>
        </w:rPr>
      </w:pPr>
      <w:r>
        <w:rPr>
          <w:b/>
          <w:bCs/>
          <w:lang w:val="el" w:eastAsia="el"/>
        </w:rPr>
        <w:t>η)</w:t>
      </w:r>
      <w:r>
        <w:rPr>
          <w:b/>
          <w:bCs/>
          <w:lang w:val="en" w:eastAsia="en"/>
        </w:rPr>
        <w:tab/>
      </w:r>
      <w:r>
        <w:rPr>
          <w:b/>
          <w:bCs/>
          <w:lang w:val="el" w:eastAsia="el"/>
        </w:rPr>
        <w:t>κατά περίπτωση, του εισαγωγέα στην Ένωση,</w:t>
      </w:r>
    </w:p>
    <w:p>
      <w:pPr>
        <w:pStyle w:val="StructureList1"/>
        <w:spacing w:before="120" w:after="0"/>
        <w:rPr>
          <w:lang w:val="el" w:eastAsia="el"/>
        </w:rPr>
      </w:pPr>
      <w:r>
        <w:rPr>
          <w:b/>
          <w:bCs/>
          <w:lang w:val="el" w:eastAsia="el"/>
        </w:rPr>
        <w:t>θ)</w:t>
      </w:r>
      <w:r>
        <w:rPr>
          <w:b/>
          <w:bCs/>
          <w:lang w:val="en" w:eastAsia="en"/>
        </w:rPr>
        <w:tab/>
      </w:r>
      <w:r>
        <w:rPr>
          <w:b/>
          <w:bCs/>
          <w:lang w:val="el" w:eastAsia="el"/>
        </w:rPr>
        <w:t>του πραγματικού δρομολογίου της φόρτωσης από τη μονάδα κατασκευής έως το πρώτο κατάστημα λιανικής πώλησης, συμπεριλαμβανομένων όλων των χρησιμοποιούμενων αποθηκών, καθώς και της ημερομηνίας φόρτωσης, του προορισμού, του σημείου αναχώρησης και του παραλήπτη,</w:t>
      </w:r>
    </w:p>
    <w:p>
      <w:pPr>
        <w:pStyle w:val="StructureList1"/>
        <w:spacing w:before="120" w:after="0"/>
        <w:rPr>
          <w:lang w:val="el" w:eastAsia="el"/>
        </w:rPr>
      </w:pPr>
      <w:r>
        <w:rPr>
          <w:b/>
          <w:bCs/>
          <w:lang w:val="el" w:eastAsia="el"/>
        </w:rPr>
        <w:t>ι)</w:t>
      </w:r>
      <w:r>
        <w:rPr>
          <w:b/>
          <w:bCs/>
          <w:lang w:val="en" w:eastAsia="en"/>
        </w:rPr>
        <w:tab/>
      </w:r>
      <w:r>
        <w:rPr>
          <w:b/>
          <w:bCs/>
          <w:lang w:val="el" w:eastAsia="el"/>
        </w:rPr>
        <w:t>της ταυτότητας όλων των αγοραστών από τη μονάδα κατασκευής έως το πρώτο κατάστημα λιανικής πώλησης και</w:t>
      </w:r>
    </w:p>
    <w:p>
      <w:pPr>
        <w:pStyle w:val="StructureList1"/>
        <w:spacing w:before="120" w:after="0"/>
        <w:rPr>
          <w:lang w:val="el" w:eastAsia="el"/>
        </w:rPr>
      </w:pPr>
      <w:r>
        <w:rPr>
          <w:b/>
          <w:bCs/>
          <w:lang w:val="el" w:eastAsia="el"/>
        </w:rPr>
        <w:t>ια)</w:t>
      </w:r>
      <w:r>
        <w:rPr>
          <w:b/>
          <w:bCs/>
          <w:lang w:val="en" w:eastAsia="en"/>
        </w:rPr>
        <w:tab/>
      </w:r>
      <w:r>
        <w:rPr>
          <w:b/>
          <w:bCs/>
          <w:lang w:val="el" w:eastAsia="el"/>
        </w:rPr>
        <w:t>του τιμολογίου, του αριθμού παραγγελίας και των αρχείων πληρωμών όλων των αγοραστών από τη μονάδα κατασκευής έως το πρώτο κατάστημα λιανικής πώλης.</w:t>
      </w:r>
    </w:p>
    <w:p>
      <w:pPr>
        <w:pStyle w:val="MainText"/>
        <w:spacing w:before="120" w:after="0"/>
        <w:rPr>
          <w:lang w:val="el" w:eastAsia="el"/>
        </w:rPr>
      </w:pPr>
      <w:r>
        <w:rPr>
          <w:b/>
          <w:bCs/>
          <w:lang w:val="el" w:eastAsia="el"/>
        </w:rPr>
        <w:t>3.</w:t>
      </w:r>
      <w:r>
        <w:rPr>
          <w:b/>
          <w:bCs/>
          <w:lang w:val="el" w:eastAsia="el"/>
        </w:rPr>
        <w:t xml:space="preserve"> Οι πληροφορίες που αναφέρονται στις περιπτώσεις α` έως ζ` και, κατά περίπτωση, η` της παραγράφου 2 αποτελούν μέρος του μοναδικού αναγνωριστικού κωδικού ενώ οι πληροφορίες που αναφέρονται στα στοιχεία θ` έως ια` της ίδιας παραγράφου είναι προσιτές ηλεκτρονικά μέσω συνδέσμου στον μοναδικό αναγνωριστικό κωδικό.</w:t>
      </w:r>
    </w:p>
    <w:p>
      <w:pPr>
        <w:pStyle w:val="MainText"/>
        <w:spacing w:before="120" w:after="0"/>
        <w:rPr>
          <w:lang w:val="el" w:eastAsia="el"/>
        </w:rPr>
      </w:pPr>
      <w:r>
        <w:rPr>
          <w:b/>
          <w:bCs/>
          <w:lang w:val="el" w:eastAsia="el"/>
        </w:rPr>
        <w:t>4.</w:t>
      </w:r>
      <w:r>
        <w:rPr>
          <w:b/>
          <w:bCs/>
          <w:lang w:val="el" w:eastAsia="el"/>
        </w:rPr>
        <w:t xml:space="preserve"> Όλοι οι οικονομικοί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καταγράφουν την περι- έλευση όλων των μονάδων συσκευασίας στην κατοχή τους, καθώς επίσης όλες τις ενδιάμεσες μετακινήσεις και την τελική έξοδο των μονάδων συσκευασίας από την κατοχή τους.</w:t>
      </w:r>
    </w:p>
    <w:p>
      <w:pPr>
        <w:spacing w:before="240" w:after="240"/>
        <w:rPr>
          <w:lang w:val="el" w:eastAsia="el"/>
        </w:rPr>
      </w:pPr>
      <w:r>
        <w:rPr>
          <w:b/>
          <w:bCs/>
          <w:lang w:val="el" w:eastAsia="el"/>
        </w:rPr>
        <w:t>Η υποχρέωση αυτή εκπληρώνεται με τη σήμανση και την καταγραφή της γενικής συσκευασίας όπως της κούτας, του κιβωτίου ή της παλέτας, υπό τον όρο ότι η παρακολούθηση και ο εντοπισμός όλων των μονάδων συσκευασίας παραμένει εφικτός.</w:t>
      </w:r>
    </w:p>
    <w:p>
      <w:pPr>
        <w:pStyle w:val="MainText"/>
        <w:spacing w:before="120" w:after="0"/>
        <w:rPr>
          <w:lang w:val="el" w:eastAsia="el"/>
        </w:rPr>
      </w:pPr>
      <w:r>
        <w:rPr>
          <w:b/>
          <w:bCs/>
          <w:lang w:val="el" w:eastAsia="el"/>
        </w:rPr>
        <w:t>5.</w:t>
      </w:r>
      <w:r>
        <w:rPr>
          <w:b/>
          <w:bCs/>
          <w:lang w:val="el" w:eastAsia="el"/>
        </w:rPr>
        <w:t xml:space="preserve"> Όλα τα φυσικά και νομικά πρόσωπα που εμπλέκονται στην αλυσίδα εφοδιασμού των προϊόντων καπνού τηρούν πλήρη και ακριβή αρχεία με όλες τις σχετικές συναλλαγές.</w:t>
      </w:r>
    </w:p>
    <w:p>
      <w:pPr>
        <w:pStyle w:val="MainText"/>
        <w:spacing w:before="120" w:after="0"/>
        <w:rPr>
          <w:lang w:val="el" w:eastAsia="el"/>
        </w:rPr>
      </w:pPr>
      <w:r>
        <w:rPr>
          <w:b/>
          <w:bCs/>
          <w:lang w:val="el" w:eastAsia="el"/>
        </w:rPr>
        <w:t>6.</w:t>
      </w:r>
      <w:r>
        <w:rPr>
          <w:b/>
          <w:bCs/>
          <w:lang w:val="el" w:eastAsia="el"/>
        </w:rPr>
        <w:t xml:space="preserve"> Οι κατασκευαστές προϊόντων καπνού παρέχουν σε όλους τους οικονομικούς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συμπεριλαμβανομένων των εισαγωγέων, των αποθηκών και των μεταφορικών εταιρειών, τον αναγκαίο εξοπλισμό για την καταγραφή των προϊόντων καπνού που αγοράζονται, πωλούνται, αποθηκεύονται, μεταφέρονται ή τυγχάνουν άλλου χειρισμού.</w:t>
      </w:r>
    </w:p>
    <w:p>
      <w:pPr>
        <w:spacing w:before="240" w:after="240"/>
        <w:rPr>
          <w:lang w:val="el" w:eastAsia="el"/>
        </w:rPr>
      </w:pPr>
      <w:r>
        <w:rPr>
          <w:b/>
          <w:bCs/>
          <w:lang w:val="el" w:eastAsia="el"/>
        </w:rPr>
        <w:t>Ο εν λόγω εξοπλισμός λαμβάνει και διαβιβάζει ηλεκτρονικά τα καταγεγραμμένα στοιχεία σε μονάδα αποθήκευσης δεδομένων σύμφωνα με την παράγραφο 7.</w:t>
      </w:r>
    </w:p>
    <w:p>
      <w:pPr>
        <w:pStyle w:val="MainText"/>
        <w:spacing w:before="120" w:after="0"/>
        <w:rPr>
          <w:lang w:val="el" w:eastAsia="el"/>
        </w:rPr>
      </w:pPr>
      <w:r>
        <w:rPr>
          <w:b/>
          <w:bCs/>
          <w:lang w:val="el" w:eastAsia="el"/>
        </w:rPr>
        <w:t>7.</w:t>
      </w:r>
      <w:r>
        <w:rPr>
          <w:b/>
          <w:bCs/>
          <w:lang w:val="el" w:eastAsia="el"/>
        </w:rPr>
        <w:t xml:space="preserve"> Οι κατασκευαστές και οι εισαγωγείς προϊόντων καπνού συνάπτουν συμβάσεις αποθήκευσης δεδομένων με ανεξάρτητο τρίτο μέρος, προκειμένου να αναλάβει την φιλοξενία της μονάδας αποθήκευσης δεδομένων για όλα τα σχετικά δεδομένα. Η μονάδα αποθήκευσης πρέπει να βρίσκεται στο έδαφος της Ευρωπαϊκής Ένωσης.</w:t>
      </w:r>
    </w:p>
    <w:p>
      <w:pPr>
        <w:spacing w:before="240" w:after="240"/>
        <w:rPr>
          <w:lang w:val="el" w:eastAsia="el"/>
        </w:rPr>
      </w:pPr>
      <w:r>
        <w:rPr>
          <w:b/>
          <w:bCs/>
          <w:lang w:val="el" w:eastAsia="el"/>
        </w:rPr>
        <w:t>Η καταλληλότητα του τρίτου μέρους και ιδίως η ανεξαρτησία και οι τεχνικές δυνατότητες, καθώς και η σύμβαση αποθήκευσης δεδομένων εγκρίνονται από την Ευρωπαϊκή επιτροπή.</w:t>
      </w:r>
    </w:p>
    <w:p>
      <w:pPr>
        <w:spacing w:before="240" w:after="240"/>
        <w:rPr>
          <w:lang w:val="el" w:eastAsia="el"/>
        </w:rPr>
      </w:pPr>
      <w:r>
        <w:rPr>
          <w:b/>
          <w:bCs/>
          <w:lang w:val="el" w:eastAsia="el"/>
        </w:rPr>
        <w:t>Οι δραστηριότητες του τρίτου μέρους παρακολουθούνται από εξωτερικό ελεγκτή, ο οποίος προτείνεται και αμείβεται από τον κατασκευαστή των προϊόντων καπνού και εγκρίνεται από την Ευρωπαϊκή επιτροπή. Ο εξωτερικός ελεγκτής έχει την υποχρέωση να υποβάλλει ετήσια έκθεση στην αρμόδια Διεύθυνση του Υπουργείου Οικονομικών και στην Ευρωπαϊκή επιτροπή εκτιμώντας ιδίως τυχόν παρατυπίες σχετικά με την πρόσβαση.</w:t>
      </w:r>
    </w:p>
    <w:p>
      <w:pPr>
        <w:spacing w:before="240" w:after="240"/>
        <w:rPr>
          <w:lang w:val="el" w:eastAsia="el"/>
        </w:rPr>
      </w:pPr>
      <w:r>
        <w:rPr>
          <w:b/>
          <w:bCs/>
          <w:lang w:val="el" w:eastAsia="el"/>
        </w:rPr>
        <w:t>Η επιτροπή, οι αρμόδιες αρχές και ο εξωτερικός ελεγκτής έχουν πλήρη πρόσβαση στη μονάδα αποθήκευσης δεδομένων. Σε δεόντως αιτιολογημένες περιπτώσεις, μπορεί να επιτραπεί η πρόσβαση στους κατασκευαστές ή στους εισαγωγείς στα αποθηκευμένα δεδομένα, από την Ευρωπαϊκή επιτροπή ή από τον Υπουργό Οικονομικών, υπό τον όρο ότι οι εμπορικά ευαίσθητες πληροφορίες εξακολουθούν να προστατεύονται επαρκώς σύμφωνα με το σχετικό ενωσιακό και εθνικό δίκαιο.</w:t>
      </w:r>
    </w:p>
    <w:p>
      <w:pPr>
        <w:pStyle w:val="MainText"/>
        <w:spacing w:before="120" w:after="0"/>
        <w:rPr>
          <w:lang w:val="el" w:eastAsia="el"/>
        </w:rPr>
      </w:pPr>
      <w:r>
        <w:rPr>
          <w:b/>
          <w:bCs/>
          <w:lang w:val="el" w:eastAsia="el"/>
        </w:rPr>
        <w:t>8.</w:t>
      </w:r>
      <w:r>
        <w:rPr>
          <w:b/>
          <w:bCs/>
          <w:lang w:val="el" w:eastAsia="el"/>
        </w:rPr>
        <w:t xml:space="preserve"> Τα καταγεγραμμένα δεδομένα δεν τροποποιούνται ούτε διαγράφονται από οποιονδήποτε οικονομικό φορέα που εμπλέκεται στο εμπόριο προϊόντων καπνού.</w:t>
      </w:r>
    </w:p>
    <w:p>
      <w:pPr>
        <w:pStyle w:val="MainText"/>
        <w:spacing w:before="120" w:after="0"/>
        <w:rPr>
          <w:lang w:val="el" w:eastAsia="el"/>
        </w:rPr>
      </w:pPr>
      <w:r>
        <w:rPr>
          <w:b/>
          <w:bCs/>
          <w:lang w:val="el" w:eastAsia="el"/>
        </w:rPr>
        <w:t>9.</w:t>
      </w:r>
      <w:r>
        <w:rPr>
          <w:b/>
          <w:bCs/>
          <w:lang w:val="el" w:eastAsia="el"/>
        </w:rPr>
        <w:t xml:space="preserve"> Η επεξεργασία προσωπικών δεδομένων γίνεται τη- ρουμένης της ενωσιακής και εθνικής νομοθεσίας για την προστασία αυτών.</w:t>
      </w:r>
    </w:p>
    <w:p>
      <w:pPr>
        <w:pStyle w:val="MainText"/>
        <w:spacing w:before="120" w:after="0"/>
        <w:rPr>
          <w:lang w:val="el" w:eastAsia="el"/>
        </w:rPr>
      </w:pPr>
      <w:r>
        <w:rPr>
          <w:b/>
          <w:bCs/>
          <w:lang w:val="el" w:eastAsia="el"/>
        </w:rPr>
        <w:t>10.</w:t>
      </w:r>
      <w:r>
        <w:rPr>
          <w:b/>
          <w:bCs/>
          <w:lang w:val="el" w:eastAsia="el"/>
        </w:rPr>
        <w:t xml:space="preserve"> Τα συστήματα που χρησιμοποιούνται για το μοναδικό αναγνωριστικό κωδικό και οι σχετικές λειτουργίες είναι πλήρως συμβατά μεταξύ τους σε ολόκληρη την Ευρωπαϊκή Ένωση.</w:t>
      </w:r>
    </w:p>
    <w:p>
      <w:pPr>
        <w:pStyle w:val="MainText"/>
        <w:spacing w:before="120" w:after="0"/>
        <w:rPr>
          <w:lang w:val="el" w:eastAsia="el"/>
        </w:rPr>
      </w:pPr>
      <w:r>
        <w:rPr>
          <w:b/>
          <w:bCs/>
          <w:lang w:val="el" w:eastAsia="el"/>
        </w:rPr>
        <w:t>11.</w:t>
      </w:r>
      <w:r>
        <w:rPr>
          <w:b/>
          <w:bCs/>
          <w:lang w:val="el" w:eastAsia="el"/>
        </w:rPr>
        <w:t xml:space="preserve"> Οι παράγραφοι 1 έως και 10 του παρόντος άρθρου εφαρμόζονται σύμφωνα με τις προθεσμίες που ορίζονται στην παρ. 13 του άρθρου 15 της οδηγίας 2014/40/ ΕΕ.</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MainText"/>
        <w:spacing w:before="120" w:after="0"/>
        <w:rPr>
          <w:lang w:val="el" w:eastAsia="el"/>
        </w:rPr>
      </w:pPr>
      <w:r>
        <w:rPr>
          <w:b/>
          <w:bCs/>
          <w:lang w:val="el" w:eastAsia="el"/>
        </w:rPr>
        <w:t>13.</w:t>
      </w:r>
      <w:r>
        <w:rPr>
          <w:b/>
          <w:bCs/>
          <w:lang w:val="el" w:eastAsia="el"/>
        </w:rPr>
        <w:t xml:space="preserve"> Με κοινή απόφαση του Υπουργού Οικονομικών και των κατά περίπτωση αρμόδιων Υπουργών καθορίζονται οι όροι και οι προϋποθέσεις πρόσβασης των αρμοδίων αρχών στη μονάδα αποθήκευσης δεδομένων.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9"/>
      </w:r>
      <w:r>
        <w:rPr>
          <w:b/>
          <w:bCs/>
          <w:lang w:val="el" w:eastAsia="el"/>
        </w:rPr>
        <w:t xml:space="preserve">Άρθρο 106Β </w:t>
      </w:r>
    </w:p>
    <w:p>
      <w:pPr>
        <w:pStyle w:val="Heading6"/>
        <w:spacing w:before="240" w:after="240"/>
        <w:rPr>
          <w:lang w:val="el" w:eastAsia="el"/>
        </w:rPr>
      </w:pPr>
      <w:r>
        <w:rPr>
          <w:b/>
          <w:bCs/>
          <w:lang w:val="el" w:eastAsia="el"/>
        </w:rPr>
        <w:t>Χαρακτηριστικό ασφαλείας (άρθρο 16 της οδηγίας)</w:t>
      </w:r>
    </w:p>
    <w:p>
      <w:pPr>
        <w:pStyle w:val="MainText"/>
        <w:spacing w:before="120" w:after="0"/>
        <w:rPr>
          <w:lang w:val="el" w:eastAsia="el"/>
        </w:rPr>
      </w:pPr>
      <w:r>
        <w:rPr>
          <w:b/>
          <w:bCs/>
          <w:lang w:val="el" w:eastAsia="el"/>
        </w:rPr>
        <w:t>1.</w:t>
      </w:r>
      <w:r>
        <w:rPr>
          <w:b/>
          <w:bCs/>
          <w:lang w:val="el" w:eastAsia="el"/>
        </w:rPr>
        <w:t xml:space="preserve"> Πέραν του μοναδικού αναγνωριστικού κωδικού που αναφέρεται στο άρθρο 106Α, όλες οι μονάδες συσκευασίας των προϊόντων καπνού που διατίθενται στην αγορά, φέρουν απαραβίαστο χαρακτηριστικό ασφαλείας που αποτελείται από ορατά και αόρατα στοιχεία. Το χαρακτηριστικό ασφαλείας τυπώνεται ή επικολλάται κατά τρόπον ώστε να μην μπορεί να αφαιρεθεί, είναι ανεξίτηλο και δεν κρύβεται ούτε διακόπτεται με κανένα τρόπο, μεταξύ άλλων από φορολογικά επισήματα και ετικέτες αναγραφής της τιμής ή από άλλα στοιχεία που επιβάλλονται από τη νομοθεσία. Τα φορολογικά επισήματα ή εθνικά αναγνωριστικά σήματα που χρησιμοποιούνται για φορολογικούς σκοπούς μπορούν να χρησιμοποιούνται ως χαρακτηριστικά ασφαλείας, υπό τον όρο ότι συμμορφώνονται με όλα τα τεχνικά πρότυπα και εκπληρώνουν όλες τις λειτουργίες του παρόντος άρθρου.</w:t>
      </w:r>
    </w:p>
    <w:p>
      <w:pPr>
        <w:pStyle w:val="MainText"/>
        <w:spacing w:before="120" w:after="0"/>
        <w:rPr>
          <w:lang w:val="el" w:eastAsia="el"/>
        </w:rPr>
      </w:pPr>
      <w:r>
        <w:rPr>
          <w:b/>
          <w:bCs/>
          <w:lang w:val="el" w:eastAsia="el"/>
        </w:rPr>
        <w:t>2.</w:t>
      </w:r>
      <w:r>
        <w:rPr>
          <w:b/>
          <w:bCs/>
          <w:lang w:val="el" w:eastAsia="el"/>
        </w:rPr>
        <w:t xml:space="preserve"> Η παράγραφος 1 του παρόντος άρθρου εφαρμόζεται σύμφωνα με τις προθεσμίες που ορίζονται στην παρ. 3 του άρθρου 16 της οδηγίας 2014/40/ΕΕ.</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90"/>
      </w:r>
      <w:r>
        <w:rPr>
          <w:rStyle w:val="Hyperlink"/>
          <w:b/>
          <w:bCs/>
          <w:color w:val="000000"/>
          <w:sz w:val="20"/>
          <w:szCs w:val="20"/>
          <w:u w:val="none" w:color="0000EE"/>
          <w:vertAlign w:val="superscript"/>
          <w:lang w:val="el" w:eastAsia="el"/>
        </w:rPr>
        <w:footnoteReference w:id="191"/>
      </w:r>
      <w:r>
        <w:rPr>
          <w:b/>
          <w:bCs/>
          <w:lang w:val="el" w:eastAsia="el"/>
        </w:rPr>
        <w:t>Η βεβαίωση και η είσπραξη του Ειδικού Φόρου Κατανάλωσης (Ε.Φ.Κ.), που αναλογεί στα προϊόντα του άρθρου 53 του παρόντος Κώδικα, ενεργείται από την αρμόδια Αρχή κατά τη θέση των προϊόντων σε ανάλωση, με την επιφύλαξη των διατάξεων των παραγράφων 8 και 8Α του παρόντος άρθρου και των άρθρων 110 και 111..</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92"/>
      </w:r>
      <w:r>
        <w:rPr>
          <w:b/>
          <w:bCs/>
          <w:lang w:val="el" w:eastAsia="el"/>
        </w:rPr>
        <w:t>Η βεβαίωση και είσπραξη του φόρου ενεργείται με παραστατικό έγγραφο, το οποίο υποβάλλεται από τον υπόχρεο στην αρμόδια αρχή και από την ημερομηνία αποδοχής του αποτελεί τίτλο υπέρ του Δημοσίου. Το παραστατικό αυτό καταρτίζεται με ευθύνη του υπόχρεου και το περιεχόμενο του ελέγχεται και επαληθεύεται κατά τα οριζόμενα σε ειδικές προς τούτο διατάξεις,</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93"/>
      </w:r>
      <w:r>
        <w:rPr>
          <w:rStyle w:val="Hyperlink"/>
          <w:b/>
          <w:bCs/>
          <w:color w:val="000000"/>
          <w:sz w:val="20"/>
          <w:szCs w:val="20"/>
          <w:u w:val="none" w:color="0000EE"/>
          <w:vertAlign w:val="superscript"/>
          <w:lang w:val="el" w:eastAsia="el"/>
        </w:rPr>
        <w:footnoteReference w:id="194"/>
      </w:r>
      <w:r>
        <w:rPr>
          <w:rStyle w:val="Hyperlink"/>
          <w:b/>
          <w:bCs/>
          <w:color w:val="000000"/>
          <w:sz w:val="20"/>
          <w:szCs w:val="20"/>
          <w:u w:val="none" w:color="0000EE"/>
          <w:vertAlign w:val="superscript"/>
          <w:lang w:val="el" w:eastAsia="el"/>
        </w:rPr>
        <w:footnoteReference w:id="195"/>
      </w:r>
      <w:r>
        <w:rPr>
          <w:b/>
          <w:bCs/>
          <w:lang w:val="el" w:eastAsia="el"/>
        </w:rPr>
        <w:t>Με τον Ειδικό Φόρο Κατανάλωσης (Ε.Φ.Κ.) βεβαιώνεται και εισπράττεται κατά την ίδια χρονική στιγμή ο Φόρος Προστιθέμενης Αξίας (Φ.Π.Α.),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25η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παραλήπτες, εκτός των περιστασιακά εγγεγραμμένων παραληπτών κατά την έννοια της παραγράφου 4 του άρθρου 113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 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96"/>
      </w:r>
      <w:r>
        <w:rPr>
          <w:rStyle w:val="Hyperlink"/>
          <w:b/>
          <w:bCs/>
          <w:color w:val="000000"/>
          <w:sz w:val="20"/>
          <w:szCs w:val="20"/>
          <w:u w:val="none" w:color="0000EE"/>
          <w:vertAlign w:val="superscript"/>
          <w:lang w:val="el" w:eastAsia="el"/>
        </w:rPr>
        <w:footnoteReference w:id="197"/>
      </w:r>
      <w:r>
        <w:rPr>
          <w:b/>
          <w:bCs/>
          <w:lang w:val="el" w:eastAsia="el"/>
        </w:rPr>
        <w:t>Στις περιπτώσεις όπου προβλέπεται επιστροφή ποσού του Ειδικού Φόρου Κατανάλωσης σύμφωνα με την περίπτωση α` της παραγράφου 2 του άρθρου 73 για το</w:t>
      </w:r>
    </w:p>
    <w:p>
      <w:pPr>
        <w:spacing w:before="240" w:after="240"/>
        <w:rPr>
          <w:lang w:val="el" w:eastAsia="el"/>
        </w:rPr>
      </w:pPr>
      <w:r>
        <w:rPr>
          <w:b/>
          <w:bCs/>
          <w:lang w:val="el" w:eastAsia="el"/>
        </w:rPr>
        <w:t>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98"/>
      </w:r>
      <w:r>
        <w:rPr>
          <w:rStyle w:val="Hyperlink"/>
          <w:b/>
          <w:bCs/>
          <w:color w:val="000000"/>
          <w:sz w:val="20"/>
          <w:szCs w:val="20"/>
          <w:u w:val="none" w:color="0000EE"/>
          <w:vertAlign w:val="superscript"/>
          <w:lang w:val="el" w:eastAsia="el"/>
        </w:rPr>
        <w:footnoteReference w:id="199"/>
      </w:r>
      <w:r>
        <w:rPr>
          <w:rStyle w:val="Hyperlink"/>
          <w:b/>
          <w:bCs/>
          <w:color w:val="000000"/>
          <w:sz w:val="20"/>
          <w:szCs w:val="20"/>
          <w:u w:val="none" w:color="0000EE"/>
          <w:vertAlign w:val="superscript"/>
          <w:lang w:val="el" w:eastAsia="el"/>
        </w:rPr>
        <w:footnoteReference w:id="200"/>
      </w:r>
      <w:r>
        <w:rPr>
          <w:b/>
          <w:bCs/>
          <w:lang w:val="el" w:eastAsia="el"/>
        </w:rPr>
        <w:t>Ο Ε.Φ.Κ. που αναλογεί στο φυσικό αέριο των περιπτώσεων ιζ` και ιη` της παραγράφου 1 του άρθρου 73, βεβαιώνεται και εισπράττεται από την αρμόδια αρχή το αργότερο μέχρι την εικοστή (20ή) ημέρα του επόμενου μήνα από την έκδοση των σχετικών παραστατικών πώλησης φυσικού αερίου. Τα στοιχεία για τον υπολογισμό του Ε.Φ.Κ., καθώς και οι λεπτομέρειες εφαρμογής του ανωτέρω εδαφίου καθορίζονται με την απόφαση που προβλέπεται στο πρώτο εδάφιο της παραγράφου 9 του άρθρου 73.</w:t>
      </w:r>
    </w:p>
    <w:p>
      <w:pPr>
        <w:spacing w:before="240" w:after="240"/>
        <w:rPr>
          <w:lang w:val="el" w:eastAsia="el"/>
        </w:rPr>
      </w:pPr>
      <w:r>
        <w:rPr>
          <w:b/>
          <w:bCs/>
          <w:lang w:val="el" w:eastAsia="el"/>
        </w:rPr>
        <w:t>Με τον Ε.Φ.Κ. βεβαιώνεται και εισπράττεται κατά την ίδια χρονική στιγμή ο φόρος προστιθέμενης αξίας (Φ.Π.Α.) και κάθε άλλη σχετική επιβάρυνση. Κατ` εξαίρεση προκειμένου για το φυσικό αέριο ο Φ.Π.Α. υπολογίζεται με τον οικείο φορολογικό συντελεστή επί του ποσού του Ε.Φ.Κ..</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01"/>
      </w:r>
      <w:r>
        <w:rPr>
          <w:b/>
          <w:bCs/>
          <w:lang w:val="el" w:eastAsia="el"/>
        </w:rPr>
        <w:t>Στις περιπτώσεις εφοδιασμού αεροσκαφών με καύσιμα τα οποία εξέρχονται από φορολογικές αποθήκες και δεν παρέχεται απαλλαγή είτε από Ε.Φ.Κ. είτε από Φ.Π.Α., οι αναλογούντες κατά περίπτωση φόροι βεβαιώνονται και εισπράττονται έως την εικοστή (20ή) ημέρα του επόμενου μήνα από το μήνα παράδοσης των καυσίμων.</w:t>
      </w:r>
    </w:p>
    <w:p>
      <w:pPr>
        <w:pStyle w:val="MainText"/>
        <w:spacing w:before="120" w:after="0"/>
        <w:rPr>
          <w:lang w:val="el" w:eastAsia="el"/>
        </w:rPr>
      </w:pPr>
      <w:r>
        <w:rPr>
          <w:b/>
          <w:bCs/>
          <w:lang w:val="el" w:eastAsia="el"/>
        </w:rPr>
        <w:t>8Α.</w:t>
      </w:r>
      <w:r>
        <w:rPr>
          <w:b/>
          <w:bCs/>
          <w:lang w:val="el" w:eastAsia="el"/>
        </w:rPr>
        <w:t xml:space="preserve"> </w:t>
      </w:r>
      <w:r>
        <w:rPr>
          <w:rStyle w:val="Hyperlink"/>
          <w:b/>
          <w:bCs/>
          <w:color w:val="000000"/>
          <w:sz w:val="20"/>
          <w:szCs w:val="20"/>
          <w:u w:val="none" w:color="0000EE"/>
          <w:vertAlign w:val="superscript"/>
          <w:lang w:val="el" w:eastAsia="el"/>
        </w:rPr>
        <w:footnoteReference w:id="202"/>
      </w:r>
      <w:r>
        <w:rPr>
          <w:b/>
          <w:bCs/>
          <w:lang w:val="el" w:eastAsia="el"/>
        </w:rPr>
        <w:t>Ο Ειδικός Φόρος Κατανάλωσης (Ε.Φ.Κ.) που αναλογεί στα προϊόντα των παραγράφων 4, 5 και 6 του άρθρου 73, τα οποία πρόκειται να χρησιμοποιηθούν ή διατίθενται προς πώληση ή χρησιμοποιούνται ως καύσιμα θέρμανσης ή κινητήρων, βεβαιώνεται και εισπράττεται από την αρμόδια Αρχή, το αργότερο μέχρι την εικοστή (20ή) ημέρα του επόμενου μήνα από το μήνα που πραγματοποιήθηκε η πώληση ή η ιδιοκατανάλωση αυτών.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03"/>
      </w:r>
      <w:r>
        <w:rPr>
          <w:rStyle w:val="Hyperlink"/>
          <w:b/>
          <w:bCs/>
          <w:color w:val="000000"/>
          <w:sz w:val="20"/>
          <w:szCs w:val="20"/>
          <w:u w:val="none" w:color="0000EE"/>
          <w:vertAlign w:val="superscript"/>
          <w:lang w:val="el" w:eastAsia="el"/>
        </w:rPr>
        <w:footnoteReference w:id="204"/>
      </w:r>
      <w:r>
        <w:rPr>
          <w:rStyle w:val="Hyperlink"/>
          <w:b/>
          <w:bCs/>
          <w:color w:val="000000"/>
          <w:sz w:val="20"/>
          <w:szCs w:val="20"/>
          <w:u w:val="none" w:color="0000EE"/>
          <w:vertAlign w:val="superscript"/>
          <w:lang w:val="el" w:eastAsia="el"/>
        </w:rPr>
        <w:footnoteReference w:id="205"/>
      </w:r>
      <w:r>
        <w:rPr>
          <w:b/>
          <w:bCs/>
          <w:lang w:val="el" w:eastAsia="el"/>
        </w:rPr>
        <w:t>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206"/>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07"/>
      </w:r>
      <w:r>
        <w:rPr>
          <w:b/>
          <w:bCs/>
          <w:lang w:val="el" w:eastAsia="el"/>
        </w:rPr>
        <w:t>Ο εγγεγραμμένος παραλήπτης και ο περιστασιακά εγγεγραμμένος παραλήπτης καταβάλλουν τον ειδικό φόρο κατανάλωσης των προϊόντων του άρθρου 79 του παρόντος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εγγεγραμμένος παραλήπτης καταβάλλει τον ειδικό φόρο κατανάλωσης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8"/>
      </w:r>
      <w:r>
        <w:rPr>
          <w:b/>
          <w:bCs/>
          <w:lang w:val="el" w:eastAsia="el"/>
        </w:rPr>
        <w:t xml:space="preserve">Άρθρο 112 </w:t>
      </w:r>
    </w:p>
    <w:p>
      <w:pPr>
        <w:pStyle w:val="Heading6"/>
        <w:spacing w:before="240" w:after="240"/>
        <w:rPr>
          <w:lang w:val="el" w:eastAsia="el"/>
        </w:rPr>
      </w:pPr>
      <w:r>
        <w:rPr>
          <w:b/>
          <w:bCs/>
          <w:lang w:val="el" w:eastAsia="el"/>
        </w:rPr>
        <w:t>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μπορούν να διακινούνται υπό καθεστώς αναστολής εντός του εδάφους της Κοινότητας, ακόμη και στην περίπτωση που τα προϊόντα διακινούνται μέσω τρίτης χώρας ή τρίτου εδάφους:</w:t>
      </w:r>
    </w:p>
    <w:p>
      <w:pPr>
        <w:pStyle w:val="StructureList1"/>
        <w:spacing w:before="120" w:after="0"/>
        <w:rPr>
          <w:lang w:val="el" w:eastAsia="el"/>
        </w:rPr>
      </w:pPr>
      <w:r>
        <w:rPr>
          <w:b/>
          <w:bCs/>
          <w:lang w:val="el" w:eastAsia="el"/>
        </w:rPr>
        <w:t>α)</w:t>
      </w:r>
      <w:r>
        <w:rPr>
          <w:b/>
          <w:bCs/>
          <w:lang w:val="en" w:eastAsia="en"/>
        </w:rPr>
        <w:tab/>
      </w:r>
      <w:r>
        <w:rPr>
          <w:b/>
          <w:bCs/>
          <w:lang w:val="el" w:eastAsia="el"/>
        </w:rPr>
        <w:t>από μια φορολογική αποθήκη προς:</w:t>
      </w:r>
    </w:p>
    <w:p>
      <w:pPr>
        <w:pStyle w:val="StructureList1"/>
        <w:spacing w:before="120" w:after="0"/>
        <w:rPr>
          <w:lang w:val="el" w:eastAsia="el"/>
        </w:rPr>
      </w:pPr>
      <w:r>
        <w:rPr>
          <w:b/>
          <w:bCs/>
          <w:lang w:val="el" w:eastAsia="el"/>
        </w:rPr>
        <w:t>i)</w:t>
      </w:r>
      <w:r>
        <w:rPr>
          <w:b/>
          <w:bCs/>
          <w:lang w:val="en" w:eastAsia="en"/>
        </w:rPr>
        <w:tab/>
      </w:r>
      <w:r>
        <w:rPr>
          <w:b/>
          <w:bCs/>
          <w:lang w:val="el" w:eastAsia="el"/>
        </w:rPr>
        <w:t>άλλη φορολογική αποθήκη,</w:t>
      </w:r>
    </w:p>
    <w:p>
      <w:pPr>
        <w:pStyle w:val="StructureList1"/>
        <w:spacing w:before="120" w:after="0"/>
        <w:rPr>
          <w:lang w:val="el" w:eastAsia="el"/>
        </w:rPr>
      </w:pPr>
      <w:r>
        <w:rPr>
          <w:b/>
          <w:bCs/>
          <w:lang w:val="el" w:eastAsia="el"/>
        </w:rPr>
        <w:t>ιι)</w:t>
      </w:r>
      <w:r>
        <w:rPr>
          <w:b/>
          <w:bCs/>
          <w:lang w:val="en" w:eastAsia="en"/>
        </w:rPr>
        <w:tab/>
      </w:r>
      <w:r>
        <w:rPr>
          <w:b/>
          <w:bCs/>
          <w:lang w:val="el" w:eastAsia="el"/>
        </w:rPr>
        <w:t>εγγεγραμμένο παραλήπτη,</w:t>
      </w:r>
    </w:p>
    <w:p>
      <w:pPr>
        <w:pStyle w:val="StructureList1"/>
        <w:spacing w:before="120" w:after="0"/>
        <w:rPr>
          <w:lang w:val="el" w:eastAsia="el"/>
        </w:rPr>
      </w:pPr>
      <w:r>
        <w:rPr>
          <w:b/>
          <w:bCs/>
          <w:lang w:val="el" w:eastAsia="el"/>
        </w:rPr>
        <w:t>iii)</w:t>
      </w:r>
      <w:r>
        <w:rPr>
          <w:b/>
          <w:bCs/>
          <w:lang w:val="en" w:eastAsia="en"/>
        </w:rPr>
        <w:tab/>
      </w:r>
      <w:r>
        <w:rPr>
          <w:b/>
          <w:bCs/>
          <w:lang w:val="el" w:eastAsia="el"/>
        </w:rPr>
        <w:t>τόπο όπου τα υποκείμενα σε ειδικό φόρο κατανάλωσης προϊόντα εξέρχονται από το έδαφος της Κοινότητας, σύμφωνα με το άρθρο 114 παράγραφος 11,</w:t>
      </w:r>
    </w:p>
    <w:p>
      <w:pPr>
        <w:pStyle w:val="StructureList1"/>
        <w:spacing w:before="120" w:after="0"/>
        <w:rPr>
          <w:lang w:val="el" w:eastAsia="el"/>
        </w:rPr>
      </w:pPr>
      <w:r>
        <w:rPr>
          <w:b/>
          <w:bCs/>
          <w:lang w:val="el" w:eastAsia="el"/>
        </w:rPr>
        <w:t>iv)</w:t>
      </w:r>
      <w:r>
        <w:rPr>
          <w:b/>
          <w:bCs/>
          <w:lang w:val="en" w:eastAsia="en"/>
        </w:rPr>
        <w:tab/>
      </w:r>
      <w:r>
        <w:rPr>
          <w:b/>
          <w:bCs/>
          <w:lang w:val="el" w:eastAsia="el"/>
        </w:rPr>
        <w:t>παραλήπτη που αναφέρεται στο άρθρο 68 παράγραφος 1, όταν τα προϊόντα αποστέλλονται από άλλο κράτος-μέλος,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τον τόπο εισαγωγής προς οποιονδήποτε από τους προορισμούς που αναφέρονται στην περίπτωση α`, όταν τα προϊόντα αποστέλλονται από εγγεγραμμένο αποστολέα.</w:t>
      </w:r>
    </w:p>
    <w:p>
      <w:pPr>
        <w:spacing w:before="240" w:after="240"/>
        <w:rPr>
          <w:lang w:val="el" w:eastAsia="el"/>
        </w:rPr>
      </w:pPr>
      <w:r>
        <w:rPr>
          <w:b/>
          <w:bCs/>
          <w:lang w:val="el" w:eastAsia="el"/>
        </w:rPr>
        <w:t>Για τους σκοπούς του παρόντος άρθρου, ως "τόπος εισαγωγής" νοείται ο τόπος όπου βρίσκονται τα προϊόντα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2.</w:t>
      </w:r>
      <w:r>
        <w:rPr>
          <w:b/>
          <w:bCs/>
          <w:lang w:val="el" w:eastAsia="el"/>
        </w:rPr>
        <w:t xml:space="preserve"> Κατά παρέκκλιση από τα σημεία ί) και ϋ) της περίπτωσης α` της παραγράφου 1 και της περίπτωσης β` της παραγράφου 1, και πλην της περίπτωσης που αναφέρεται στο άρθρο 113 παράγραφος 4, το κράτος-μέλος προορισμού δύναται να επιτρέπει υπό τους όρους που καθορίζει τη διακίνηση των υποκείμενων σε ειδικό φόρο κατανάλωσης προϊόντων που τελούν υπό καθεστώς αναστολής προς τόπο άμεσηης παράδοσης που βρίσκεται στ έδαφος του, όταν ο τόπος αυτός έχει οριστεί από τον εγκεκριμένο αποθηκευτή παραλαβής ή από τον εγγεγραμμένο παραλήπτη.</w:t>
      </w:r>
    </w:p>
    <w:p>
      <w:pPr>
        <w:spacing w:before="240" w:after="240"/>
        <w:rPr>
          <w:lang w:val="el" w:eastAsia="el"/>
        </w:rPr>
      </w:pPr>
      <w:r>
        <w:rPr>
          <w:b/>
          <w:bCs/>
          <w:lang w:val="el" w:eastAsia="el"/>
        </w:rPr>
        <w:t>Ο εν λόγω εγκεκριμένος αποθηκευτής ή ο εν λόγω εγγεγραμμένος παραλήπτης παραμένει υπεύθυνος για την υποβολή της αναφοράς παραλαβής που αναφέρεται στο άρθρο 114 παράγραφος 10.</w:t>
      </w:r>
    </w:p>
    <w:p>
      <w:pPr>
        <w:spacing w:before="240" w:after="240"/>
        <w:rPr>
          <w:lang w:val="el" w:eastAsia="el"/>
        </w:rPr>
      </w:pPr>
      <w:r>
        <w:rPr>
          <w:b/>
          <w:bCs/>
          <w:lang w:val="el" w:eastAsia="el"/>
        </w:rPr>
        <w:t>Με απόφαση του Υπουργού Οικονομικών καθορίζονται οι περιπτώσεις για τις οποίες επιτρέπεται η άμεση παράδοση στο εσωτερικό της χώρας, καθώς και οι όροι και οι προύποθέσεις υπό τις οποίες αυτή πραγματοποιείται.</w:t>
      </w:r>
    </w:p>
    <w:p>
      <w:pPr>
        <w:pStyle w:val="MainText"/>
        <w:spacing w:before="120" w:after="0"/>
        <w:rPr>
          <w:lang w:val="el" w:eastAsia="el"/>
        </w:rPr>
      </w:pPr>
      <w:r>
        <w:rPr>
          <w:b/>
          <w:bCs/>
          <w:lang w:val="el" w:eastAsia="el"/>
        </w:rPr>
        <w:t>3.</w:t>
      </w:r>
      <w:r>
        <w:rPr>
          <w:b/>
          <w:bCs/>
          <w:lang w:val="el" w:eastAsia="el"/>
        </w:rPr>
        <w:t xml:space="preserve"> Οι παράγραφοι 1 και 2 εφαρμόζονται επίσης για τη διακίνηση υποκείμενων σε ειδικό φόρο κατανάλωσης προϊόντων με μηδενικό συντελεστή τα οποία δεν έχουν τεθεί σε ανάλωση.</w:t>
      </w:r>
    </w:p>
    <w:p>
      <w:pPr>
        <w:pStyle w:val="MainText"/>
        <w:spacing w:before="120" w:after="0"/>
        <w:rPr>
          <w:lang w:val="el" w:eastAsia="el"/>
        </w:rPr>
      </w:pPr>
      <w:r>
        <w:rPr>
          <w:b/>
          <w:bCs/>
          <w:lang w:val="el" w:eastAsia="el"/>
        </w:rPr>
        <w:t>4.</w:t>
      </w:r>
      <w:r>
        <w:rPr>
          <w:b/>
          <w:bCs/>
          <w:lang w:val="el" w:eastAsia="el"/>
        </w:rPr>
        <w:t xml:space="preserve"> Η διακίνηση υποκείμενων σε ειδικό φόρο κατανάλωσης προϊόντων τα οποία τελούν υπό καθεστώς αναστολής αρχίζει στις περιπτώσεις που προβλέπονται στην περίπτωση α` της παραγράφου 1, όταν τα υποκείμενα σε ειδικό φόρο κατανάλωσης προϊόντα εξέλθουν από τη φορολογική αποθήκη αποστολής και, στις περιπτώσεις που προβλέπονται στην περίπτωση β` της παραγράφου 1 του ιδίου άρθρου,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5.</w:t>
      </w:r>
      <w:r>
        <w:rPr>
          <w:b/>
          <w:bCs/>
          <w:lang w:val="el" w:eastAsia="el"/>
        </w:rPr>
        <w:t xml:space="preserve"> Η διακίνηση υποκείμενων σε ειδικό φόρο κατανάλωσης προϊόντων τα οποία τελούν υπό καθεστώς αναστολής περατώνεται στις περιπτώσεις που προβλέπονται στην περίπτωση α` σημεία ί), ϋ) και iv) της παραγράφου 1 και στην περίπτωση β` της παραγράφου 1, μόλις ο παραλήπτης παραλάβει τα υποκείμενα σε ειδικό φόρο κατανάλωσης προϊόντα και, στις περιπτώσεις που προβλέπονται στην περίπτωση α` σημείο iii) της παραγράφου 1, όταν τα προϊόντα εξέλθουν από το έδαφος της Κοινότητας.</w:t>
      </w:r>
    </w:p>
    <w:p>
      <w:pPr>
        <w:pStyle w:val="MainText"/>
        <w:spacing w:before="120" w:after="0"/>
        <w:rPr>
          <w:lang w:val="el" w:eastAsia="el"/>
        </w:rPr>
      </w:pPr>
      <w:r>
        <w:rPr>
          <w:b/>
          <w:bCs/>
          <w:lang w:val="el" w:eastAsia="el"/>
        </w:rPr>
        <w:t>6.</w:t>
      </w:r>
      <w:r>
        <w:rPr>
          <w:b/>
          <w:bCs/>
          <w:lang w:val="el" w:eastAsia="el"/>
        </w:rPr>
        <w:t xml:space="preserve"> Οι κίνδυνοι της διακίνησης υπό καθεστώς αναστολής καλύπτονται από εγγύηση, η οποία παρέχεται από τον εγκεκριμένο αποθηκευτή αποστολής ή τον εγγεγραμμένο αποστολέα.</w:t>
      </w:r>
    </w:p>
    <w:p>
      <w:pPr>
        <w:spacing w:before="240" w:after="240"/>
        <w:rPr>
          <w:lang w:val="el" w:eastAsia="el"/>
        </w:rPr>
      </w:pPr>
      <w:r>
        <w:rPr>
          <w:b/>
          <w:bCs/>
          <w:lang w:val="el" w:eastAsia="el"/>
        </w:rPr>
        <w:t>Η παρεχόμενη εγγύηση μπορεί να είναι χρηματική, τραπεζική, ασφαλιστήριο συμβόλαιο, εμπράγματη ασφάλεια ή αξιόχρεη επιστολή τρίτου προσώπου και ισχύει σε ολόκληρη την Κοινότητα.</w:t>
      </w:r>
    </w:p>
    <w:p>
      <w:pPr>
        <w:pStyle w:val="MainText"/>
        <w:spacing w:before="120" w:after="0"/>
        <w:rPr>
          <w:lang w:val="el" w:eastAsia="el"/>
        </w:rPr>
      </w:pPr>
      <w:r>
        <w:rPr>
          <w:b/>
          <w:bCs/>
          <w:lang w:val="el" w:eastAsia="el"/>
        </w:rPr>
        <w:t>7.</w:t>
      </w:r>
      <w:r>
        <w:rPr>
          <w:b/>
          <w:bCs/>
          <w:lang w:val="el" w:eastAsia="el"/>
        </w:rPr>
        <w:t xml:space="preserve"> Κατά παρέκκλιση από την παράγραφο 6, δύναται στις ενδεδειγμένες περιπτώσεις και με τους όρους και τις προύποθέσεις που καθορίζονται με αποφάσεις του Υπουργού Οικονομικών, να επιτρέπεται η παροχή εγγύησης από το μεταφορέα, τον κύριο των υποκείμενων σε ειδικό φόρο κατανάλωσης προϊόντων, τον παραλήπτη, ή από κοινού από δύο ή περισσότερα από τα πρόσωπα αυτά και τα πρόσωπα που αναφέρονται στην παράγραφο 6.</w:t>
      </w:r>
    </w:p>
    <w:p>
      <w:pPr>
        <w:spacing w:before="240" w:after="240"/>
        <w:rPr>
          <w:lang w:val="el" w:eastAsia="el"/>
        </w:rPr>
      </w:pPr>
      <w:r>
        <w:rPr>
          <w:b/>
          <w:bCs/>
          <w:lang w:val="el" w:eastAsia="el"/>
        </w:rPr>
        <w:t>Στις περιπτώσεις προϊόντων που προέρχονται από άλλα κράτη-μέλη, για τα οποία προβλέπεται επικόλληση ένσημης ταινίας φορολογίας στο εσωτερικό της χώρας, η εγγύηση μπορεί να βαρύνει το πρόσωπο που παραλαμβάνει τις ταινίες αυτές και παρέχεται τη στιγμή της παραλαβής τους.</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προβλέπονται εξαιρέσεις από την υποχρέωση για παροχή εγγύησης, σε ενδεδειγμένες περιπτώσεις και μόνο για διακινήσεις υπό καθεστώς αναστολής που πραγματοποιούνται εξ ολοκλήρου στο εσωτερικό της χώρας και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9"/>
      </w:r>
      <w:r>
        <w:rPr>
          <w:b/>
          <w:bCs/>
          <w:lang w:val="el" w:eastAsia="el"/>
        </w:rPr>
        <w:t xml:space="preserve">Άρθρο 113 </w:t>
      </w:r>
    </w:p>
    <w:p>
      <w:pPr>
        <w:pStyle w:val="Heading6"/>
        <w:spacing w:before="240" w:after="240"/>
        <w:rPr>
          <w:lang w:val="el" w:eastAsia="el"/>
        </w:rPr>
      </w:pPr>
      <w:r>
        <w:rPr>
          <w:b/>
          <w:bCs/>
          <w:lang w:val="el" w:eastAsia="el"/>
        </w:rPr>
        <w:t>Εγγεγραμμένος παραλήπτης Εγγεγραμμένος αποστολέας</w:t>
      </w:r>
    </w:p>
    <w:p>
      <w:pPr>
        <w:pStyle w:val="MainText"/>
        <w:spacing w:before="120" w:after="0"/>
        <w:rPr>
          <w:lang w:val="el" w:eastAsia="el"/>
        </w:rPr>
      </w:pPr>
      <w:r>
        <w:rPr>
          <w:b/>
          <w:bCs/>
          <w:lang w:val="el" w:eastAsia="el"/>
        </w:rPr>
        <w:t>1.</w:t>
      </w:r>
      <w:r>
        <w:rPr>
          <w:b/>
          <w:bCs/>
          <w:lang w:val="el" w:eastAsia="el"/>
        </w:rPr>
        <w:t xml:space="preserve"> Ο εγγεγραμμένος παραλήπτης δύναται στο πλαίσιο των επιχειρηματικών του δραστηριοτήτων να παραλαμβάνει προϊόντα υποκείμενα σε ειδικό φόρο κατανάλωσης προερχόμενα από άλλο κράτος-μέλος, τα οποία διακινούνται υπό καθεστώς αναστολής, δεν επιτρέπεται, ωστόσο, να κατέχει ή να αποστέλλει υποκείμενα σε ειδικό φόρο κατανάλωσης προϊόντα τα οποία τελούν υπό καθεστώς αναστολής.</w:t>
      </w:r>
    </w:p>
    <w:p>
      <w:pPr>
        <w:pStyle w:val="MainText"/>
        <w:spacing w:before="120" w:after="0"/>
        <w:rPr>
          <w:lang w:val="el" w:eastAsia="el"/>
        </w:rPr>
      </w:pPr>
      <w:r>
        <w:rPr>
          <w:b/>
          <w:bCs/>
          <w:lang w:val="el" w:eastAsia="el"/>
        </w:rPr>
        <w:t>2.</w:t>
      </w:r>
      <w:r>
        <w:rPr>
          <w:b/>
          <w:bCs/>
          <w:lang w:val="el" w:eastAsia="el"/>
        </w:rPr>
        <w:t xml:space="preserve"> Για το χαρακτηρισμό προσώπου ως εγγεγραμμένου παραλήπτη απαιτείται άδεια της αρμόδιας αρχής, η οποία παρέχεται με απόφαση της, μετά από προηγούμενη αίτηση του ενδιαφερομένου.</w:t>
      </w:r>
    </w:p>
    <w:p>
      <w:pPr>
        <w:pStyle w:val="MainText"/>
        <w:spacing w:before="120" w:after="0"/>
        <w:rPr>
          <w:lang w:val="el" w:eastAsia="el"/>
        </w:rPr>
      </w:pPr>
      <w:r>
        <w:rPr>
          <w:b/>
          <w:bCs/>
          <w:lang w:val="el" w:eastAsia="el"/>
        </w:rPr>
        <w:t>3.</w:t>
      </w:r>
      <w:r>
        <w:rPr>
          <w:b/>
          <w:bCs/>
          <w:lang w:val="el" w:eastAsia="el"/>
        </w:rPr>
        <w:t xml:space="preserve"> Ο εγγεγραμμένος παραλήπτης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πριν από την αποστολή των υποκείμενων σε ειδικό φόρο κατανάλωσης προϊόντων την καταβολή των αναλογούντων φόρων και να καταβάλλει αυτούς στην αρμόδια αρχή με την παραλαβή των προϊόντων στο εσωτερικό της χώρας, ή το αργότερο την επόμενη εργάσιμη ημέρα από την παραλαβή τους, σύμφωνα με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προβαίνει, μόλις περατωθεί η διακίνηση των προϊόντων που παραλαμβάνονται υπό καθεστώς αναστολής, στη λογιστική τους εγγραφή,</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ότι τα προϊόντα πράγματι παρελήφθησαν.</w:t>
      </w:r>
    </w:p>
    <w:p>
      <w:pPr>
        <w:pStyle w:val="MainText"/>
        <w:spacing w:before="120" w:after="0"/>
        <w:rPr>
          <w:lang w:val="el" w:eastAsia="el"/>
        </w:rPr>
      </w:pPr>
      <w:r>
        <w:rPr>
          <w:b/>
          <w:bCs/>
          <w:lang w:val="el" w:eastAsia="el"/>
        </w:rPr>
        <w:t>4.</w:t>
      </w:r>
      <w:r>
        <w:rPr>
          <w:b/>
          <w:bCs/>
          <w:lang w:val="el" w:eastAsia="el"/>
        </w:rPr>
        <w:t xml:space="preserve"> Για τον εγγεγραμμένο παραλήπτη που παραλαμβάνει μόνον περιστασιακά υποκείμενα σε ειδικό φόρο κατανάλωσης προϊόντα, η άδεια που αναφέρεται στην παράγραφο 2 περιορίζεται σε συγκεκριμένη ποσότητα προϊόντων, σε έναν μόνον αποστολέα και σε συγκεκριμένη χρονική περίοδο.</w:t>
      </w:r>
    </w:p>
    <w:p>
      <w:pPr>
        <w:spacing w:before="240" w:after="240"/>
        <w:rPr>
          <w:lang w:val="el" w:eastAsia="el"/>
        </w:rPr>
      </w:pPr>
      <w:r>
        <w:rPr>
          <w:b/>
          <w:bCs/>
          <w:lang w:val="el" w:eastAsia="el"/>
        </w:rPr>
        <w:t>Ο περιστασιακά εγγεγραμμένος παραλήπτης συμμορφώνεται ομοίως με τις υποχρεώσεις της παραγράφου 3.</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καθορίζονται οι όροι και οι προϋποθέσεις υπό τις οποίες χορηγείται από τις αρμόδιες αρχές η άδεια του εγγεγραμμένου παραλήπτη και του περιστασιακά εγγεγραμμένου παραλήπτη, καθώς και οι διατυπώσεις και κάθε αναγκαία λεπτομέρεια για την εφαρμογή των παραγράφων 2 έως και 4.</w:t>
      </w:r>
    </w:p>
    <w:p>
      <w:pPr>
        <w:pStyle w:val="MainText"/>
        <w:spacing w:before="120" w:after="0"/>
        <w:rPr>
          <w:lang w:val="el" w:eastAsia="el"/>
        </w:rPr>
      </w:pPr>
      <w:r>
        <w:rPr>
          <w:b/>
          <w:bCs/>
          <w:lang w:val="el" w:eastAsia="el"/>
        </w:rPr>
        <w:t>6.</w:t>
      </w:r>
      <w:r>
        <w:rPr>
          <w:b/>
          <w:bCs/>
          <w:lang w:val="el" w:eastAsia="el"/>
        </w:rPr>
        <w:t xml:space="preserve"> Ο εγγεγραμμένος αποστολέας δύναται στο πλαίσιο των επιχειρηματικών του δραστηριοτήτων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αριθμ. 2913/1992.</w:t>
      </w:r>
    </w:p>
    <w:p>
      <w:pPr>
        <w:pStyle w:val="MainText"/>
        <w:spacing w:before="120" w:after="0"/>
        <w:rPr>
          <w:lang w:val="el" w:eastAsia="el"/>
        </w:rPr>
      </w:pPr>
      <w:r>
        <w:rPr>
          <w:b/>
          <w:bCs/>
          <w:lang w:val="el" w:eastAsia="el"/>
        </w:rPr>
        <w:t>7.</w:t>
      </w:r>
      <w:r>
        <w:rPr>
          <w:b/>
          <w:bCs/>
          <w:lang w:val="el" w:eastAsia="el"/>
        </w:rPr>
        <w:t xml:space="preserve"> Για το χαρακτηρισμό προσώπου ως εγγεγραμμένου αποστολέα απαιτείται άδεια της αρμόδιας αρχής, η οποία παρέχεται με απόφαση της, μετά από προηγούμενη αίτηση του ενδιαφερομένου.</w:t>
      </w:r>
    </w:p>
    <w:p>
      <w:pPr>
        <w:spacing w:before="240" w:after="240"/>
        <w:rPr>
          <w:lang w:val="el" w:eastAsia="el"/>
        </w:rPr>
      </w:pPr>
      <w:r>
        <w:rPr>
          <w:b/>
          <w:bCs/>
          <w:lang w:val="el" w:eastAsia="el"/>
        </w:rPr>
        <w:t>Ο εγγεγραμμένος αποστολέας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η οποία να καλύπτει το ποσό των αναλογούντων φόρων για τα αποστελλόμενα υπό καθεστώς αναστολής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των υποκειμένων σε ειδικό φόρο κατανάλωσης προϊόντων που αποστέλλει,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για την κανονικότητα των διακινήσεων.</w:t>
      </w:r>
    </w:p>
    <w:p>
      <w:pPr>
        <w:pStyle w:val="MainText"/>
        <w:spacing w:before="120" w:after="0"/>
        <w:rPr>
          <w:lang w:val="el" w:eastAsia="el"/>
        </w:rPr>
      </w:pPr>
      <w:r>
        <w:rPr>
          <w:b/>
          <w:bCs/>
          <w:lang w:val="el" w:eastAsia="el"/>
        </w:rPr>
        <w:t>8.</w:t>
      </w:r>
      <w:r>
        <w:rPr>
          <w:b/>
          <w:bCs/>
          <w:lang w:val="el" w:eastAsia="el"/>
        </w:rPr>
        <w:t xml:space="preserve"> Με απόφαση του Υπουργού Οικονομικών καθορίζονται οι όροι και οι προϋποθέσεις υπό τις οποίες χορηγείται η άδεια του εγγεγραμμένου αποστολέα από τις αρμόδιες αρχές, καθώς και οι διατυπώσεις και κάθε αναγκαία λεπτομέρεια για την εφαρμογή της παραγράφου 7.</w:t>
      </w:r>
    </w:p>
    <w:p>
      <w:pPr>
        <w:pStyle w:val="MainText"/>
        <w:spacing w:before="120" w:after="0"/>
        <w:rPr>
          <w:lang w:val="el" w:eastAsia="el"/>
        </w:rPr>
      </w:pPr>
      <w:r>
        <w:rPr>
          <w:b/>
          <w:bCs/>
          <w:lang w:val="el" w:eastAsia="el"/>
        </w:rPr>
        <w:t>9.</w:t>
      </w:r>
      <w:r>
        <w:rPr>
          <w:b/>
          <w:bCs/>
          <w:lang w:val="el" w:eastAsia="el"/>
        </w:rPr>
        <w:t xml:space="preserve"> Για την αγορά, κατοχή και διανομή των προϊόντων του άρθρου 53 από τα πρόσωπα των παραγράφων 1 και 4 του παρόντος άρθρου και του άρθρου 60 του παρόντος Κώδικα, εφαρμόζονται οι ισχύουσες εθνικές διατάξεις. Οι όροι και προϋποθέσεις για την εφαρμογή της παραγράφου αυτής καθορίζονται με απόφαση του Υπουργού Οικονομικών.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0"/>
      </w:r>
      <w:r>
        <w:rPr>
          <w:b/>
          <w:bCs/>
          <w:lang w:val="el" w:eastAsia="el"/>
        </w:rPr>
        <w:t xml:space="preserve">Άρθρο 114 </w:t>
      </w:r>
    </w:p>
    <w:p>
      <w:pPr>
        <w:pStyle w:val="Heading6"/>
        <w:spacing w:before="240" w:after="240"/>
        <w:rPr>
          <w:lang w:val="el" w:eastAsia="el"/>
        </w:rPr>
      </w:pPr>
      <w:r>
        <w:rPr>
          <w:b/>
          <w:bCs/>
          <w:lang w:val="el" w:eastAsia="el"/>
        </w:rPr>
        <w:t>Διακίνηση υποκείμενων σε ειδικό φόρο κατανάλωσης προϊόντων μέσω μηχανοργανωμένου συστήματος</w:t>
      </w:r>
    </w:p>
    <w:p>
      <w:pPr>
        <w:pStyle w:val="MainText"/>
        <w:spacing w:before="120" w:after="0"/>
        <w:rPr>
          <w:lang w:val="el" w:eastAsia="el"/>
        </w:rPr>
      </w:pPr>
      <w:r>
        <w:rPr>
          <w:b/>
          <w:bCs/>
          <w:lang w:val="el" w:eastAsia="el"/>
        </w:rPr>
        <w:t>1.</w:t>
      </w:r>
      <w:r>
        <w:rPr>
          <w:b/>
          <w:bCs/>
          <w:lang w:val="el" w:eastAsia="el"/>
        </w:rPr>
        <w:t xml:space="preserve"> Η διακίνηση υποκείμενων σε ειδικό φόρο κατανάλωσης προϊόντων θεωρείται ότι λαμβάνει χώρα υπό καθεστώς αναστολής μόνον εάν πραγματοποιείται υπό την κάλυψη του ηλεκτρονικού διοικητικού εγγράφου που προβλέπεται από τον Κανονισμό (ΕΚ) 684/2009 της Επιτροπής (L 197/29-7-2009), το οποίο καταρτίζεται σύμφωνα με τις παραγράφους 2 και 3 του παρόντος άρθρου.</w:t>
      </w:r>
    </w:p>
    <w:p>
      <w:pPr>
        <w:spacing w:before="240" w:after="240"/>
        <w:rPr>
          <w:lang w:val="el" w:eastAsia="el"/>
        </w:rPr>
      </w:pPr>
      <w:r>
        <w:rPr>
          <w:b/>
          <w:bCs/>
          <w:lang w:val="el" w:eastAsia="el"/>
        </w:rPr>
        <w:t>Με την επιφύλαξη των διατάξεων του άρθρου 112 παράγραφος 1, η διακίνηση υποκείμενων σε ειδικό φόρο κατανάλωσης προϊόντων υπό καθεστώς αναστολής εξ ολοκλήρου στο εσωτερικό της χώρας πραγματοποιείται με την ίδια διαδικασία.</w:t>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ο αποστολέας υποβάλλει σχέδιο ηλεκτρονικού διοικητικού εγγράφου στην αρμόδια αρχή του τόπου αποστολής, χρησιμοποιώντας το μηχανοργανωμένο σύστημα που αναφέρεται στο άρθρο 1 της απόφασης αριθμ. 1152/2003/ΕΚ του Ευρωπαϊκού Κοινοβουλίου και του Συμβουλίου της 16ης Ιουνίου 2003 (L 162/1-7-2003), εφεξής "το μηχανοργανωμένο σύστημα".</w:t>
      </w:r>
    </w:p>
    <w:p>
      <w:pPr>
        <w:pStyle w:val="MainText"/>
        <w:spacing w:before="120" w:after="0"/>
        <w:rPr>
          <w:lang w:val="el" w:eastAsia="el"/>
        </w:rPr>
      </w:pPr>
      <w:r>
        <w:rPr>
          <w:b/>
          <w:bCs/>
          <w:lang w:val="el" w:eastAsia="el"/>
        </w:rPr>
        <w:t>3.</w:t>
      </w:r>
      <w:r>
        <w:rPr>
          <w:b/>
          <w:bCs/>
          <w:lang w:val="el" w:eastAsia="el"/>
        </w:rPr>
        <w:t xml:space="preserve"> Η αρμόδια αρχή επαληθεύει ηλεκτρονικά τα στοιχεία που αναφέρονται στο σχέδιο ηλεκτρονικού διοικητικού εγγράφου.</w:t>
      </w:r>
    </w:p>
    <w:p>
      <w:pPr>
        <w:spacing w:before="240" w:after="240"/>
        <w:rPr>
          <w:lang w:val="el" w:eastAsia="el"/>
        </w:rPr>
      </w:pPr>
      <w:r>
        <w:rPr>
          <w:b/>
          <w:bCs/>
          <w:lang w:val="el" w:eastAsia="el"/>
        </w:rPr>
        <w:t>Εάν τα στοιχεία αυτά δεν είναι έγκυρα, ενημερώνεται πάραυτα ο αποστολέας.</w:t>
      </w:r>
    </w:p>
    <w:p>
      <w:pPr>
        <w:spacing w:before="240" w:after="240"/>
        <w:rPr>
          <w:lang w:val="el" w:eastAsia="el"/>
        </w:rPr>
      </w:pPr>
      <w:r>
        <w:rPr>
          <w:b/>
          <w:bCs/>
          <w:lang w:val="el" w:eastAsia="el"/>
        </w:rPr>
        <w:t>Εάν τα στοιχεία αυτά είναι έγκυρα, η αρμόδια αρχή αποδίδει στο έγγραφο μοναδικό διοικητικό κωδικό αναφοράς και τον κοινοποιεί στον αποστολέα.</w:t>
      </w:r>
    </w:p>
    <w:p>
      <w:pPr>
        <w:pStyle w:val="MainText"/>
        <w:spacing w:before="120" w:after="0"/>
        <w:rPr>
          <w:lang w:val="el" w:eastAsia="el"/>
        </w:rPr>
      </w:pPr>
      <w:r>
        <w:rPr>
          <w:b/>
          <w:bCs/>
          <w:lang w:val="el" w:eastAsia="el"/>
        </w:rPr>
        <w:t>4.</w:t>
      </w:r>
      <w:r>
        <w:rPr>
          <w:b/>
          <w:bCs/>
          <w:lang w:val="el" w:eastAsia="el"/>
        </w:rPr>
        <w:t xml:space="preserve">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οι αρμόδιες αρχές του κράτους-μέλους αποστολής διαβιβάζουν πάραυτα το ηλεκτρονικό διοικητικό έγγραφο στις αρμόδιες αρχές του κράτους- μέλους προορισμού, οι οποίες το προωθούν στον παραλήπτη, εάν ο παραλήπτης είναι εγκεκριμένος αποθηκευτής ή εγγεγραμμένος παραλήπτης.</w:t>
      </w:r>
    </w:p>
    <w:p>
      <w:pPr>
        <w:spacing w:before="240" w:after="240"/>
        <w:rPr>
          <w:lang w:val="el" w:eastAsia="el"/>
        </w:rPr>
      </w:pPr>
      <w:r>
        <w:rPr>
          <w:b/>
          <w:bCs/>
          <w:lang w:val="el" w:eastAsia="el"/>
        </w:rPr>
        <w:t>Οταν τα υποκείμενα σε ειδικό φόρο κατανάλωσης προϊόντα διακινούνται υπό καθεστώς αναστολής εξ ολοκλήρου στο εσωτερικό της χώρας και προορίζονται για εγκεκριμένο αποθηκευτή, το ηλεκτρονικό διοικητικό έγγραφο διαβιβάζεται από την αρμόδια αρχή του τόπου αποστολής, στην αρμόδια αρχή του τόπου προορισμού, η οποία το προωθεί στον παραλήπτη.</w:t>
      </w:r>
    </w:p>
    <w:p>
      <w:pPr>
        <w:pStyle w:val="MainText"/>
        <w:spacing w:before="120" w:after="0"/>
        <w:rPr>
          <w:lang w:val="el" w:eastAsia="el"/>
        </w:rPr>
      </w:pPr>
      <w:r>
        <w:rPr>
          <w:b/>
          <w:bCs/>
          <w:lang w:val="el" w:eastAsia="el"/>
        </w:rPr>
        <w:t>5.</w:t>
      </w:r>
      <w:r>
        <w:rPr>
          <w:b/>
          <w:bCs/>
          <w:lang w:val="el" w:eastAsia="el"/>
        </w:rPr>
        <w:t xml:space="preserve"> Στην περίπτωση που αναφέρεται στο άρθρο 112 παράγραφος 1 περίπτωση α` σημείο Hi), οι αρμόδιες αρχές του κράτους-μέλους αποστολής διαβιβάζουν το ηλεκτρονικό διοικητικό έγγραφο στις αρμόδιες αρχές του κράτους-μέλους όπου υποβάλλεται η διασάφηση εξαγωγής κατ` εφαρμογή του άρθρου 161 παράγραφος 5 του Κανονισμού (ΕΟΚ) αριθ. 2913/1992 (εφεξής το "κράτος-μέλος εξαγωγής"), εάν οι διατυπώσεις εξαγωγής πραγματοποιούνται σε άλλο κράτος-μέλος.</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το ηλεκτρονικό διοικητικό έγγραφο προωθείται από την αρμόδια αρχή του τόπου αποστολής στο τελωνείο εξαγωγής.</w:t>
      </w:r>
    </w:p>
    <w:p>
      <w:pPr>
        <w:pStyle w:val="MainText"/>
        <w:spacing w:before="120" w:after="0"/>
        <w:rPr>
          <w:lang w:val="el" w:eastAsia="el"/>
        </w:rPr>
      </w:pPr>
      <w:r>
        <w:rPr>
          <w:b/>
          <w:bCs/>
          <w:lang w:val="el" w:eastAsia="el"/>
        </w:rPr>
        <w:t>6.</w:t>
      </w:r>
      <w:r>
        <w:rPr>
          <w:b/>
          <w:bCs/>
          <w:lang w:val="el" w:eastAsia="el"/>
        </w:rPr>
        <w:t xml:space="preserve"> Ο αποστολέας οφείλει να παρέχει στο πρόσωπο που συνοδεύει τα προϊόντα που υπόκεινται σε ειδικό φόρο κατανάλωσης τυπωμένο αντίγραφο του ηλεκτρονικού διοικητικού εγγράφου ή κάθε άλλο εμπορικό έγγραφο που μνημονεύει ευανάγνωστα το μοναδικό διοικητικό κωδικό αναφοράς. Το έγγραφο αυτό πρέπει να μπορεί να προσκομίζεται στις αρμόδιες αρχές κάθε φορά που θα το ζητήσουν καθ` όλη τη διάρκεια της διακίνησης υπό καθεστώς αναστολής.</w:t>
      </w:r>
    </w:p>
    <w:p>
      <w:pPr>
        <w:pStyle w:val="MainText"/>
        <w:spacing w:before="120" w:after="0"/>
        <w:rPr>
          <w:lang w:val="el" w:eastAsia="el"/>
        </w:rPr>
      </w:pPr>
      <w:r>
        <w:rPr>
          <w:b/>
          <w:bCs/>
          <w:lang w:val="el" w:eastAsia="el"/>
        </w:rPr>
        <w:t>7.</w:t>
      </w:r>
      <w:r>
        <w:rPr>
          <w:b/>
          <w:bCs/>
          <w:lang w:val="el" w:eastAsia="el"/>
        </w:rPr>
        <w:t xml:space="preserve"> Ο αποστολέας μπορεί να ακυρώνει το ηλεκτρονικό διοικητικό έγγραφο εάν δεν έχει αρχίσει η διακίνηση σύμφωνα με το άρθρο 112 παράγραφος 4.</w:t>
      </w:r>
    </w:p>
    <w:p>
      <w:pPr>
        <w:pStyle w:val="MainText"/>
        <w:spacing w:before="120" w:after="0"/>
        <w:rPr>
          <w:lang w:val="el" w:eastAsia="el"/>
        </w:rPr>
      </w:pPr>
      <w:r>
        <w:rPr>
          <w:b/>
          <w:bCs/>
          <w:lang w:val="el" w:eastAsia="el"/>
        </w:rPr>
        <w:t>8.</w:t>
      </w:r>
      <w:r>
        <w:rPr>
          <w:b/>
          <w:bCs/>
          <w:lang w:val="el" w:eastAsia="el"/>
        </w:rPr>
        <w:t xml:space="preserve"> Κατά τη διάρκεια της διακίνησης υπό καθεστώς αναστολής του ειδικού φόρου κατανάλωσης, ο αποστολέας μπορεί, μέσω του μηχανοργανωμένου συστήματος, να τροποποιεί τον προορισμό και να παρουσιάζει νέο προορισμό, ο οποίος πρέπει να είναι ένας από τους προορισμούς που αναφέρονται στο άρθρο 112 παράγραφος 1 περίπτωση α` σημεία ί), Ν) ή iii) ή, ενδεχομένως, στο άρθρο 112 παράγραφος 2.</w:t>
      </w:r>
    </w:p>
    <w:p>
      <w:pPr>
        <w:pStyle w:val="MainText"/>
        <w:spacing w:before="120" w:after="0"/>
        <w:rPr>
          <w:lang w:val="el" w:eastAsia="el"/>
        </w:rPr>
      </w:pPr>
      <w:r>
        <w:rPr>
          <w:b/>
          <w:bCs/>
          <w:lang w:val="el" w:eastAsia="el"/>
        </w:rPr>
        <w:t>9.</w:t>
      </w:r>
      <w:r>
        <w:rPr>
          <w:b/>
          <w:bCs/>
          <w:lang w:val="el" w:eastAsia="el"/>
        </w:rPr>
        <w:t xml:space="preserve"> Στην περίπτωση διακίνησης, διά θαλάσσης ή μέσω εσωτερικών πλωτών οδών, ενεργειακών προϊόντων υπό καθεστώς αναστολής τα οποία προορίζονται για παραλήπτη ο οποίος δεν είναι οριστικά γνωστός κατά τη χρονική στιγμή υποβολής από τον αποστολέα του σχεδίου ηλεκτρονικού διοικητικού εγγράφου που αναφέρεται στην παράγραφο 2 του παρόντος άρθρου, η αρμόδια αρχή μπορεί να επιτρέπει στον αποστολέα να παραλείπει από το έγγραφο αυτό τα στοιχεία που αφορούν τον παραλήπτη.</w:t>
      </w:r>
    </w:p>
    <w:p>
      <w:pPr>
        <w:spacing w:before="240" w:after="240"/>
        <w:rPr>
          <w:lang w:val="el" w:eastAsia="el"/>
        </w:rPr>
      </w:pPr>
      <w:r>
        <w:rPr>
          <w:b/>
          <w:bCs/>
          <w:lang w:val="el" w:eastAsia="el"/>
        </w:rPr>
        <w:t>Μόλις γίνουν γνωστά τα στοιχεία που αφορούν τον παραλήπτη, το αργότερο δε όταν περατωθεί η διακίνηση, ο αποστολέας, κάνοντας χρήση της διαδικασίας της παραγράφου 8, τα διαβιβάζει αμέσως στην αρμόδια αρχή του τόπου αποστολής.</w:t>
      </w:r>
    </w:p>
    <w:p>
      <w:pPr>
        <w:pStyle w:val="MainText"/>
        <w:spacing w:before="120" w:after="0"/>
        <w:rPr>
          <w:lang w:val="el" w:eastAsia="el"/>
        </w:rPr>
      </w:pPr>
      <w:r>
        <w:rPr>
          <w:b/>
          <w:bCs/>
          <w:lang w:val="el" w:eastAsia="el"/>
        </w:rPr>
        <w:t>10.</w:t>
      </w:r>
      <w:r>
        <w:rPr>
          <w:b/>
          <w:bCs/>
          <w:lang w:val="el" w:eastAsia="el"/>
        </w:rPr>
        <w:t xml:space="preserve"> Κατά την παραλαβή των υποκείμενων σε ειδικό φόρο κατανάλωσης προϊόντων σε οποιονδήποτε από τους προορισμούς που αναφέρονται στο άρθρο 112 παράγραφος 1 περίπτωση α` σημεία ί), Ν) ή ίν) ή στο άρθρο 112 παράγραφος 2, ο παραλήπτης, χωρίς καθυστέρηση και το αργότερο εντός πέντε (5) εργάσιμων ημερών από την περάτωση της διακίνησης, εκτός των περιπτώσεων που κρίνονται δεόντως δικαιολογημένες από τις αρμόδιες αρχές, υποβάλλει αναφορά για την παραλαβή τους (εφεξής η "αναφορά παραλαβής"), μέσω του μηχανοργανωμένου συστήματος.</w:t>
      </w:r>
    </w:p>
    <w:p>
      <w:pPr>
        <w:spacing w:before="240" w:after="240"/>
        <w:rPr>
          <w:lang w:val="el" w:eastAsia="el"/>
        </w:rPr>
      </w:pPr>
      <w:r>
        <w:rPr>
          <w:b/>
          <w:bCs/>
          <w:lang w:val="el" w:eastAsia="el"/>
        </w:rPr>
        <w:t>Η αρμόδια αρχή του τόπου προορισμού επαληθεύει ηλεκτρονικά τα στοιχεία που αναφέρονται στην αναφορά παραλαβής.</w:t>
      </w:r>
    </w:p>
    <w:p>
      <w:pPr>
        <w:spacing w:before="240" w:after="240"/>
        <w:rPr>
          <w:lang w:val="el" w:eastAsia="el"/>
        </w:rPr>
      </w:pPr>
      <w:r>
        <w:rPr>
          <w:b/>
          <w:bCs/>
          <w:lang w:val="el" w:eastAsia="el"/>
        </w:rPr>
        <w:t>Εάν τα στοιχεία αυτά δεν είναι έγκυρα, ενημερώνεται πάραυτα ο παραλήπτης.</w:t>
      </w:r>
    </w:p>
    <w:p>
      <w:pPr>
        <w:spacing w:before="240" w:after="240"/>
        <w:rPr>
          <w:lang w:val="el" w:eastAsia="el"/>
        </w:rPr>
      </w:pPr>
      <w:r>
        <w:rPr>
          <w:b/>
          <w:bCs/>
          <w:lang w:val="el" w:eastAsia="el"/>
        </w:rPr>
        <w:t>Εάν τα στοιχεία αυτά είναι έγκυρα, η αρμόδια αρχή επιβεβαιώνει στον παραλήπτη την καταχώρηση της αναφοράς παραλαβής και τη διαβιβάζει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Οταν τα προϊόντα διακινούνται εξ ολοκλήρου στο εσωτερικό της χώρας, η αναφορά παραλαβής διαβιβάζεται από την αρμόδια αρχή του τόπου προορισμού στην αρμόδια αρχή του τόπου αποστολής, η οποία την προωθεί στον αποστολέα.</w:t>
      </w:r>
    </w:p>
    <w:p>
      <w:pPr>
        <w:pStyle w:val="MainText"/>
        <w:spacing w:before="120" w:after="0"/>
        <w:rPr>
          <w:lang w:val="el" w:eastAsia="el"/>
        </w:rPr>
      </w:pPr>
      <w:r>
        <w:rPr>
          <w:b/>
          <w:bCs/>
          <w:lang w:val="el" w:eastAsia="el"/>
        </w:rPr>
        <w:t>11.</w:t>
      </w:r>
      <w:r>
        <w:rPr>
          <w:b/>
          <w:bCs/>
          <w:lang w:val="el" w:eastAsia="el"/>
        </w:rPr>
        <w:t xml:space="preserve"> Στις περιπτώσεις που αναφέρονται στο άρθρο 112 παράγραφος 1 περίπτωση α` σημείο Hi), και, ενδεχομένως στο άρθρο 112 παράγραφος 1 περίπτωση β` το αρμόδιο τελωνείο εξαγωγής συντάσσει αναφορά εξαγωγής, με βάση τη θεώρηση του τελωνείου εξόδου, που αναφέρεται στο άρθρο 793 παράγραφος 2 του Κανονισμού (ΕΟΚ) αριθ. 2454/1993 της Επιτροπής, της 2ας Ιουλίου 1993, για τον καθορισμό ορισμένων διατάξεων εφαρμογής του Κανονισμού (ΕΟΚ) αριθ. 2913/1992 του Συμβουλίου για τη θέσπιση του κοινοτικού τελωνειακού κώδικα, ή του τελωνείου όπου πραγματοποιούνται οι διατυπώσεις που αναφέρονται στο άρθρο 54 παράγραφος 3 δεύτερο εδάφιο, το οποίο βεβαιώνει ότι τα υποκείμενα σε ειδικό φόρο κατανάλωσης προϊόντα εξήλθαν από το έδαφος της Κοινότητας.</w:t>
      </w:r>
    </w:p>
    <w:p>
      <w:pPr>
        <w:spacing w:before="240" w:after="240"/>
        <w:rPr>
          <w:lang w:val="el" w:eastAsia="el"/>
        </w:rPr>
      </w:pPr>
      <w:r>
        <w:rPr>
          <w:b/>
          <w:bCs/>
          <w:lang w:val="el" w:eastAsia="el"/>
        </w:rPr>
        <w:t>Το αρμόδιο τελωνείο εξαγωγής επαληθεύει ηλεκτρονικά τα στοιχεία που προκύπτουν από τη θεώρηση που αναφέρεται στο ανωτέρω εδάφιο. Μόλις επαληθευτούν τα στοιχεία αυτά και εφόσον το κράτος-μέλος αποστολής είναι διαφορετικό από το κράτος-μέλος εξαγωγής, το αρμόδιο τελωνείο εξαγωγής διαβιβάζει την αναφορά εξαγωγής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η αναφορά εξαγωγής προωθείται στην αρμόδια αρχή του τόπου αποστολής, η οποία τη διαβιβάζει στον αποστολέα.</w:t>
      </w:r>
    </w:p>
    <w:p>
      <w:pPr>
        <w:pStyle w:val="MainText"/>
        <w:spacing w:before="120" w:after="0"/>
        <w:rPr>
          <w:lang w:val="el" w:eastAsia="el"/>
        </w:rPr>
      </w:pPr>
      <w:r>
        <w:rPr>
          <w:b/>
          <w:bCs/>
          <w:lang w:val="el" w:eastAsia="el"/>
        </w:rPr>
        <w:t>12.</w:t>
      </w:r>
      <w:r>
        <w:rPr>
          <w:b/>
          <w:bCs/>
          <w:lang w:val="el" w:eastAsia="el"/>
        </w:rPr>
        <w:t xml:space="preserve"> Με αποφάσεις του Υπουργού Οικονομικών καθορίζονται οι διαδικασίες για την υποβολή της αναφοράς παραλαβής των προϊόντων από τους παραλήπτες που αναφέρονται στο άρθρο 68 παράγραφος 1, από τους περιστασιακά εγγεγραμμένους παραλήπτες που αναφέρονται στο άρθρο 113 παράγραφος 4, καθώς και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1"/>
      </w:r>
      <w:r>
        <w:rPr>
          <w:b/>
          <w:bCs/>
          <w:lang w:val="el" w:eastAsia="el"/>
        </w:rPr>
        <w:t xml:space="preserve">Άρθρο 115 </w:t>
      </w:r>
    </w:p>
    <w:p>
      <w:pPr>
        <w:pStyle w:val="Heading6"/>
        <w:spacing w:before="240" w:after="240"/>
        <w:rPr>
          <w:lang w:val="el" w:eastAsia="el"/>
        </w:rPr>
      </w:pPr>
      <w:r>
        <w:rPr>
          <w:b/>
          <w:bCs/>
          <w:lang w:val="el" w:eastAsia="el"/>
        </w:rPr>
        <w:t>Διαδικασίες σε περίπτωση που το μηχανοργανωμένο σύστημα είναι εκτός λειτουργίας</w:t>
      </w:r>
    </w:p>
    <w:p>
      <w:pPr>
        <w:pStyle w:val="MainText"/>
        <w:spacing w:before="120" w:after="0"/>
        <w:rPr>
          <w:lang w:val="el" w:eastAsia="el"/>
        </w:rPr>
      </w:pPr>
      <w:r>
        <w:rPr>
          <w:b/>
          <w:bCs/>
          <w:lang w:val="el" w:eastAsia="el"/>
        </w:rPr>
        <w:t>1.</w:t>
      </w:r>
      <w:r>
        <w:rPr>
          <w:b/>
          <w:bCs/>
          <w:lang w:val="el" w:eastAsia="el"/>
        </w:rPr>
        <w:t xml:space="preserve"> Κατά παρέκκλιση από το άρθρο 114 παράγραφος 1, σε περίπτωση που το μηχανοργανωμένο σύστημα είναι εκτός λειτουργίας στο κράτος-μέλος αποστολής, ο αποστολέας μπορεί να αρχίζει τη διακίνηση των υποκείμενων σε ειδικό φόρο κατανάλωσης προϊόντων τα οποία τελούν υπό καθεστώς αναστολής, υπό την προύπόθεση: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ότι τα προϊόντα συνοδεύονται από έντυπο έγγραφο, το οποίο περιέχει τα ίδια στοιχεία με το σχέδιο ηλεκτρονικού διοικητικού εγγράφου που αναφέρεται στο άρθρο 114 παράγραφος 2,</w:t>
      </w:r>
    </w:p>
    <w:p>
      <w:pPr>
        <w:pStyle w:val="StructureList1"/>
        <w:spacing w:before="120" w:after="0"/>
        <w:rPr>
          <w:lang w:val="el" w:eastAsia="el"/>
        </w:rPr>
      </w:pPr>
      <w:r>
        <w:rPr>
          <w:b/>
          <w:bCs/>
          <w:lang w:val="el" w:eastAsia="el"/>
        </w:rPr>
        <w:t>β)</w:t>
      </w:r>
      <w:r>
        <w:rPr>
          <w:b/>
          <w:bCs/>
          <w:lang w:val="en" w:eastAsia="en"/>
        </w:rPr>
        <w:tab/>
      </w:r>
      <w:r>
        <w:rPr>
          <w:b/>
          <w:bCs/>
          <w:lang w:val="el" w:eastAsia="el"/>
        </w:rPr>
        <w:t>ότι ενημερώνει τις αρμόδιες αρχές του κράτους-μέ-λους αποστολής πριν από την έναρξη της διακίνησης.</w:t>
      </w:r>
    </w:p>
    <w:p>
      <w:pPr>
        <w:spacing w:before="240" w:after="240"/>
        <w:rPr>
          <w:lang w:val="el" w:eastAsia="el"/>
        </w:rPr>
      </w:pPr>
      <w:r>
        <w:rPr>
          <w:b/>
          <w:bCs/>
          <w:lang w:val="el" w:eastAsia="el"/>
        </w:rPr>
        <w:t>Σε περίπτωση που ο τόπος αποστολής των προϊόντων βρίσκεται στο εσωτερικό της χώρας, ο αποστολέας πριν από την έναρξη της διακίνησης οφείλει να υποβάλλει στην αρμόδια αρχή του τόπου αποστολής ένα αντίγραφο του εγγράφου που αναφέρεται στην περίπτωση α`, για την ενδεχόμενη επαλήθευση των στοιχείων που περιέχονται σε αυτό και, εφόσον για τη διακοπή λειτουργίας του μηχανοργανωμένου συστήματος ευθύνεται ο ίδιος, οφείλει να ενημερώνει σχετικά με τους λόγους της διακοπής λειτουργίας.</w:t>
      </w:r>
    </w:p>
    <w:p>
      <w:pPr>
        <w:pStyle w:val="MainText"/>
        <w:spacing w:before="120" w:after="0"/>
        <w:rPr>
          <w:lang w:val="el" w:eastAsia="el"/>
        </w:rPr>
      </w:pPr>
      <w:r>
        <w:rPr>
          <w:b/>
          <w:bCs/>
          <w:lang w:val="el" w:eastAsia="el"/>
        </w:rPr>
        <w:t>2.</w:t>
      </w:r>
      <w:r>
        <w:rPr>
          <w:b/>
          <w:bCs/>
          <w:lang w:val="el" w:eastAsia="el"/>
        </w:rPr>
        <w:t xml:space="preserve"> Όταν το μηχανοργανωμένο σύστημα αποκατασταθεί, ο αποστολέας υποβάλλει για τη συγκεκριμένη διακίνηση σχέδιο ηλεκτρονικού διοικητικού εγγράφου, κατά τα οριζόμενα στο άρθρο 114 παράγραφος 2.</w:t>
      </w:r>
    </w:p>
    <w:p>
      <w:pPr>
        <w:spacing w:before="240" w:after="240"/>
        <w:rPr>
          <w:lang w:val="el" w:eastAsia="el"/>
        </w:rPr>
      </w:pPr>
      <w:r>
        <w:rPr>
          <w:b/>
          <w:bCs/>
          <w:lang w:val="el" w:eastAsia="el"/>
        </w:rPr>
        <w:t>Μόλις επικυρωθούν τα στοιχεία που αναφέρονται στο σχέδιο ηλεκτρονικού διοικητικού εγγράφου, κατά τα οριζόμενα στο άρθρο 114 παράγραφος 3, το έγγραφο αυτό αντικαθιστά το έντυπο έγγραφο που αναφέρεται στην παράγραφο 1 περίπτωση α` του παρόντος άρθρου. Το άρθρο 114 παράγραφοι 4, 5, 10 και 11 εφαρμόζονται κατ` αναλογία.</w:t>
      </w:r>
    </w:p>
    <w:p>
      <w:pPr>
        <w:pStyle w:val="MainText"/>
        <w:spacing w:before="120" w:after="0"/>
        <w:rPr>
          <w:lang w:val="el" w:eastAsia="el"/>
        </w:rPr>
      </w:pPr>
      <w:r>
        <w:rPr>
          <w:b/>
          <w:bCs/>
          <w:lang w:val="el" w:eastAsia="el"/>
        </w:rPr>
        <w:t>3.</w:t>
      </w:r>
      <w:r>
        <w:rPr>
          <w:b/>
          <w:bCs/>
          <w:lang w:val="el" w:eastAsia="el"/>
        </w:rPr>
        <w:t xml:space="preserve"> Μέχρις ότου επικυρωθούν τα στοιχεία που αναφέρονται στο σχέδιο ηλεκτρονικού διοικητικού εγγράφου, η διακίνηση θεωρείται ότι πραγματοποιείται υπό καθεστώς αναστολής υπό την κάλυψη του εντύπου εγγράφου που αναφέρεται στην παράγραφο 1 περίπτωση α`.</w:t>
      </w:r>
    </w:p>
    <w:p>
      <w:pPr>
        <w:spacing w:before="240" w:after="240"/>
        <w:rPr>
          <w:lang w:val="el" w:eastAsia="el"/>
        </w:rPr>
      </w:pPr>
      <w:r>
        <w:rPr>
          <w:b/>
          <w:bCs/>
          <w:lang w:val="el" w:eastAsia="el"/>
        </w:rPr>
        <w:t>Ο αποστολέας οφείλει να φυλάσσει αντίγραφο του εν λόγω εντύπου εγγράφου, προς επίρρωση των λογιστικών του βιβλίων.</w:t>
      </w:r>
    </w:p>
    <w:p>
      <w:pPr>
        <w:pStyle w:val="MainText"/>
        <w:spacing w:before="120" w:after="0"/>
        <w:rPr>
          <w:lang w:val="el" w:eastAsia="el"/>
        </w:rPr>
      </w:pPr>
      <w:r>
        <w:rPr>
          <w:b/>
          <w:bCs/>
          <w:lang w:val="el" w:eastAsia="el"/>
        </w:rPr>
        <w:t>4.</w:t>
      </w:r>
      <w:r>
        <w:rPr>
          <w:b/>
          <w:bCs/>
          <w:lang w:val="el" w:eastAsia="el"/>
        </w:rPr>
        <w:t xml:space="preserve"> Εάν το μηχανοργανωμένο σύστημα είναι εκτός λειτουργίας στο κράτος-</w:t>
      </w:r>
    </w:p>
    <w:p>
      <w:pPr>
        <w:spacing w:before="240" w:after="240"/>
        <w:rPr>
          <w:lang w:val="el" w:eastAsia="el"/>
        </w:rPr>
      </w:pPr>
      <w:r>
        <w:rPr>
          <w:b/>
          <w:bCs/>
          <w:lang w:val="el" w:eastAsia="el"/>
        </w:rPr>
        <w:t>μέλος αποστολής, ο αποστολέας κοινοποιεί τις πληροφορίες που αναφέρονται στο άρθρο 114 παράγραφος 8, χρησιμοποιώντας άλλα μέσα επικοινωνίας. Για το σκοπό αυτό, ενημερώνει την αρμόδια αρχή του τόπου αποστολής πριν από την έναρξη της αλλαγής προορισμού. Οι παράγραφοι 2 και 3 του παρόντος άρθρου εφαρμόζονται κατ` αναλογία.</w:t>
      </w:r>
    </w:p>
    <w:p>
      <w:pPr>
        <w:pStyle w:val="MainText"/>
        <w:spacing w:before="120" w:after="0"/>
        <w:rPr>
          <w:lang w:val="el" w:eastAsia="el"/>
        </w:rPr>
      </w:pPr>
      <w:r>
        <w:rPr>
          <w:b/>
          <w:bCs/>
          <w:lang w:val="el" w:eastAsia="el"/>
        </w:rPr>
        <w:t>5.</w:t>
      </w:r>
      <w:r>
        <w:rPr>
          <w:b/>
          <w:bCs/>
          <w:lang w:val="el" w:eastAsia="el"/>
        </w:rPr>
        <w:t xml:space="preserve"> Όταν,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η αναφορά παραλαβής που προβλέπεται στο άρθρο 114 παράγραφος 10 πρώτο εδάφιο, δεν μπορεί να υποβληθεί κατά την περάτωση μιας διακίνησης προϊόντων υποκείμενων σε ειδικό φόρο κατανάλωσης εντός της προθεσμίας που προβλέπεται στο εν λόγω άρθρο, είτε διότι το μηχανοργανωμένο σύστημα είναι εκτός λειτουργίας στο κράτος-μέλος προορισμού είτε διότι, σύμφωνα με την περίπτωση που αναφέρεται στην παράγραφο 1 του παρόντος άρθρου, δεν έχουν ακόμη ολοκληρωθεί οι διαδικασίες που αναφέρονται στην παράγραφο 2 του παρόντος άρθρου, ο παραλήπτης υποβάλλει στην αρμόδια αρχή του τόπου προορισμού, εξαιρουμένων δεόντως αιτιολογημένων περιπτώσεων, έντυπο έγγραφο, το οποίο περιλαμβάνει τα ίδια στοιχεία με εκείνα της αναφοράς παραλαβής και επιβεβαιώνει την περάτωση της διακίνησης.</w:t>
      </w:r>
    </w:p>
    <w:p>
      <w:pPr>
        <w:spacing w:before="240" w:after="240"/>
        <w:rPr>
          <w:lang w:val="el" w:eastAsia="el"/>
        </w:rPr>
      </w:pPr>
      <w:r>
        <w:rPr>
          <w:b/>
          <w:bCs/>
          <w:lang w:val="el" w:eastAsia="el"/>
        </w:rPr>
        <w:t>Οι αρμόδιες αρχές του κράτους-μέλους προορισμού αποστέλλουν αντίγραφο του εντύπου εγγράφου που αναφέρεται στο προηγούμενο εδάφιο στις αρμόδιες αρχές του κράτους-μέλους αποστολής, οι οποίες το διαβιβάζουν στον αποστολέα ή το φυλάσσουν ώστε να είναι στη διάθεση του, εκτός εάν η αναφορά παραλαβής που προβλέπεται στο άρθρο 114 παράγραφος 10 πρώτο εδάφιο μπορεί να υποβληθεί συντόμως από τον παραλήπτη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Η διαδικασία του προηγούμενου εδαφίου της παραγράφου αυτής εφαρμόζεται κατ αναλογία, μεταξύ των αρμόδιων αρχών της χώρας, όταν η διακίνηση υπό καθεστώς αναστολής πραγματοποιείται εξ ολοκλήρου στο εσωτερικό της.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προορισμού ή ολοκληρωθούν οι διαδικασίες που αναφέρονται στην παράγραφο 2 του παρόντος άρθρου, ο παραλήπτης υποβάλλει αναφορά παραλαβής, σύμφωνα με το άρθρο 114 παράγραφος 10 πρώτο εδάφιο. Τα εδάφια δεύτερο έως και πέμπτο της παραγράφου 10 του άρθρου 114 εφαρμόζονται κατ` αναλογία.</w:t>
      </w:r>
    </w:p>
    <w:p>
      <w:pPr>
        <w:pStyle w:val="MainText"/>
        <w:spacing w:before="120" w:after="0"/>
        <w:rPr>
          <w:lang w:val="el" w:eastAsia="el"/>
        </w:rPr>
      </w:pPr>
      <w:r>
        <w:rPr>
          <w:b/>
          <w:bCs/>
          <w:lang w:val="el" w:eastAsia="el"/>
        </w:rPr>
        <w:t>6.</w:t>
      </w:r>
      <w:r>
        <w:rPr>
          <w:b/>
          <w:bCs/>
          <w:lang w:val="el" w:eastAsia="el"/>
        </w:rPr>
        <w:t xml:space="preserve"> Οταν, στην περίπτωση που αναφέρεται στο άρθρο 112 παράγραφος 1 περίπτωση α` σημείο Hi), η αναφορά εξαγωγής που προβλέπεται στο άρθρο 114 παράγραφος 11 πρώτο εδάφιο, δεν είναι δυνατό να καταρτιστεί στο τέλος μιας διακίνησης προϊόντων υποκείμενων σε ειδικό φόρο κατανάλωσης είτε διότι το μηχανοργανωμένο σύστημα είναι εκτός λειτουργίας στο κράτος-μέλος εξαγωγής είτε διότι, στην περίπτωση που αναφέρεται στην παράγραφο 1 του παρόντος άρθρου, οι διαδικασίες που αναφέρονται στην παράγραφο 2 του παρόντος άρθρου δεν έχουν ακόμη ολοκληρωθεί, οι αρμόδιες αρχές του κράτους-μέλους εξαγωγής αποστέλλουν στις αρμόδιες αρχές του κράτους-μέλους αποστολής έντυπο έγγραφο που περιλαμβάνει τα ίδια στοιχεία με εκείνα της αναφοράς εξαγωγής και πιστοποιεί την περάτωση της διακίνησης, εκτός εάν η αναφορά εξαγωγής που προβλέπεται στο άρθρο 114 παράγραφος 11 πρώτο εδάφιο, μπορεί να καταρτιστεί συντόμως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Οι αρμόδιες αρχές του κράτους-μέλους αποστολής διαβιβάζουν στον αποστολέα αντίγραφο του εντύπου εγγράφου που αναφέρεται στο προηγούμενο εδάφιο ή το φυλάσσουν ώστε να είναι στη διάθεση του.</w:t>
      </w:r>
    </w:p>
    <w:p>
      <w:pPr>
        <w:spacing w:before="240" w:after="240"/>
        <w:rPr>
          <w:lang w:val="el" w:eastAsia="el"/>
        </w:rPr>
      </w:pPr>
      <w:r>
        <w:rPr>
          <w:b/>
          <w:bCs/>
          <w:lang w:val="el" w:eastAsia="el"/>
        </w:rPr>
        <w:t>Η διαδικασία των προηγούμενων εδαφίων της παραγράφου αυτής εφαρμόζεται κατ` αναλογία, μεταξύ των αρμόδιων αρχών της χώρας, όταν ό τόπος αποστολής και το τελωνείο εξαγωγής βρίσκονται στο εσωτερικό της χώρας.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εξαγωγής ή ολοκληρωθούν οι διαδικασίες που αναφέρονται στην παράγραφο 2 του παρόντος άρθρου, οι αρμόδιες αρχές του κράτους-μέλους εξαγωγής αποστέλλουν αναφορά εξαγωγής σύμφωνα με το άρθρο 114 παράγραφος 11 πρώτο εδάφιο. Τα εδάφια δεύτερο έως και τέταρτο της παραγράφου 11 του άρθρου 114, εφαρμόζονται κατ` αναλογία.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δύναται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2"/>
      </w:r>
      <w:r>
        <w:rPr>
          <w:b/>
          <w:bCs/>
          <w:lang w:val="el" w:eastAsia="el"/>
        </w:rPr>
        <w:t xml:space="preserve">Άρθρο 116 </w:t>
      </w:r>
    </w:p>
    <w:p>
      <w:pPr>
        <w:pStyle w:val="Heading6"/>
        <w:spacing w:before="240" w:after="240"/>
        <w:rPr>
          <w:lang w:val="el" w:eastAsia="el"/>
        </w:rPr>
      </w:pPr>
      <w:r>
        <w:rPr>
          <w:b/>
          <w:bCs/>
          <w:lang w:val="el" w:eastAsia="el"/>
        </w:rPr>
        <w:t>Εναλλακτικές αποδείξεις – Αμοιβαία συνδρομή</w:t>
      </w:r>
    </w:p>
    <w:p>
      <w:pPr>
        <w:pStyle w:val="MainText"/>
        <w:spacing w:before="120" w:after="0"/>
        <w:rPr>
          <w:lang w:val="el" w:eastAsia="el"/>
        </w:rPr>
      </w:pPr>
      <w:r>
        <w:rPr>
          <w:b/>
          <w:bCs/>
          <w:lang w:val="el" w:eastAsia="el"/>
        </w:rPr>
        <w:t>1.</w:t>
      </w:r>
      <w:r>
        <w:rPr>
          <w:b/>
          <w:bCs/>
          <w:lang w:val="el" w:eastAsia="el"/>
        </w:rPr>
        <w:t xml:space="preserve"> Με την επιφύλαξη των παραγράφων 5 και 6 του άρθρου 115, η αναφορά παραλαβής, που προβλέπεται στο πρώτο εδάφιο της παραγράφου 10 του άρθρου 114, ή η αναφορά εξαγωγής που προβλέπεται στο πρώτο εδάφιο της παραγράφου 11 του άρθρου 114, πιστοποιούν ότι μια διακίνηση προϊόντων υποκείμενων σε ειδικό φόρο κατανάλωσης έχει περατωθεί, σύμφωνα με την παράγραφο 5 του άρθρου 112.</w:t>
      </w:r>
    </w:p>
    <w:p>
      <w:pPr>
        <w:pStyle w:val="MainText"/>
        <w:spacing w:before="120" w:after="0"/>
        <w:rPr>
          <w:lang w:val="el" w:eastAsia="el"/>
        </w:rPr>
      </w:pPr>
      <w:r>
        <w:rPr>
          <w:b/>
          <w:bCs/>
          <w:lang w:val="el" w:eastAsia="el"/>
        </w:rPr>
        <w:t>2.</w:t>
      </w:r>
      <w:r>
        <w:rPr>
          <w:b/>
          <w:bCs/>
          <w:lang w:val="el" w:eastAsia="el"/>
        </w:rPr>
        <w:t xml:space="preserve"> Κατά παρέκκλιση από την παράγραφο 1 του παρόντος άρθρου, εάν δεν υπάρχει αναφορά παραλαβής ή αναφορά εξαγωγής για λόγους άλλους από εκείνους που αναφέρονται στις παραγράφους 5 και 6 του άρθρου 115, μπορεί να προσκομιστεί εναλλακτική απόδειξη,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για την περάτωση της διακίνησης υποκείμενων σε ειδικό φόρο κατανάλωσης προϊόντων τα οποία τελούν υπό καθεστώς αναστολής, με θεώρηση των αρμόδιων αρχών του κράτους-μέλους προορισμού, με βάση κατάλληλα αποδεικτικά στοιχεία, ότι τα υποκείμενα σε ειδικό φόρο κατανάλωσης προϊόντα που απεστάλησαν έχουν φθάσει στον αναφερόμενο προορισμό ή, στην περίπτωση που αναφέρεται στο άρθρο 112 παράγραφος 1 περίπτωση α` σημείο iii), με θεώρηση των αρμόδιων αρχών του κράτους-μέλους στο οποίο βρίσκεται το τελωνείο εξόδου, με την οποία πιστοποιείται ότι τα εν λόγω προϊόντα εξήλθαν από το έδαφος της Κοινότητας.</w:t>
      </w:r>
    </w:p>
    <w:p>
      <w:pPr>
        <w:spacing w:before="240" w:after="240"/>
        <w:rPr>
          <w:lang w:val="el" w:eastAsia="el"/>
        </w:rPr>
      </w:pPr>
      <w:r>
        <w:rPr>
          <w:b/>
          <w:bCs/>
          <w:lang w:val="el" w:eastAsia="el"/>
        </w:rPr>
        <w:t>Για τους σκοπούς του προηγούμενου εδαφίου, κατάλληλο αποδεικτικό στοιχείο αποτελεί ένα έγγραφο που υποβάλλεται από τον παραλήπτη και το οποίο περιέχει τα [δια στοιχεία με την αναφορά παραλαβής ή την αναφορά εξαγωγής.</w:t>
      </w:r>
    </w:p>
    <w:p>
      <w:pPr>
        <w:spacing w:before="240" w:after="240"/>
        <w:rPr>
          <w:lang w:val="el" w:eastAsia="el"/>
        </w:rPr>
      </w:pPr>
      <w:r>
        <w:rPr>
          <w:b/>
          <w:bCs/>
          <w:lang w:val="el" w:eastAsia="el"/>
        </w:rPr>
        <w:t>Στην περίπτωση που οι αρμόδιες αρχές του κράτους-μέλους αποστολής αποδεχθούν τα κατάλληλα αποδεικτικά στοιχεία, προβαίνουν σε κλείσιμο της διακίνησης μέσω του μηχανοργανωμένου συστήματος.</w:t>
      </w:r>
    </w:p>
    <w:p>
      <w:pPr>
        <w:spacing w:before="240" w:after="240"/>
        <w:rPr>
          <w:lang w:val="el" w:eastAsia="el"/>
        </w:rPr>
      </w:pPr>
      <w:r>
        <w:rPr>
          <w:b/>
          <w:bCs/>
          <w:lang w:val="el" w:eastAsia="el"/>
        </w:rPr>
        <w:t>Με απόφαση του Υπουργού Οικονομικών δύναται να καθορίζονται οι λεπτομέρειες για την εφαρμογή των διατάξεων της παραγράφου αυτής.</w:t>
      </w:r>
    </w:p>
    <w:p>
      <w:pPr>
        <w:pStyle w:val="MainText"/>
        <w:spacing w:before="120" w:after="0"/>
        <w:rPr>
          <w:lang w:val="el" w:eastAsia="el"/>
        </w:rPr>
      </w:pPr>
      <w:r>
        <w:rPr>
          <w:b/>
          <w:bCs/>
          <w:lang w:val="el" w:eastAsia="el"/>
        </w:rPr>
        <w:t>3.</w:t>
      </w:r>
      <w:r>
        <w:rPr>
          <w:b/>
          <w:bCs/>
          <w:lang w:val="el" w:eastAsia="el"/>
        </w:rPr>
        <w:t xml:space="preserve"> Οι αρμόδιες αρχές του εσωτερικού της χώρας παρέχουν αμοιβαία συνδρομή στις αρμόδιες αρχές των λοιπών κρατών-μελών, ανταλλάσσουν πληροφορίες με αυτές και συνεργάζονται με την Επιτροπή, ώστε να διασφαλίζεται η ορθή εφαρμογή των ρυθμίσεων που διέπουν τη διακίνηση των προϊόντων που υπόκεινται σε ειδικούς φόρους κατανάλωσης, καθώς και η είσπραξη των εν λόγω φόρων, σύμφωνα με τον Κανονισμό (ΕΚ) αριθμ. 2073/2004 του Συμβουλίου της 16ης Νοεμβρίου 2004 "για τη διοικητική συνεργασία στον τομέα των ειδικών φόρων κατανάλωσης" (EEL 359/4.12.2004).</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213"/>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4"/>
      </w:r>
      <w:r>
        <w:rPr>
          <w:rStyle w:val="Hyperlink"/>
          <w:b/>
          <w:bCs/>
          <w:color w:val="000000"/>
          <w:sz w:val="20"/>
          <w:szCs w:val="20"/>
          <w:u w:val="none" w:color="0000EE"/>
          <w:vertAlign w:val="superscript"/>
          <w:lang w:val="el" w:eastAsia="el"/>
        </w:rPr>
        <w:footnoteReference w:id="215"/>
      </w:r>
      <w:r>
        <w:rPr>
          <w:b/>
          <w:bCs/>
          <w:lang w:val="el" w:eastAsia="el"/>
        </w:rPr>
        <w:t xml:space="preserve">Άρθρο 118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Οταν διαπράττεται παρατυπία κατά τη διακίνηση υποκείμενων σε ειδικό φόρο κατανάλωσης προϊόντων που τελούν υπό καθεστώς αναστολής, η οποία προκαλεί τη θέση τους σε ανάλωση σύμφωνα με το άρθρο 56 παράγραφος 2 περίπτωση α`, η θέση σε ανάλωση πραγματοποιείται στο κράτος-μέλος όπου διαπράχθηκε η παρατυπία και ο φόρος καθίσταται απαιτητός στο κράτος-</w:t>
      </w:r>
    </w:p>
    <w:p>
      <w:pPr>
        <w:spacing w:before="240" w:after="240"/>
        <w:rPr>
          <w:lang w:val="el" w:eastAsia="el"/>
        </w:rPr>
      </w:pPr>
      <w:r>
        <w:rPr>
          <w:b/>
          <w:bCs/>
          <w:lang w:val="el" w:eastAsia="el"/>
        </w:rPr>
        <w:t>μέλος αυτό.</w:t>
      </w:r>
    </w:p>
    <w:p>
      <w:pPr>
        <w:spacing w:before="240" w:after="240"/>
        <w:rPr>
          <w:lang w:val="el" w:eastAsia="el"/>
        </w:rPr>
      </w:pPr>
      <w:r>
        <w:rPr>
          <w:b/>
          <w:bCs/>
          <w:lang w:val="el" w:eastAsia="el"/>
        </w:rPr>
        <w:t>Οταν η παρατυπία αυτή διαπράττεται στο εσωτερικό της χώρας ο ειδικός φόρος κατανάλωσης βεβαιώνεται και εισπράττεται από την αρμόδια αρχή και βαρύνει τα πρόσωπα που ορίζονται στο άρθρο 56 παράγραφος 6 περίπτωση α` σημείο Ν) του παρόντος Κώδικα, με την επιφύλαξη των διατάξεων του άρθρου 119Α.</w:t>
      </w:r>
    </w:p>
    <w:p>
      <w:pPr>
        <w:pStyle w:val="MainText"/>
        <w:spacing w:before="120" w:after="0"/>
        <w:rPr>
          <w:lang w:val="el" w:eastAsia="el"/>
        </w:rPr>
      </w:pPr>
      <w:r>
        <w:rPr>
          <w:b/>
          <w:bCs/>
          <w:lang w:val="el" w:eastAsia="el"/>
        </w:rPr>
        <w:t>2.</w:t>
      </w:r>
      <w:r>
        <w:rPr>
          <w:b/>
          <w:bCs/>
          <w:lang w:val="el" w:eastAsia="el"/>
        </w:rPr>
        <w:t xml:space="preserve"> Όταν διαπιστώνεται παρατυπία στο εσωτερικό της χώρας κατά τη διακίνηση υποκείμενων σε ειδικό φόρο κατανάλωσης προϊόντων που τελούν υπό καθεστώς αναστολής ειδικού φόρου κατανάλωσης, η οποία προκαλεί τη θέση τους σε ανάλωση σύμφωνα με το άρθρο 56 παράγραφος 2 περίπτωση α`, και δεν είναι δυνατόν να προσδιοριστεί ο τόπος όπου διαπράχθηκε η παρατυπία, η εν λόγω παρατυπία θεωρείται ότι διαπράχθηκε στο εσωτερικό της χώρας κατά το χρόνο που έγινε η διαπίστωση αυτή.</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δεύτερο εδάφιο και στην παράγραφο 2, όταν τα προϊόντα προέρχονται από άλλο κράτος-μέλος, οι αρμόδιες αρχές της χώρας μας, ενημερώνουν τις αρμόδιες αρχές του κράτους-μέλους αποστολής.</w:t>
      </w:r>
    </w:p>
    <w:p>
      <w:pPr>
        <w:pStyle w:val="MainText"/>
        <w:spacing w:before="120" w:after="0"/>
        <w:rPr>
          <w:lang w:val="el" w:eastAsia="el"/>
        </w:rPr>
      </w:pPr>
      <w:r>
        <w:rPr>
          <w:b/>
          <w:bCs/>
          <w:lang w:val="el" w:eastAsia="el"/>
        </w:rPr>
        <w:t>4.</w:t>
      </w:r>
      <w:r>
        <w:rPr>
          <w:b/>
          <w:bCs/>
          <w:lang w:val="el" w:eastAsia="el"/>
        </w:rPr>
        <w:t xml:space="preserve"> Όταν τα υποκείμενα σε ειδικό φόρο κατανάλωσης προϊόντα που αποστέλλονται από το εσωτερικό της χώρας σε άλλα κράτη-μέλη υπό καθεστώς αναστολής δεν έχουν φθάσει στον προορισμό τους και, κατά τη διάρκεια της διακίνησης δεν έχει διαπιστωθεί καμία παρατυπία που να προκαλεί τη θέση τους σε ανάλωση σύμφωνα με το άρθρο 56 παράγραφος 2 περίπτωση α`, θεωρείται ότι διαπράχθηκε παρατυπία στο εσωτερικό της χώρας κατά τη στιγμή κατά την οποία άρχισε η διακίνηση, εκτός εάν, εντός τεσσάρων (4) μηνών από την έναρξη της διακίνησης σύμφωνα με το άρθρο 112 παράγραφος 4, προσκομισθούν στην αρμόδια αρχή της χώρας μας ικανοποιητικά αποδεικτικά στοιχεία για την περάτωση της διακίνησης, σύμφωνα με το άρθρο 112 παράγραφος 5, ή για τον τόπο όπου διαπράχθηκε η παρατυπία.</w:t>
      </w:r>
    </w:p>
    <w:p>
      <w:pPr>
        <w:spacing w:before="240" w:after="240"/>
        <w:rPr>
          <w:lang w:val="el" w:eastAsia="el"/>
        </w:rPr>
      </w:pPr>
      <w:r>
        <w:rPr>
          <w:b/>
          <w:bCs/>
          <w:lang w:val="el" w:eastAsia="el"/>
        </w:rPr>
        <w:t>Εάν το πρόσωπο που παρέχει την προβλεπόμενη στο άρθρο 112 εγγύηση δεν γνώριζε ή δεν μπορούσε να γνωρίζει ότι τα προϊόντα δεν αφίχθησαν στον προορισμό τους, του χορηγείται προθεσμία ενός (1) μηνός από την ημέρα της ανακοίνωσης της πληροφορίας αυτής από την αρμόδια αρχή, προκειμένου να είναι σε θέση να αποδείξει ότι η διακίνηση έχει περατωθεί σύμφωνα με το άρθρο 112 παράγραφος 5, ή να υποδείξει τον τόπο όπου διαπράχθηκε η παρατυπία.</w:t>
      </w:r>
    </w:p>
    <w:p>
      <w:pPr>
        <w:pStyle w:val="MainText"/>
        <w:spacing w:before="120" w:after="0"/>
        <w:rPr>
          <w:lang w:val="el" w:eastAsia="el"/>
        </w:rPr>
      </w:pPr>
      <w:r>
        <w:rPr>
          <w:b/>
          <w:bCs/>
          <w:lang w:val="el" w:eastAsia="el"/>
        </w:rPr>
        <w:t>5.</w:t>
      </w:r>
      <w:r>
        <w:rPr>
          <w:b/>
          <w:bCs/>
          <w:lang w:val="el" w:eastAsia="el"/>
        </w:rPr>
        <w:t xml:space="preserve"> Ωστόσο, στις περιπτώσεις των παραγράφων 2 και 4, εάν, πριν από τη λήξη τριετίας από την ημερομηνία κατά την οποία άρχισε η διακίνηση σύμφωνα με το άρθρο 112 παράγραφος 4, εξακριβωθεί το κράτος-μέλος στο οποίο διαπράχθηκε πράγματι η παρατυπία, εφαρμόζονται οι διατάξεις του πρώτου εδαφίου της παραγράφου 1.</w:t>
      </w:r>
    </w:p>
    <w:p>
      <w:pPr>
        <w:spacing w:before="240" w:after="240"/>
        <w:rPr>
          <w:lang w:val="el" w:eastAsia="el"/>
        </w:rPr>
      </w:pPr>
      <w:r>
        <w:rPr>
          <w:b/>
          <w:bCs/>
          <w:lang w:val="el" w:eastAsia="el"/>
        </w:rPr>
        <w:t>Στις περιπτώσεις αυτές, οι αρμόδιες αρχές του κράτους-μέλους στο οποίο διαπράχθηκε η παρατυπία ενημερώνουν τις αρμόδιες αρχές του κράτους-</w:t>
      </w:r>
    </w:p>
    <w:p>
      <w:pPr>
        <w:spacing w:before="240" w:after="240"/>
        <w:rPr>
          <w:lang w:val="el" w:eastAsia="el"/>
        </w:rPr>
      </w:pPr>
      <w:r>
        <w:rPr>
          <w:b/>
          <w:bCs/>
          <w:lang w:val="el" w:eastAsia="el"/>
        </w:rPr>
        <w:t>μέλους στο οποίο επιβλήθηκε ο ειδικός φόρος κατανάλωσης , οι οποίες τον επιστρέφουν ή τον διαγράφουν μόλις αποδειχθεί η επιβολή του ειδικού φόρου κατανάλωσης στο άλλο κράτος-μέλος.</w:t>
      </w:r>
    </w:p>
    <w:p>
      <w:pPr>
        <w:pStyle w:val="MainText"/>
        <w:spacing w:before="120" w:after="0"/>
        <w:rPr>
          <w:lang w:val="el" w:eastAsia="el"/>
        </w:rPr>
      </w:pPr>
      <w:r>
        <w:rPr>
          <w:b/>
          <w:bCs/>
          <w:lang w:val="el" w:eastAsia="el"/>
        </w:rPr>
        <w:t>6.</w:t>
      </w:r>
      <w:r>
        <w:rPr>
          <w:b/>
          <w:bCs/>
          <w:lang w:val="el" w:eastAsia="el"/>
        </w:rPr>
        <w:t xml:space="preserve"> Για τους σκοπούς του παρόντος άρθρου, ως "παρατυπία" νοείται η κατάσταση που δημιουργείται κατά τη διακίνηση υποκείμενων σε ειδικό φόρο κατανάλωσης προϊόντων υπό καθεστώς αναστολής, πλην των περι πτώσεων του άρθρου 65, λόγω της οποίας η διακίνηση ή μέρος της διακίνησης των υποκείμενων σε ειδικό φόρο κατανάλωσης προϊόντων δεν περατώθηκε σύμφωνα με το άρθρο 112 παράγραφος 5.</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6"/>
      </w:r>
      <w:r>
        <w:rPr>
          <w:b/>
          <w:bCs/>
          <w:lang w:val="el" w:eastAsia="el"/>
        </w:rPr>
        <w:t xml:space="preserve">Άρθρο 119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τα οποία έχουν τεθεί σε ανάλωση</w:t>
      </w:r>
    </w:p>
    <w:p>
      <w:pPr>
        <w:pStyle w:val="MainText"/>
        <w:spacing w:before="120" w:after="0"/>
        <w:rPr>
          <w:lang w:val="el" w:eastAsia="el"/>
        </w:rPr>
      </w:pPr>
      <w:r>
        <w:rPr>
          <w:b/>
          <w:bCs/>
          <w:lang w:val="el" w:eastAsia="el"/>
        </w:rPr>
        <w:t>1.</w:t>
      </w:r>
      <w:r>
        <w:rPr>
          <w:b/>
          <w:bCs/>
          <w:lang w:val="el" w:eastAsia="el"/>
        </w:rPr>
        <w:t xml:space="preserve"> Σε περίπτωση που διαπραχθεί παρατυπία κατά τη διάρκεια διακίνησης προϊόντων υποκείμενων σε ειδικό φόρο κατανάλωσης, σύμφωνα με το άρθρο 57 παράγραφος 1 ή το άρθρο 60 παράγραφος 1, σε κράτος-μέλος άλλο από το κράτος- μέλος στο οποίο τέθηκαν σε ανάλωση, τα προϊόντα υπόκεινται σε ειδικό φόρο κατανάλωσης, ο οποίος καθίσταται απαιτητός στο κράτος - μέλος όπου διαπράχθηκε η παρατυπία.</w:t>
      </w:r>
    </w:p>
    <w:p>
      <w:pPr>
        <w:spacing w:before="240" w:after="240"/>
        <w:rPr>
          <w:lang w:val="el" w:eastAsia="el"/>
        </w:rPr>
      </w:pPr>
      <w:r>
        <w:rPr>
          <w:b/>
          <w:bCs/>
          <w:lang w:val="el" w:eastAsia="el"/>
        </w:rPr>
        <w:t>Σε περίπτωση που η παρατυπία διαπραχθεί στο εσωτερικό της χώρας, σύμφωνα με τα προβλεπόμενα στο προηγούμενο εδάφιο, ο ειδικός φόρος κατανάλωσης καθίσταται απαιτητός στο εσωτερικό της χώρας.</w:t>
      </w:r>
    </w:p>
    <w:p>
      <w:pPr>
        <w:pStyle w:val="MainText"/>
        <w:spacing w:before="120" w:after="0"/>
        <w:rPr>
          <w:lang w:val="el" w:eastAsia="el"/>
        </w:rPr>
      </w:pPr>
      <w:r>
        <w:rPr>
          <w:b/>
          <w:bCs/>
          <w:lang w:val="el" w:eastAsia="el"/>
        </w:rPr>
        <w:t>2.</w:t>
      </w:r>
      <w:r>
        <w:rPr>
          <w:b/>
          <w:bCs/>
          <w:lang w:val="el" w:eastAsia="el"/>
        </w:rPr>
        <w:t xml:space="preserve"> Σε περίπτωση που διαπιστωθεί παρατυπία στο εσωτερικό της χώρας κατά τη διάρκεια της διακίνησης υποκείμενων σε ειδικό φόρο κατανάλωσης προϊόντων τα οποία έχουν τεθεί σε ανάλωση σε άλλο κράτος-μέλος, σύμφωνα με το άρθρο 57 παράγραφος 1 ή το άρθρο 60 παράγραφος 1, και δεν είναι δυνατόν να προσδιοριστεί ο τόπος στον οποίο διαπράχθηκε η παρατυπία, αυτή θεωρείται ότι διαπράχθηκε και ο ειδικός φόρος κατανάλωσης καθίσταται απαιτητός στο εσωτερικό της χώρας.</w:t>
      </w:r>
    </w:p>
    <w:p>
      <w:pPr>
        <w:spacing w:before="240" w:after="240"/>
        <w:rPr>
          <w:lang w:val="el" w:eastAsia="el"/>
        </w:rPr>
      </w:pPr>
      <w:r>
        <w:rPr>
          <w:b/>
          <w:bCs/>
          <w:lang w:val="el" w:eastAsia="el"/>
        </w:rPr>
        <w:t>Ωστόσο, εάν το κράτος-μέλος όπου πράγματι διαπράχθηκε η παρατυπία εξακριβωθεί πριν από τη λήξη τριετούς περιόδου από την ημερομηνία απόκτησης των υποκείμενων σε ειδικό φόρο κατανάλωσης προϊόντων, εφαρμόζονται οι διατάξεις του πρώτου εδαφίου της παραγράφου 1.</w:t>
      </w:r>
    </w:p>
    <w:p>
      <w:pPr>
        <w:pStyle w:val="MainText"/>
        <w:spacing w:before="120" w:after="0"/>
        <w:rPr>
          <w:lang w:val="el" w:eastAsia="el"/>
        </w:rPr>
      </w:pPr>
      <w:r>
        <w:rPr>
          <w:b/>
          <w:bCs/>
          <w:lang w:val="el" w:eastAsia="el"/>
        </w:rPr>
        <w:t>3.</w:t>
      </w:r>
      <w:r>
        <w:rPr>
          <w:b/>
          <w:bCs/>
          <w:lang w:val="el" w:eastAsia="el"/>
        </w:rPr>
        <w:t xml:space="preserve"> Τον ειδικό φόρο κατανάλωσης υποχρεούται να καταβάλει το πρόσωπο που εγγυήθηκε την καταβολή του, σύμφωνα με το άρθρο 57 παράγραφος 7 περίπτωση α` ή το άρθρο 60 παράγραφος 4 περίπτωση α`, καθώς και οποιοδήποτε πρόσωπο συμμετείχε στην παρατυπία, με την επιφύλαξη των διατάξεων του άρθρου 119Α.</w:t>
      </w:r>
    </w:p>
    <w:p>
      <w:pPr>
        <w:spacing w:before="240" w:after="240"/>
        <w:rPr>
          <w:lang w:val="el" w:eastAsia="el"/>
        </w:rPr>
      </w:pPr>
      <w:r>
        <w:rPr>
          <w:b/>
          <w:bCs/>
          <w:lang w:val="el" w:eastAsia="el"/>
        </w:rPr>
        <w:t>Οι αρμόδιες αρχές του κράτους-μέλους στο οποίο τα υποκείμενα σε ειδικό φόρο κατανάλωσης προϊόντα τέθηκαν σε ανάλωση, κατόπιν σχετικού αιτήματος, επιστρέφουν ή διαγράφουν τον ειδικό φόρο κατανάλωσης ο οποίος επιβλήθηκε στο κράτος-μέλος όπου διαπράχθηκε ή διαπιστώθηκε η παρατυπία. Οι αρμόδιες αρχές του κράτους-μέλους προορισμού αποδεσμεύουν την εγγύηση που έχει κατατεθεί κατ` εφαρμογή του άρθρου 57 παράγραφος 7 περίπτωση α`, ή του άρθρου 60 παράγραφος 4 περίπτωση α`.</w:t>
      </w:r>
    </w:p>
    <w:p>
      <w:pPr>
        <w:pStyle w:val="MainText"/>
        <w:spacing w:before="120" w:after="0"/>
        <w:rPr>
          <w:lang w:val="el" w:eastAsia="el"/>
        </w:rPr>
      </w:pPr>
      <w:r>
        <w:rPr>
          <w:b/>
          <w:bCs/>
          <w:lang w:val="el" w:eastAsia="el"/>
        </w:rPr>
        <w:t>4.</w:t>
      </w:r>
      <w:r>
        <w:rPr>
          <w:b/>
          <w:bCs/>
          <w:lang w:val="el" w:eastAsia="el"/>
        </w:rPr>
        <w:t xml:space="preserve"> Για τους σκοπούς του παρόντος άρθρου, ως "παρατυπία" νοείται η κατάσταση που δημιουργείται κατά τη διάρκεια διακίνησης υποκείμενων σε ειδικό φόρο κατανάλωσης προϊόντων, βάσει του άρθρου 57 παράγραφος 1 ή του άρθρου 60 παράγραφος 1, η οποία δεν καλύπτεται από το άρθρο 61 και λόγω της οποίας δεν περατώθηκε με κανονικό τρόπο μια διακίνηση ή μέρος μιας διακίνησης προϊόντων που υπόκεινται σε ειδικό φόρο κατανάλωσης.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7"/>
      </w:r>
      <w:r>
        <w:rPr>
          <w:b/>
          <w:bCs/>
          <w:lang w:val="el" w:eastAsia="el"/>
        </w:rPr>
        <w:t xml:space="preserve">Άρθρο 119Α </w:t>
      </w:r>
    </w:p>
    <w:p>
      <w:pPr>
        <w:pStyle w:val="Heading6"/>
        <w:spacing w:before="240" w:after="240"/>
        <w:rPr>
          <w:lang w:val="el" w:eastAsia="el"/>
        </w:rPr>
      </w:pPr>
      <w:r>
        <w:rPr>
          <w:b/>
          <w:bCs/>
          <w:lang w:val="el" w:eastAsia="el"/>
        </w:rPr>
        <w:t>Παραβάσεις – Κυρώσεις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18"/>
      </w:r>
      <w:r>
        <w:rPr>
          <w:b/>
          <w:bCs/>
          <w:lang w:val="el" w:eastAsia="el"/>
        </w:rPr>
        <w:t>Με την επιφύλαξη των διατάξεων της επόμενης παραγράφου, η μη τήρηση των διατυπώσεων του τρίτου μέρους του παρόντος Κώδικα χαρακτηρίζεται ως απλή τελωνειακή παράβαση κατά τα προβλεπόμενα από τα άρθρα 142 και επόμενα του παρόντος Κώδικα και επισύρει πρόστιμο από πεντακόσια (500) ευρώ μέχρι δεκαπέντε χιλιάδες (15.000) ευρώ για κάθε παράβαση, ανάλογα με τη βαρύτητα και τη συχνότητα της. Με απόφαση του Υπουργού Οικονομικών μπορεί να αναπροσαρμόζονται τα ελάχιστα όρια του προστίμου που προβλέπεται στο προηγούμενο εδάφιο. Με όμοια απόφαση μπορεί οι απλές τελωνειακές παραβάσεις να κατατάσσονται σε κατηγορίες ανάλογα με τη σοβαρότητα τους και να προσδιορίζεται ειδικότερα το ύψος του προστίμου μέσα στα όρια που προβλέπονται στο πρώτο εδάφιο..</w:t>
      </w:r>
    </w:p>
    <w:p>
      <w:pPr>
        <w:pStyle w:val="MainText"/>
        <w:spacing w:before="120" w:after="0"/>
        <w:rPr>
          <w:lang w:val="el" w:eastAsia="el"/>
        </w:rPr>
      </w:pPr>
      <w:r>
        <w:rPr>
          <w:b/>
          <w:bCs/>
          <w:lang w:val="el" w:eastAsia="el"/>
        </w:rPr>
        <w:t>2.</w:t>
      </w:r>
      <w:r>
        <w:rPr>
          <w:b/>
          <w:bCs/>
          <w:lang w:val="el" w:eastAsia="el"/>
        </w:rPr>
        <w:t xml:space="preserve"> 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3.</w:t>
      </w:r>
      <w:r>
        <w:rPr>
          <w:b/>
          <w:bCs/>
          <w:lang w:val="el" w:eastAsia="el"/>
        </w:rPr>
        <w:t xml:space="preserve"> Οι εκτός των περιπτώσεων των προηγούμενων παραγράφων 1 και 2 διαπραττόμενες παραβάσεις, κατά την παραγωγή, μεταποίηση, κατοχή, μεταφορά και πώληση των προϊόντων του άρθρου 53 του παρόντος Κώδικα, τιμωρούνται με τις ειδικότερες διατάξεις που ισχύουν, κατά περίπτωση, για τα προϊόντα αυτά.</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9"/>
      </w:r>
      <w:r>
        <w:rPr>
          <w:b/>
          <w:bCs/>
          <w:lang w:val="el" w:eastAsia="el"/>
        </w:rPr>
        <w:t xml:space="preserve">Άρθρο 119Β </w:t>
      </w:r>
    </w:p>
    <w:p>
      <w:pPr>
        <w:pStyle w:val="Heading6"/>
        <w:spacing w:before="240" w:after="240"/>
        <w:rPr>
          <w:lang w:val="el" w:eastAsia="el"/>
        </w:rPr>
      </w:pPr>
      <w:r>
        <w:rPr>
          <w:b/>
          <w:bCs/>
          <w:lang w:val="el" w:eastAsia="el"/>
        </w:rPr>
        <w:t>Πληρωμές εξαρτώμενες από τις κατασχέσεις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Οι επιχειρήσεις καπνικών προϊόντων και συγκεκριμένα οι αδειοδοτημένες καπνοβιομηχανίες, τα αδειοδοτημένα επαγγελματικά εργαστήρια, οι εισαγωγείς βιομηχανοποιημένων καπνών από τρίτη χώρα και οι παραλήπτες βιομηχανοποιημένων καπνών από άλλο κράτος - μέλος κοινοποιούν κατάλογο των εμπορικών τους σημάτων ή των σημάτων για τα οποία διαθέτουν άδεια χρήσης προς την Ανεξάρτητη Αρχή Δημοσίων Εσόδων (Α.Α.Δ.Ε.), καθώς και τα στοιχεία γνησιότητας, όπως τροποποιούνται και ισχύουν. Η πρώτη υποβολή του καταλόγου αυτού λαμβάνει χώρα εντός δύο (2) μηνών από την έναρξη ισχύος του παρόντος άρθρου. Για κάθε ημέρα καθυστέρησης στην υποβολή του καταλόγου των εμπορικών σημάτων επιβάλλεται πρόστιμο εκατό (100) ευρώ με ανώτατο όριο τις πέντε χιλιάδες (5.000) ευρώ με καταλογιστική πράξη του Προϊσταμένου του Τελωνείου, στην τοπική αρμοδιότητα του οποίου βρίσκεται η έδρα της επιχείρησης καπνικών προϊόντων ή το υποκατάστημα, σε περίπτωση που η έδρα της επιχείρησης δεν βρίσκεται στην Ελληνική Επικράτεια. Ο κατάλογος αυτός υποχρεωτικά επανυποβάλλεται επικαιροποιημένος από όλους τους ανωτέρω εντός μηνός από την προσθήκη ή διαγραφή εμπορικού σήματος.</w:t>
      </w:r>
    </w:p>
    <w:p>
      <w:pPr>
        <w:pStyle w:val="MainText"/>
        <w:spacing w:before="120" w:after="0"/>
        <w:rPr>
          <w:lang w:val="el" w:eastAsia="el"/>
        </w:rPr>
      </w:pPr>
      <w:r>
        <w:rPr>
          <w:b/>
          <w:bCs/>
          <w:lang w:val="el" w:eastAsia="el"/>
        </w:rPr>
        <w:t>2.</w:t>
      </w:r>
      <w:r>
        <w:rPr>
          <w:b/>
          <w:bCs/>
          <w:lang w:val="el" w:eastAsia="el"/>
        </w:rPr>
        <w:t xml:space="preserve"> Σε περίπτωση επιβολής κατάσχεσης πενήντα χιλιάδων (50.000) και άνω τεμαχίων βιομηχανοποιημένων καπνών, που φέρουν τα εμπορικά σήματα οποιασδήποτε επιχείρησης καπνικών προϊόντων από τις μνημονευόμενες στην παράγραφο 1, η οποία διενεργήθηκε από οποιαδήποτε τελωνειακή αρχή ή άλλη υπηρεσία με αρμοδιότητα για τη δίωξη του λαθρεμπορίου, η Α.Α.Δ.Ε., εντός τριάντα (30) εργάσιμων ημερών από την επιβολή της κατάσχεσης, προβαίνει σε γνωστοποίηση της κατάσχεσης στην επιχείρηση, με επιστολή της, που κοινοποιείται στην επιχείρηση από υπάλληλο της αρμόδιας Τελωνειακής Αρχής, συντασσομένου αποδεικτικού επίδοσης, η οποία περιλαμβάνει:</w:t>
      </w:r>
    </w:p>
    <w:p>
      <w:pPr>
        <w:spacing w:before="240" w:after="240"/>
        <w:rPr>
          <w:lang w:val="el" w:eastAsia="el"/>
        </w:rPr>
      </w:pPr>
      <w:r>
        <w:rPr>
          <w:b/>
          <w:bCs/>
          <w:lang w:val="el" w:eastAsia="el"/>
        </w:rPr>
        <w:t>(α) την ημερομηνία, ώρα και τόπο της κατάσχεσης,</w:t>
      </w:r>
    </w:p>
    <w:p>
      <w:pPr>
        <w:spacing w:before="240" w:after="240"/>
        <w:rPr>
          <w:lang w:val="el" w:eastAsia="el"/>
        </w:rPr>
      </w:pPr>
      <w:r>
        <w:rPr>
          <w:b/>
          <w:bCs/>
          <w:lang w:val="el" w:eastAsia="el"/>
        </w:rPr>
        <w:t>(β) τη μάρκα των κατασχεθέντων βιομηχανοποιημένων καπνών, όπως αναφέρεται στη συσκευασία, και, εφόσον υπάρχει, οποιαδήποτε ένδειξη ως προς την προοριζόμενη αγορά λιανικής πώλησης,</w:t>
      </w:r>
    </w:p>
    <w:p>
      <w:pPr>
        <w:spacing w:before="240" w:after="240"/>
        <w:rPr>
          <w:lang w:val="el" w:eastAsia="el"/>
        </w:rPr>
      </w:pPr>
      <w:r>
        <w:rPr>
          <w:b/>
          <w:bCs/>
          <w:lang w:val="el" w:eastAsia="el"/>
        </w:rPr>
        <w:t>(γ) οποιεσδήποτε ενδείξεις ταυτότητας εμφανίζονται στη συσκευασία master case ή στις κούτες ή στα πακέτα των κατασχεθέντων βιομηχανοποιημένων καπνών,</w:t>
      </w:r>
    </w:p>
    <w:p>
      <w:pPr>
        <w:spacing w:before="240" w:after="240"/>
        <w:rPr>
          <w:lang w:val="el" w:eastAsia="el"/>
        </w:rPr>
      </w:pPr>
      <w:r>
        <w:rPr>
          <w:b/>
          <w:bCs/>
          <w:lang w:val="el" w:eastAsia="el"/>
        </w:rPr>
        <w:t>(δ) την ποσότητα των κατασχεθέντων βιομηχανοποιημένων καπνών. Για τους σκοπούς του παρόντος άρθρου, ένα (1) γραμμάριο λεπτοκομμένου καπνού για στριφτά τσιγάρα θα θεωρείται ως αντίστοιχο ενός τεμαχίου τσιγάρου.</w:t>
      </w:r>
    </w:p>
    <w:p>
      <w:pPr>
        <w:pStyle w:val="MainText"/>
        <w:spacing w:before="120" w:after="0"/>
        <w:rPr>
          <w:lang w:val="el" w:eastAsia="el"/>
        </w:rPr>
      </w:pPr>
      <w:r>
        <w:rPr>
          <w:b/>
          <w:bCs/>
          <w:lang w:val="el" w:eastAsia="el"/>
        </w:rPr>
        <w:t>3.</w:t>
      </w:r>
      <w:r>
        <w:rPr>
          <w:b/>
          <w:bCs/>
          <w:lang w:val="el" w:eastAsia="el"/>
        </w:rPr>
        <w:t xml:space="preserve"> Εντός τριάντα (30) εργάσιμων ημερών από τη γνωστοποίηση της κατάσχεσης στην επιχείρηση, μικτά κλιμάκια από εκπροσώπους της Γενικής Διεύθυνσης Τελωνείων και Ειδικών Φόρων Κατανάλωσης και της Γενικής Διεύθυνσης του Γενικού Χημείου του Κράτους της Α.Α.Δ.Ε. αφενός και η επιχείρηση καπνικών προϊόντων διά των εκπροσώπων της αφετέρου, μετά από πρόσκληση που κοινοποιείται σε αυτούς από υπάλληλο της αρμόδιας Τελωνειακής Αρχής προ πέντε (5) ημερών, συντασσομένου αποδεικτικού επίδοσης, μεταβαίνουν στην Τελωνειακή Υπηρεσία ή όπου αλλού φυλάσσονται τα λαθραία βιομηχανοποιημένα καπνά της επιχείρησης καπνικών προϊόντων και λαμβάνουν τέσσερα (4) όμοια δείγματα βιομηχανοποιημένων καπνών για εργαστηριακή εξέταση, δύο (2) για την επιχείρηση και δύο (2) για την Α.Α.Δ.Ε.</w:t>
      </w:r>
    </w:p>
    <w:p>
      <w:pPr>
        <w:pStyle w:val="MainText"/>
        <w:spacing w:before="120" w:after="0"/>
        <w:rPr>
          <w:lang w:val="el" w:eastAsia="el"/>
        </w:rPr>
      </w:pPr>
      <w:r>
        <w:rPr>
          <w:b/>
          <w:bCs/>
          <w:lang w:val="el" w:eastAsia="el"/>
        </w:rPr>
        <w:t>4.</w:t>
      </w:r>
      <w:r>
        <w:rPr>
          <w:b/>
          <w:bCs/>
          <w:lang w:val="el" w:eastAsia="el"/>
        </w:rPr>
        <w:t xml:space="preserve"> Εάν τα κατασχεθέντα βιομηχανοποιημένα καπνά είναι λαθραία βιομηχανοποιημένα καπνά της επιχείρησης, αυτή υποχρεούται εντός τριάντα (30) ημερών από την κατά τα ανωτέρω γνωστοποίηση της κατά σχεσης, σε απάντηση, η οποία αποσκοπεί στην ενημέρωση της Τελωνειακής Αρχής και δεν αποτελεί προϋπόθεση για την επιβολή των πληρωμών. Η απάντηση περιλαμβάνει όσο το δυνατόν περισσότερα στοιχεία που έχει στη διάθεσή της η επιχείρηση σχετικά με τα ακόλουθα:</w:t>
      </w:r>
    </w:p>
    <w:p>
      <w:pPr>
        <w:spacing w:before="240" w:after="240"/>
        <w:rPr>
          <w:lang w:val="el" w:eastAsia="el"/>
        </w:rPr>
      </w:pPr>
      <w:r>
        <w:rPr>
          <w:b/>
          <w:bCs/>
          <w:lang w:val="el" w:eastAsia="el"/>
        </w:rPr>
        <w:t>(α) τον τόπο κατασκευής των κατασχεθέντων βιομηχανοποιημένων καπνών,</w:t>
      </w:r>
    </w:p>
    <w:p>
      <w:pPr>
        <w:spacing w:before="240" w:after="240"/>
        <w:rPr>
          <w:lang w:val="el" w:eastAsia="el"/>
        </w:rPr>
      </w:pPr>
      <w:r>
        <w:rPr>
          <w:b/>
          <w:bCs/>
          <w:lang w:val="el" w:eastAsia="el"/>
        </w:rPr>
        <w:t>(β) την ημερομηνία κατασκευής των κατασχεθέντων βιομηχανοποιημένων καπνών,</w:t>
      </w:r>
    </w:p>
    <w:p>
      <w:pPr>
        <w:spacing w:before="240" w:after="240"/>
        <w:rPr>
          <w:lang w:val="el" w:eastAsia="el"/>
        </w:rPr>
      </w:pPr>
      <w:r>
        <w:rPr>
          <w:b/>
          <w:bCs/>
          <w:lang w:val="el" w:eastAsia="el"/>
        </w:rPr>
        <w:t>(γ) τη χώρα προορισμού των κατασχεθέντων βιομηχανοποιημένων καπνών και την προοριζόμενη αγορά λιανικής πώλησης,</w:t>
      </w:r>
    </w:p>
    <w:p>
      <w:pPr>
        <w:spacing w:before="240" w:after="240"/>
        <w:rPr>
          <w:lang w:val="el" w:eastAsia="el"/>
        </w:rPr>
      </w:pPr>
      <w:r>
        <w:rPr>
          <w:b/>
          <w:bCs/>
          <w:lang w:val="el" w:eastAsia="el"/>
        </w:rPr>
        <w:t>(δ) οποιαδήποτε ενδιάμεση αποθήκευση και αποστολή,</w:t>
      </w:r>
    </w:p>
    <w:p>
      <w:pPr>
        <w:spacing w:before="240" w:after="240"/>
        <w:rPr>
          <w:lang w:val="el" w:eastAsia="el"/>
        </w:rPr>
      </w:pPr>
      <w:r>
        <w:rPr>
          <w:b/>
          <w:bCs/>
          <w:lang w:val="el" w:eastAsia="el"/>
        </w:rPr>
        <w:t>(ε) την ταυτότητα του πρώτου αγοραστή των κατασχεθέντων βιομηχανοποιημένων καπνών,</w:t>
      </w:r>
    </w:p>
    <w:p>
      <w:pPr>
        <w:spacing w:before="240" w:after="240"/>
        <w:rPr>
          <w:lang w:val="el" w:eastAsia="el"/>
        </w:rPr>
      </w:pPr>
      <w:r>
        <w:rPr>
          <w:b/>
          <w:bCs/>
          <w:lang w:val="el" w:eastAsia="el"/>
        </w:rPr>
        <w:t>(στ) την ταυτότητα οποιουδήποτε γνωστού μεταγενέστερου αγοραστή των κατασχεθέντων βιομηχανοποιημένων καπνών,</w:t>
      </w:r>
    </w:p>
    <w:p>
      <w:pPr>
        <w:spacing w:before="240" w:after="240"/>
        <w:rPr>
          <w:lang w:val="el" w:eastAsia="el"/>
        </w:rPr>
      </w:pPr>
      <w:r>
        <w:rPr>
          <w:b/>
          <w:bCs/>
          <w:lang w:val="el" w:eastAsia="el"/>
        </w:rPr>
        <w:t>(ζ) τα τιμολόγια που εκδόθηκαν προς τον πρώτο αγοραστή σχετικά με τα κατασχεθέντα βιομηχανοποιημένα καπνά και</w:t>
      </w:r>
    </w:p>
    <w:p>
      <w:pPr>
        <w:spacing w:before="240" w:after="240"/>
        <w:rPr>
          <w:lang w:val="el" w:eastAsia="el"/>
        </w:rPr>
      </w:pPr>
      <w:r>
        <w:rPr>
          <w:b/>
          <w:bCs/>
          <w:lang w:val="el" w:eastAsia="el"/>
        </w:rPr>
        <w:t>(η) τα αρχεία πληρωμών από τον πρώτο αγοραστή για οποιαδήποτε κατασχεθέντα βιομηχανοποιημένα καπνά.</w:t>
      </w:r>
    </w:p>
    <w:p>
      <w:pPr>
        <w:spacing w:before="240" w:after="240"/>
        <w:rPr>
          <w:lang w:val="el" w:eastAsia="el"/>
        </w:rPr>
      </w:pPr>
      <w:r>
        <w:rPr>
          <w:b/>
          <w:bCs/>
          <w:lang w:val="el" w:eastAsia="el"/>
        </w:rPr>
        <w:t>Η επιχείρηση μπορεί μέσα στην ίδια προθεσμία να προσκομίσει οποιοδήποτε άλλο στοιχείο και να παράσχει οποιαδήποτε πληροφορία ή διευκρίνιση.</w:t>
      </w:r>
    </w:p>
    <w:p>
      <w:pPr>
        <w:pStyle w:val="MainText"/>
        <w:spacing w:before="120" w:after="0"/>
        <w:rPr>
          <w:lang w:val="el" w:eastAsia="el"/>
        </w:rPr>
      </w:pPr>
      <w:r>
        <w:rPr>
          <w:b/>
          <w:bCs/>
          <w:lang w:val="el" w:eastAsia="el"/>
        </w:rPr>
        <w:t>5.</w:t>
      </w:r>
      <w:r>
        <w:rPr>
          <w:b/>
          <w:bCs/>
          <w:lang w:val="el" w:eastAsia="el"/>
        </w:rPr>
        <w:t xml:space="preserve"> Σε βάρος της επιχείρησης καπνικών προϊόντων επιβάλλεται αμελλητί, με καταλογιστική πράξη του Προϊσταμένου του Τελωνείου, στην τοπική αρμοδιότητα του οποίου ανήκει η έδρα της επιχείρησης καπνικών προϊόντων ή το υποκατάστημα, σε περίπτωση που η έδρα της επιχείρησης δεν βρίσκεται στην Ελληνική Επικράτεια, η υποχρεωτική πληρωμή προς το Ελληνικό Δημόσιο:</w:t>
      </w:r>
    </w:p>
    <w:p>
      <w:pPr>
        <w:spacing w:before="240" w:after="240"/>
        <w:rPr>
          <w:lang w:val="el" w:eastAsia="el"/>
        </w:rPr>
      </w:pPr>
      <w:r>
        <w:rPr>
          <w:b/>
          <w:bCs/>
          <w:lang w:val="el" w:eastAsia="el"/>
        </w:rPr>
        <w:t>(α) Ποσού που ισούται με το 100% των φόρων και δασμών που θα βεβαιώνονταν εάν τα λαθραία βιομηχανοποιημένα καπνά της επιχείρησης καπνικών προϊόντων είχαν διατεθεί νόμιμα προς ανάλωση στο έδαφος της Ελληνικής Δημοκρατίας.</w:t>
      </w:r>
    </w:p>
    <w:p>
      <w:pPr>
        <w:spacing w:before="240" w:after="240"/>
        <w:rPr>
          <w:lang w:val="el" w:eastAsia="el"/>
        </w:rPr>
      </w:pPr>
      <w:r>
        <w:rPr>
          <w:b/>
          <w:bCs/>
          <w:lang w:val="el" w:eastAsia="el"/>
        </w:rPr>
        <w:t>(β) Εάν τα γνήσια βιομηχανοποιημένα καπνά της επιχείρησης που έχουν κατασχεθεί εντός ενός (1) ημερολογιακού έτους στην Ελληνική Επικράτεια ανέρχονται σε συνολικό αριθμό που υπερβαίνει τα είκοσι εκατομμύρια (20.000.000) τεμάχια, η επιχείρηση προβαίνει σε συμπληρωματική πληρωμή ποσού ίσου με το 200% του ποσού των φόρων και δασμών επί του συνόλου των ποσοτήτων που έχουν κατασχεθεί εντός του έτους αυτού, οι οποίοι θα βεβαιώνονταν εάν τα βιομηχανοποιημένα καπνά της επιχείρησης είχαν διατεθεί νόμιμα προς λιανική πώληση στο έδαφος της Ελληνικής Δημοκρατίας. Εφόσον η ποσότητα των κατασχεμένων βιομηχανοποιημένων καπνών ανέρχεται σε συνολικό αριθμό που υπερβαίνει τα σαράντα εκατομμύρια (40.000.000) τεμάχια, η επιχείρηση θα προβαίνει σε συμπληρωματική πληρωμή ποσού ίσου με το 400% του ποσού των φόρων και δασμών επί του συνόλου των ποσοτήτων που έχουν κατασχεθεί εντός του έτους αυτού, οι οποίοι θα βεβαιώνονταν εάν τα βιομηχανοποιημένα καπνά της επιχείρησης είχαν διατεθεί νόμιμα προς λιανική πώληση στο έδαφος της Ελληνικής Δημοκρατίας. Το ποσό της περίπτωσης αυτής διατίθεται για τη χρηματοδότηση των προσπαθειών καταπολέμησης της λαθραίας διακίνησης καπνικών προϊόντων.</w:t>
      </w:r>
    </w:p>
    <w:p>
      <w:pPr>
        <w:spacing w:before="240" w:after="240"/>
        <w:rPr>
          <w:lang w:val="el" w:eastAsia="el"/>
        </w:rPr>
      </w:pPr>
      <w:r>
        <w:rPr>
          <w:b/>
          <w:bCs/>
          <w:lang w:val="el" w:eastAsia="el"/>
        </w:rPr>
        <w:t>Εφόσον η επιχείρηση καπνικών προϊόντων είναι νομικό πρόσωπο, η πληρωμή επιβάλλεται στο νομικό πρόσωπο. Το δικαίωμα του Προϊσταμένου του Τελωνείου προς έκδοση της καταλογιστικής πράξης υπόκειται σε πενταετή παραγραφή, αρχόμενη από το τέλος του έτους εντός του οποίου επιβλήθηκε η κατάσχεση. Κατά τα λοιπά, ως προς την τηρητέα διοικητική διαδικασία και την άσκηση δικαστικής προσφυγής, εφαρμόζονται αναλόγως οι διατάξεις των άρθρων 142 παράγραφος 4, 150 παράγραφος 4 και 152 παράγραφοι 3, 5, 6 και 7 του παρόντος Κώδικα.</w:t>
      </w:r>
    </w:p>
    <w:p>
      <w:pPr>
        <w:pStyle w:val="MainText"/>
        <w:spacing w:before="120" w:after="0"/>
        <w:rPr>
          <w:lang w:val="el" w:eastAsia="el"/>
        </w:rPr>
      </w:pPr>
      <w:r>
        <w:rPr>
          <w:b/>
          <w:bCs/>
          <w:lang w:val="el" w:eastAsia="el"/>
        </w:rPr>
        <w:t>6.</w:t>
      </w:r>
      <w:r>
        <w:rPr>
          <w:b/>
          <w:bCs/>
          <w:lang w:val="el" w:eastAsia="el"/>
        </w:rPr>
        <w:t xml:space="preserve"> Οι προϋποθέσεις του καταλογισμού δεν συντρέχουν, αν τα λαθραία βιομηχανοποιημένα καπνά εκλάπησαν από τρίτους ή διέφυγαν της κατοχής της επιχείρησης από λόγους ανωτέρας βίας. Σε περίπτωση κλοπής, η επιχείρηση οφείλει να αποδείξει ότι κατέβαλε κάθε δυνατή προσπάθεια για την αποτροπή της και να προσκομίσει τουλάχιστον αντίγραφο της μήνυσης που υπέβαλε για το αδίκημα της κλοπής, πριν από την κατάσχεση της παραγράφου 2, καθώς και αντίγραφο της καταχώρησης του περιστατικού της κλοπής στο βιβλίο συμβάντων της αρμόδιας αστυνομικής αρχής. Σε περίπτωση λόγου ανώτερης βίας, η επιχείρηση υποχρεούται να προσκομίσει, τουλάχιστον, βεβαίωση της αρμόδιας για την αντιμετώπισή του δημόσιας αρχής, ότι συνέβη το περιστατικό και η απώλεια των βιομηχανοποιημένων καπνών. Εάν μεταγενέστερα με αμετάκλητη ποινική απόφαση ή αμετάκλητο βούλευμα αποδειχθεί ότι δεν έλαβε χώρα η ανωτέρω κλοπή, αναβιώνει η υποχρέωση της επιχείρησης να καταβάλει τα καταλογισθέντα ποσά για τα λαθραία βιομηχανοποιημένα καπνά της που είχαν κατασχεθεί. Κατά το χρονικό διάστημα από τη διάπραξη της παράβασης μέχρι να καταστεί αμετάκλητη η ποινική απόφαση ή το βούλευμα, αναστέλλεται η παραγραφή του δικαιώματος του Δημοσίου να εκδώσει την καταλογιστική πράξη.</w:t>
      </w:r>
    </w:p>
    <w:p>
      <w:pPr>
        <w:pStyle w:val="MainText"/>
        <w:spacing w:before="120" w:after="0"/>
        <w:rPr>
          <w:lang w:val="el" w:eastAsia="el"/>
        </w:rPr>
      </w:pPr>
      <w:r>
        <w:rPr>
          <w:b/>
          <w:bCs/>
          <w:lang w:val="el" w:eastAsia="el"/>
        </w:rPr>
        <w:t>7.</w:t>
      </w:r>
      <w:r>
        <w:rPr>
          <w:b/>
          <w:bCs/>
          <w:lang w:val="el" w:eastAsia="el"/>
        </w:rPr>
        <w:t xml:space="preserve"> Τα ποσά που καταλογίζονται κατά τα ανωτέρω δεν έχουν το χαρακτήρα του διοικητικού προστίμου ή της ποινικής κύρωσης αλλά επιβάλλονται ως αποζημίωση οφειλόμενη στο πλαίσιο αντικειμενικής ευθύνης έναντι του Ελληνικού Δημοσίου για το γεγονός της εκτροπής των βιομηχανοποιημένων καπνών της επιχείρησης στο παράνομο εμπόριο, ανεξάρτητα από υπαιτιότητα επιχείρησης, ακόμη και εάν η επιχείρηση είχε συμμορφωθεί από κάθε άποψη προς τις υποχρεώσεις της που απορρέουν από τις ισχύουσες τελωνειακές διατάξεις.</w:t>
      </w:r>
    </w:p>
    <w:p>
      <w:pPr>
        <w:spacing w:before="240" w:after="240"/>
        <w:rPr>
          <w:lang w:val="el" w:eastAsia="el"/>
        </w:rPr>
      </w:pPr>
      <w:r>
        <w:rPr>
          <w:b/>
          <w:bCs/>
          <w:lang w:val="el" w:eastAsia="el"/>
        </w:rPr>
        <w:t>Η καταβολή των ανωτέρω πληρωμών ουδόλως εμποδίζει την κατά τις κείμενες διατάξεις έρευνα και τον κολασμό τυχόν λαθρεμπορικών παραβάσεων που έλαβαν χώρα σε σχέση με την ποσότητα βιομηχανοποιημένων καπνών που κατασχέθηκαν.</w:t>
      </w:r>
    </w:p>
    <w:p>
      <w:pPr>
        <w:pStyle w:val="MainText"/>
        <w:spacing w:before="120" w:after="0"/>
        <w:rPr>
          <w:lang w:val="el" w:eastAsia="el"/>
        </w:rPr>
      </w:pPr>
      <w:r>
        <w:rPr>
          <w:b/>
          <w:bCs/>
          <w:lang w:val="el" w:eastAsia="el"/>
        </w:rPr>
        <w:t>8.</w:t>
      </w:r>
      <w:r>
        <w:rPr>
          <w:b/>
          <w:bCs/>
          <w:lang w:val="el" w:eastAsia="el"/>
        </w:rPr>
        <w:t xml:space="preserve"> Με απόφαση του Διοικητή της Α.Α.Δ.Ε. καθορίζονται τα ειδικότερα θέματα της διαδικασίας της δειγματοληψίας, της διαδικασίας της χημικής εξέτασης των δειγμάτων, της οριστικοποίησης των αποτελεσμάτων της χημικής εξέτασης και κάθε άλλης αναγκαίας λεπτομέρειας για την εφαρμογή του παρόντος άρθρου.</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0"/>
      </w: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221"/>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StructureList1"/>
        <w:spacing w:before="120" w:after="0"/>
        <w:rPr>
          <w:lang w:val="el" w:eastAsia="el"/>
        </w:rPr>
      </w:pPr>
      <w:r>
        <w:rPr>
          <w:b/>
          <w:bCs/>
          <w:lang w:val="el" w:eastAsia="el"/>
        </w:rPr>
        <w:t>θ)</w:t>
      </w:r>
      <w:r>
        <w:rPr>
          <w:b/>
          <w:bCs/>
          <w:lang w:val="en" w:eastAsia="en"/>
        </w:rPr>
        <w:tab/>
      </w:r>
      <w:r>
        <w:rPr>
          <w:b/>
          <w:bCs/>
          <w:lang w:val="el" w:eastAsia="el"/>
        </w:rPr>
        <w:t>Χρηματοδοτική μίσθωση: η σύμβαση παραχώρησης, έναντι μισθώματος, επιβατικού αυτοκινήτου από εταιρεία χρηματοδοτικής μίσθωσης, εγκατεστημένη στη χώρα μας ή σε άλλο κράτος - μέλος, για επαγγελματική χρήση του αντισυμβαλλόμενου μισθωτή, ο οποίος έχει δικαίωμα στο τέλος της σύμβασης είτε να εξαγοράσει το επιβατικό αυτοκίνητο είτε να ανανεώσει τη σύμβαση για ορισμένο χρόνο, σύμφωνα με τα οριζόμενα στις διατάξεις του Ν. 1665/1986 (Λ` 194).</w:t>
      </w:r>
    </w:p>
    <w:p>
      <w:pPr>
        <w:pStyle w:val="StructureList1"/>
        <w:spacing w:before="120" w:after="0"/>
        <w:rPr>
          <w:lang w:val="el" w:eastAsia="el"/>
        </w:rPr>
      </w:pPr>
      <w:r>
        <w:rPr>
          <w:b/>
          <w:bCs/>
          <w:lang w:val="el" w:eastAsia="el"/>
        </w:rPr>
        <w:t>ι)</w:t>
      </w:r>
      <w:r>
        <w:rPr>
          <w:b/>
          <w:bCs/>
          <w:lang w:val="en" w:eastAsia="en"/>
        </w:rPr>
        <w:tab/>
      </w:r>
      <w:r>
        <w:rPr>
          <w:b/>
          <w:bCs/>
          <w:lang w:val="el" w:eastAsia="el"/>
        </w:rPr>
        <w:t>Μίσθωση: η από επιχείρηση, η οποία είναι εγκατεστημένη στη χώρα μας ή σε άλλο κράτος - μέλος και έχει σχετικό σκοπό, σύμβαση παραχώρησης της χρήσης επιβατικού αυτοκινήτου έναντι μισθώματος, για ορισμένο χρόνο, χωρίς δικαίωμα εξαγοράς στη λήξη της σύμβασης.</w:t>
      </w:r>
    </w:p>
    <w:p>
      <w:pPr>
        <w:pStyle w:val="StructureList1"/>
        <w:spacing w:before="120" w:after="0"/>
        <w:rPr>
          <w:lang w:val="el" w:eastAsia="el"/>
        </w:rPr>
      </w:pPr>
      <w:r>
        <w:rPr>
          <w:b/>
          <w:bCs/>
          <w:lang w:val="el" w:eastAsia="el"/>
        </w:rPr>
        <w:t>κ)</w:t>
      </w:r>
      <w:r>
        <w:rPr>
          <w:b/>
          <w:bCs/>
          <w:lang w:val="en" w:eastAsia="en"/>
        </w:rPr>
        <w:tab/>
      </w:r>
      <w:r>
        <w:rPr>
          <w:b/>
          <w:bCs/>
          <w:lang w:val="el" w:eastAsia="el"/>
        </w:rPr>
        <w:t>«Λιανική τιμή πώλησης προ φόρων για τη διαμόρφωση της φορολογητέας αξίας για την επιβολή του τέλους ταξινόμησης»: η ανώτατη προτεινόμενη τιμή πώλησης, χωρίς ΦΠΑ, από τον κατασκευαστή, προκειμένου για εγχωρίως παραγόμενα οχήματα ή από τον εισαγωγέα/επίσημο αντιπρόσωπο, προκειμένου για εισαγόμενα και ενδοκοινοτικώς αποκτούμενα οχήματα, όπως αυτή προκύπτει από τους υποβαλλόμενους τιμοκαταλόγους στην αρμόδια Τελωνειακή Αρχή. Στην εν λόγω τιμή, η οποία ισχύει από την ημερομηνία υποβολής του τιμοκαταλόγου, συμπεριλαμβάνεται η αξία του πρόσθετου εξοπλισμού, καθώς και η αξία ειδικών εκδόσεων του οχήματος και κάθε είδους διαμορφωτικό της τιμής πώλησης κόστος. Οι λιανικές τιμές πώλησης προ φόρων κατά μάρκα, μοντέλο, παραλλαγή και έκδοση των οχημάτων δημοσιεύονται στον έντυπο και ηλεκτρονικό τύπο και στο διαδίκτυο.</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2"/>
      </w: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ΕΕL της 07.09.1987) υποβάλλονται σε τέλος ταξινόμησης επί της φορολογητέας αξίας όπως αυτή διαμορφώνεται με βάση τις διατάξεις του άρθρου 126 του παρόντα και του άρθρου 4 του ν.1573/1985</w:t>
      </w:r>
    </w:p>
    <w:p>
      <w:pPr>
        <w:spacing w:before="240" w:after="240"/>
        <w:rPr>
          <w:lang w:val="el" w:eastAsia="el"/>
        </w:rPr>
      </w:pPr>
      <w:r>
        <w:rPr>
          <w:b/>
          <w:bCs/>
          <w:lang w:val="el" w:eastAsia="el"/>
        </w:rPr>
        <w:t>(ΦΕΚ 201 Α), όπως ισχύουν.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23"/>
      </w:r>
      <w:r>
        <w:rPr>
          <w:rStyle w:val="Hyperlink"/>
          <w:b/>
          <w:bCs/>
          <w:color w:val="000000"/>
          <w:sz w:val="20"/>
          <w:szCs w:val="20"/>
          <w:u w:val="none" w:color="0000EE"/>
          <w:vertAlign w:val="superscript"/>
          <w:lang w:val="el" w:eastAsia="el"/>
        </w:rPr>
        <w:footnoteReference w:id="224"/>
      </w:r>
      <w:r>
        <w:rPr>
          <w:rStyle w:val="Hyperlink"/>
          <w:b/>
          <w:bCs/>
          <w:color w:val="000000"/>
          <w:sz w:val="20"/>
          <w:szCs w:val="20"/>
          <w:u w:val="none" w:color="0000EE"/>
          <w:vertAlign w:val="superscript"/>
          <w:lang w:val="el" w:eastAsia="el"/>
        </w:rPr>
        <w:footnoteReference w:id="225"/>
      </w:r>
      <w:r>
        <w:rPr>
          <w:b/>
          <w:bCs/>
          <w:lang w:val="el" w:eastAsia="el"/>
        </w:rPr>
        <w:t>Οι συντελεστές του τέλους ταξινόμησης της προηγούμενης παραγράφου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αυτοκίνητα με φορολογητέα αξία μέχρι και 14.0 ευρώ, 4%.</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με φορολογητέα αξία άνω των 14.0 ευρώ και μέχρι 17.000 ευρώ, 8%.</w:t>
      </w:r>
    </w:p>
    <w:p>
      <w:pPr>
        <w:pStyle w:val="StructureList1"/>
        <w:spacing w:before="120" w:after="0"/>
        <w:rPr>
          <w:lang w:val="el" w:eastAsia="el"/>
        </w:rPr>
      </w:pPr>
      <w:r>
        <w:rPr>
          <w:b/>
          <w:bCs/>
          <w:lang w:val="el" w:eastAsia="el"/>
        </w:rPr>
        <w:t>γ)</w:t>
      </w:r>
      <w:r>
        <w:rPr>
          <w:b/>
          <w:bCs/>
          <w:lang w:val="en" w:eastAsia="en"/>
        </w:rPr>
        <w:tab/>
      </w:r>
      <w:r>
        <w:rPr>
          <w:b/>
          <w:bCs/>
          <w:lang w:val="el" w:eastAsia="el"/>
        </w:rPr>
        <w:t>Για αυτοκίνητα με φορολογητέα αξία άνω των 17.0 ευρώ και μέχρι 20.000 ευρώ, 16%.</w:t>
      </w:r>
    </w:p>
    <w:p>
      <w:pPr>
        <w:pStyle w:val="StructureList1"/>
        <w:spacing w:before="120" w:after="0"/>
        <w:rPr>
          <w:lang w:val="el" w:eastAsia="el"/>
        </w:rPr>
      </w:pPr>
      <w:r>
        <w:rPr>
          <w:b/>
          <w:bCs/>
          <w:lang w:val="el" w:eastAsia="el"/>
        </w:rPr>
        <w:t>δ)</w:t>
      </w:r>
      <w:r>
        <w:rPr>
          <w:b/>
          <w:bCs/>
          <w:lang w:val="en" w:eastAsia="en"/>
        </w:rPr>
        <w:tab/>
      </w:r>
      <w:r>
        <w:rPr>
          <w:b/>
          <w:bCs/>
          <w:lang w:val="el" w:eastAsia="el"/>
        </w:rPr>
        <w:t>Για αυτοκίνητα με φορολογητέα αξία άνω των 20.0 ευρώ και μέχρι 25.000 ευρώ, 24%.</w:t>
      </w:r>
    </w:p>
    <w:p>
      <w:pPr>
        <w:pStyle w:val="StructureList1"/>
        <w:spacing w:before="120" w:after="0"/>
        <w:rPr>
          <w:lang w:val="el" w:eastAsia="el"/>
        </w:rPr>
      </w:pPr>
      <w:r>
        <w:rPr>
          <w:b/>
          <w:bCs/>
          <w:lang w:val="el" w:eastAsia="el"/>
        </w:rPr>
        <w:t>ε)</w:t>
      </w:r>
      <w:r>
        <w:rPr>
          <w:b/>
          <w:bCs/>
          <w:lang w:val="en" w:eastAsia="en"/>
        </w:rPr>
        <w:tab/>
      </w:r>
      <w:r>
        <w:rPr>
          <w:b/>
          <w:bCs/>
          <w:lang w:val="el" w:eastAsia="el"/>
        </w:rPr>
        <w:t>Για αυτοκίνητα με φορολογητέα αξία άνω των 25.0 ευρώ, 32%.</w:t>
      </w:r>
    </w:p>
    <w:p>
      <w:pPr>
        <w:pStyle w:val="StructureList1"/>
        <w:spacing w:before="120" w:after="0"/>
        <w:rPr>
          <w:lang w:val="el" w:eastAsia="el"/>
        </w:rPr>
      </w:pPr>
      <w:r>
        <w:rPr>
          <w:b/>
          <w:bCs/>
          <w:lang w:val="el" w:eastAsia="el"/>
        </w:rPr>
        <w:t>στ)</w:t>
      </w:r>
      <w:r>
        <w:rPr>
          <w:b/>
          <w:bCs/>
          <w:lang w:val="en" w:eastAsia="en"/>
        </w:rPr>
        <w:tab/>
      </w:r>
      <w:r>
        <w:rPr>
          <w:b/>
          <w:bCs/>
          <w:lang w:val="el" w:eastAsia="el"/>
        </w:rPr>
        <w:t>Για αυτοκίνητα οχήματα τρίκυκλα ή τετράκυ- κλα που εμπίπτουν στο πεδίο εφαρμογής της οδηγίας 2002/24/ΕΚ του Συμβουλίου της 18ης Μαρτίου 2002 (E.E.L.124 της 9.5.2002) και πληρούν εκ κατασκευής τις προδιαγραφές της οδηγίας 2002/51/ΕΚ ή μεταγενέστερης.</w:t>
      </w:r>
    </w:p>
    <w:p>
      <w:pPr>
        <w:spacing w:before="240" w:after="240"/>
        <w:rPr>
          <w:lang w:val="el" w:eastAsia="el"/>
        </w:rPr>
      </w:pPr>
      <w:r>
        <w:rPr>
          <w:b/>
          <w:bCs/>
          <w:lang w:val="el" w:eastAsia="el"/>
        </w:rPr>
        <w:t>ΚΥΛΙΝΔΡΙΣΜΟΣ ΚΙΝΗΤΗΡΑ ΠΟΣΟΣΤΟ</w:t>
      </w:r>
    </w:p>
    <w:p>
      <w:pPr>
        <w:spacing w:before="240" w:after="240"/>
        <w:rPr>
          <w:lang w:val="el" w:eastAsia="el"/>
        </w:rPr>
      </w:pPr>
      <w:r>
        <w:rPr>
          <w:b/>
          <w:bCs/>
          <w:lang w:val="el" w:eastAsia="el"/>
        </w:rPr>
        <w:t>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4%</w:t>
      </w:r>
    </w:p>
    <w:p>
      <w:pPr>
        <w:spacing w:before="240" w:after="240"/>
        <w:rPr>
          <w:lang w:val="el" w:eastAsia="el"/>
        </w:rPr>
      </w:pPr>
      <w:r>
        <w:rPr>
          <w:b/>
          <w:bCs/>
          <w:lang w:val="el" w:eastAsia="el"/>
        </w:rPr>
        <w:t>Από 501 μέχρι 900 κυβικά εκατοστά 7%</w:t>
      </w:r>
    </w:p>
    <w:p>
      <w:pPr>
        <w:spacing w:before="240" w:after="240"/>
        <w:rPr>
          <w:lang w:val="el" w:eastAsia="el"/>
        </w:rPr>
      </w:pPr>
      <w:r>
        <w:rPr>
          <w:b/>
          <w:bCs/>
          <w:lang w:val="el" w:eastAsia="el"/>
        </w:rPr>
        <w:t>Από 901 κυβικά εκατοστά και πάνω 11%</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διατάξεις του άρθρου 26 του ν.1959/1991 (Α` 123) και της αριθ. Β.27660/712/10.7.1992 κοινής υπουργικής απόφασης των Υπουργών Περιβάλλοντος, Χωροταξίας και Δημόσιων Έργων και Μεταφορών και Επικοινωνιών (Β` 519), εφαρμόζονται και για τα πετρελαιοκίνητα οχήματα της προηγούμενης περίπτωσης στ`.</w:t>
      </w:r>
    </w:p>
    <w:p>
      <w:pPr>
        <w:pStyle w:val="StructureList1"/>
        <w:spacing w:before="120" w:after="0"/>
        <w:rPr>
          <w:lang w:val="el" w:eastAsia="el"/>
        </w:rPr>
      </w:pPr>
      <w:r>
        <w:rPr>
          <w:b/>
          <w:bCs/>
          <w:lang w:val="el" w:eastAsia="el"/>
        </w:rPr>
        <w:t>η)</w:t>
      </w:r>
      <w:r>
        <w:rPr>
          <w:b/>
          <w:bCs/>
          <w:lang w:val="en" w:eastAsia="en"/>
        </w:rPr>
        <w:tab/>
      </w:r>
      <w:r>
        <w:rPr>
          <w:b/>
          <w:bCs/>
          <w:lang w:val="el" w:eastAsia="el"/>
        </w:rPr>
        <w:t>Για την επιλογή του συντελεστή των περιπτώσεων α` έως ε`, για μεταχειρισμένα επιβατικά αυτοκίνητα, λαμβάνεται υπόψη η φορολογητέα αξία της παραγράφου 1 του άρθρου 126, πριν από τις προβλεπόμενες μειώσεις από το άρθρο αυτό.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26"/>
      </w:r>
      <w:r>
        <w:rPr>
          <w:rStyle w:val="Hyperlink"/>
          <w:b/>
          <w:bCs/>
          <w:color w:val="000000"/>
          <w:sz w:val="20"/>
          <w:szCs w:val="20"/>
          <w:u w:val="none" w:color="0000EE"/>
          <w:vertAlign w:val="superscript"/>
          <w:lang w:val="el" w:eastAsia="el"/>
        </w:rPr>
        <w:footnoteReference w:id="227"/>
      </w:r>
      <w:r>
        <w:rPr>
          <w:b/>
          <w:bCs/>
          <w:lang w:val="el" w:eastAsia="el"/>
        </w:rPr>
        <w:t>Για επιβατικά αυτοκίνητα της παραγράφου 1, των οποίων η εκπεμπόμενη μάζα διοξειδίου του άνθρακα - CO2 (συνδυασμένος κύκλος)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μικρότερη ή ίση των 100 γρ./χλμ, οι συντελεστές των περιπτώσεων α`, β`, γ`, δ` και ε` της παραγράφου 2 μειώνονται κατά 5%,</w:t>
      </w:r>
    </w:p>
    <w:p>
      <w:pPr>
        <w:pStyle w:val="StructureList1"/>
        <w:spacing w:before="120" w:after="0"/>
        <w:rPr>
          <w:lang w:val="el" w:eastAsia="el"/>
        </w:rPr>
      </w:pPr>
      <w:r>
        <w:rPr>
          <w:b/>
          <w:bCs/>
          <w:lang w:val="el" w:eastAsia="el"/>
        </w:rPr>
        <w:t>β)</w:t>
      </w:r>
      <w:r>
        <w:rPr>
          <w:b/>
          <w:bCs/>
          <w:lang w:val="en" w:eastAsia="en"/>
        </w:rPr>
        <w:tab/>
      </w:r>
      <w:r>
        <w:rPr>
          <w:b/>
          <w:bCs/>
          <w:lang w:val="el" w:eastAsia="el"/>
        </w:rPr>
        <w:t>μεγαλύτερη από 120 και μικρότερη ή ίση από 140 γρ./χλμ, οι συντελεστές των περιπτώσεων α`, β`, γ`, δ` και ε` της παραγράφου 2 αυξάνονται κατά 10%,</w:t>
      </w:r>
    </w:p>
    <w:p>
      <w:pPr>
        <w:pStyle w:val="StructureList1"/>
        <w:spacing w:before="120" w:after="0"/>
        <w:rPr>
          <w:lang w:val="el" w:eastAsia="el"/>
        </w:rPr>
      </w:pPr>
      <w:r>
        <w:rPr>
          <w:b/>
          <w:bCs/>
          <w:lang w:val="el" w:eastAsia="el"/>
        </w:rPr>
        <w:t>γ)</w:t>
      </w:r>
      <w:r>
        <w:rPr>
          <w:b/>
          <w:bCs/>
          <w:lang w:val="en" w:eastAsia="en"/>
        </w:rPr>
        <w:tab/>
      </w:r>
      <w:r>
        <w:rPr>
          <w:b/>
          <w:bCs/>
          <w:lang w:val="el" w:eastAsia="el"/>
        </w:rPr>
        <w:t>μεγαλύτερη από 140 και μικρότερη ή ίση από 160 γρ./χλμ, οι συντελεστές των περιπτώσεων α`, β`, γ`, δ` και ε` της παραγράφου 2 αυξάνονται κατά 20%,</w:t>
      </w:r>
    </w:p>
    <w:p>
      <w:pPr>
        <w:pStyle w:val="StructureList1"/>
        <w:spacing w:before="120" w:after="0"/>
        <w:rPr>
          <w:lang w:val="el" w:eastAsia="el"/>
        </w:rPr>
      </w:pPr>
      <w:r>
        <w:rPr>
          <w:b/>
          <w:bCs/>
          <w:lang w:val="el" w:eastAsia="el"/>
        </w:rPr>
        <w:t>δ)</w:t>
      </w:r>
      <w:r>
        <w:rPr>
          <w:b/>
          <w:bCs/>
          <w:lang w:val="en" w:eastAsia="en"/>
        </w:rPr>
        <w:tab/>
      </w:r>
      <w:r>
        <w:rPr>
          <w:b/>
          <w:bCs/>
          <w:lang w:val="el" w:eastAsia="el"/>
        </w:rPr>
        <w:t>μεγαλύτερη από 160 και μικρότερη ή ίση από 180 γρ./χλμ, οι συντελεστές των περιπτώσεων α`, β`, γ`, δ` και ε` της παραγράφου 2 αυξάνονται κατά 30%,</w:t>
      </w:r>
    </w:p>
    <w:p>
      <w:pPr>
        <w:pStyle w:val="StructureList1"/>
        <w:spacing w:before="120" w:after="0"/>
        <w:rPr>
          <w:lang w:val="el" w:eastAsia="el"/>
        </w:rPr>
      </w:pPr>
      <w:r>
        <w:rPr>
          <w:b/>
          <w:bCs/>
          <w:lang w:val="el" w:eastAsia="el"/>
        </w:rPr>
        <w:t>ε)</w:t>
      </w:r>
      <w:r>
        <w:rPr>
          <w:b/>
          <w:bCs/>
          <w:lang w:val="en" w:eastAsia="en"/>
        </w:rPr>
        <w:tab/>
      </w:r>
      <w:r>
        <w:rPr>
          <w:b/>
          <w:bCs/>
          <w:lang w:val="el" w:eastAsia="el"/>
        </w:rPr>
        <w:t>μεγαλύτερη από 180 και μικρότερη ή ίση από 200 γρ./χλμ, οι συντελεστές των περιπτώσεων α`, β`, γ`, δ` και ε` της παραγράφου 2 αυξάνονται κατά 40%,</w:t>
      </w:r>
    </w:p>
    <w:p>
      <w:pPr>
        <w:pStyle w:val="StructureList1"/>
        <w:spacing w:before="120" w:after="0"/>
        <w:rPr>
          <w:lang w:val="el" w:eastAsia="el"/>
        </w:rPr>
      </w:pPr>
      <w:r>
        <w:rPr>
          <w:b/>
          <w:bCs/>
          <w:lang w:val="el" w:eastAsia="el"/>
        </w:rPr>
        <w:t>στ)</w:t>
      </w:r>
      <w:r>
        <w:rPr>
          <w:b/>
          <w:bCs/>
          <w:lang w:val="en" w:eastAsia="en"/>
        </w:rPr>
        <w:tab/>
      </w:r>
      <w:r>
        <w:rPr>
          <w:b/>
          <w:bCs/>
          <w:lang w:val="el" w:eastAsia="el"/>
        </w:rPr>
        <w:t>μεγαλύτερη από 200 και μικρότερη ή ίση από 250 γρ./χλμ, οι συντελεστές των περιπτώσεων α`, β`, γ`, δ` και ε` της παραγράφου 2 αυξάνονται κατά 60%,</w:t>
      </w:r>
    </w:p>
    <w:p>
      <w:pPr>
        <w:pStyle w:val="StructureList1"/>
        <w:spacing w:before="120" w:after="0"/>
        <w:rPr>
          <w:lang w:val="el" w:eastAsia="el"/>
        </w:rPr>
      </w:pPr>
      <w:r>
        <w:rPr>
          <w:b/>
          <w:bCs/>
          <w:lang w:val="el" w:eastAsia="el"/>
        </w:rPr>
        <w:t>ζ)</w:t>
      </w:r>
      <w:r>
        <w:rPr>
          <w:b/>
          <w:bCs/>
          <w:lang w:val="en" w:eastAsia="en"/>
        </w:rPr>
        <w:tab/>
      </w:r>
      <w:r>
        <w:rPr>
          <w:b/>
          <w:bCs/>
          <w:lang w:val="el" w:eastAsia="el"/>
        </w:rPr>
        <w:t>μεγαλύτερη από 250 γρ./χλμ οι συντελεστές των περιπτώσεων α`, β`, γ`, δ` και ε` της παραγράφου 2 αυξάνονται κατά 100%.</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28"/>
      </w:r>
      <w:r>
        <w:rPr>
          <w:b/>
          <w:bCs/>
          <w:lang w:val="el" w:eastAsia="el"/>
        </w:rPr>
        <w:t>Για επιβατικά αυτοκίνητα της παραγράφου 1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πληρούν εκ κατασκευής τις προδιαγραφές του αμέσως προηγούμενου από το ισχύον, ως προς την ταξινόμηση, ευρωπαϊκού προτύπου εκπομπών ρύπων (Euro), οι συντελεστές των περιπτώσεων α`, β`, γ`, δ` και ε` της παραγράφου 2, αυξάνονται κατά 50%,</w:t>
      </w:r>
    </w:p>
    <w:p>
      <w:pPr>
        <w:pStyle w:val="StructureList1"/>
        <w:spacing w:before="120" w:after="0"/>
        <w:rPr>
          <w:lang w:val="el" w:eastAsia="el"/>
        </w:rPr>
      </w:pPr>
      <w:r>
        <w:rPr>
          <w:b/>
          <w:bCs/>
          <w:lang w:val="el" w:eastAsia="el"/>
        </w:rPr>
        <w:t>β)</w:t>
      </w:r>
      <w:r>
        <w:rPr>
          <w:b/>
          <w:bCs/>
          <w:lang w:val="en" w:eastAsia="en"/>
        </w:rPr>
        <w:tab/>
      </w:r>
      <w:r>
        <w:rPr>
          <w:b/>
          <w:bCs/>
          <w:lang w:val="el" w:eastAsia="el"/>
        </w:rPr>
        <w:t>δεν πληρούν εκ κατασκευής τις προδιαγραφές του ισχύοντος, ως προς την ταξινόμηση, ευρωπαϊκού προτύπου εκπομπών ρύπων (Euro) και του αμέσως προηγούμενου και δεν είναι συμβατικής τεχνολογίας, οι συντελεστές των περιπτώσεων α`, β`, γ`, δ` και ε` της παραγράφου 2, αυξάνονται κατά 200%,</w:t>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πληρούν προδιαγραφές ευρωπαϊκού προτύπου εκπομπών ρύπων (Euro), συμβατικής τεχνολογίας και για τα οποία δεν αποδεικνύονται οι εκπομπές διοξειδίου του άνθρακα, οι συντελεστές των περιπτώσεων α`, β`, γ`, δ` και ε` της παραγράφου 2, αυξάνονται κατά 500%, σε συνδυασμό με την περίπτωση ζ` της παραγράφου 3. Οι συντελεστές για οχήματα της περίπτωσης στ` της παραγράφου 1, τα οποία δεν πληρούν εκ κατασκευής τις προδιαγραφές της Οδηγίας 2002/51/ΕΚ ή μεταγενέστερης, προσαυξάνονται κατά ποσοστό τριάντα τοις εκατό (30%).</w:t>
      </w:r>
    </w:p>
    <w:p>
      <w:pPr>
        <w:pStyle w:val="MainText"/>
        <w:spacing w:before="120" w:after="0"/>
        <w:rPr>
          <w:lang w:val="el" w:eastAsia="el"/>
        </w:rPr>
      </w:pPr>
      <w:r>
        <w:rPr>
          <w:b/>
          <w:bCs/>
          <w:lang w:val="el" w:eastAsia="el"/>
        </w:rPr>
        <w:t>4Α.</w:t>
      </w:r>
      <w:r>
        <w:rPr>
          <w:b/>
          <w:bCs/>
          <w:lang w:val="el" w:eastAsia="el"/>
        </w:rPr>
        <w:t xml:space="preserve"> </w:t>
      </w:r>
      <w:r>
        <w:rPr>
          <w:rStyle w:val="Hyperlink"/>
          <w:b/>
          <w:bCs/>
          <w:color w:val="000000"/>
          <w:sz w:val="20"/>
          <w:szCs w:val="20"/>
          <w:u w:val="none" w:color="0000EE"/>
          <w:vertAlign w:val="superscript"/>
          <w:lang w:val="el" w:eastAsia="el"/>
        </w:rPr>
        <w:footnoteReference w:id="229"/>
      </w:r>
      <w:r>
        <w:rPr>
          <w:b/>
          <w:bCs/>
          <w:lang w:val="el" w:eastAsia="el"/>
        </w:rPr>
        <w:t>α) Οι συντελεστές του τέλους ταξινόμησης που προβλέπονται από την παράγραφο 2, όπως αυτοί διαμορφώνονται, σύμφωνα με την παράγραφο 3 για επιβατικά αυτοκίνητα της δασμολογικής κλάσης 87.03 της Συνδυασμένης Ονοματολογίας, που έχουν κομιστεί ή θα κομιστούν στη χώρα μας μέχρι και 31.12.2018 και για τα οποία θα έχουν κατατεθεί μέχρι την παραπάνω ημερομηνία δηλωτικά εισαγωγής ή δηλώσεις άφιξης οχημάτων ή άλλα αποδεικτικά στοιχεία εισόδου, προκειμένου για μετοικούντα πρόσωπα, εφόσον πληρούν εκ κατασκευής τις προδιαγραφές του αμέσως προηγούμενου από το ισχύον, ως προς την ταξινόμηση, ευρωπαϊκού προτύπου εκπομπών ρύπων (Euro), δεν αυξάνονται κατά πενήντα τοις εκατό (50%), όπως προβλέπεται από την περίπτωση α` της παραγράφου 4, με την προϋπόθεση ότι μέχρι και 30.4.2019 θα έχουν βεβαιωθεί και εισπραχθεί γι` αυτά, οι οφειλόμενες φορολογικές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Οι συντελεστές του τέλους ταξινόμησης που προβλέπονται από την παράγραφο 2, όπως αυτοί διαμορφώνονται σύμφωνα με την παράγραφο 3 του ιδίου άρθρου για επιβατικά αυτοκίνητα της δασμολογικής κλάσης 87.03 της Συνδυασμένης Ονοματολογίας που έχουν κομιστεί ή θα κομιστούν στη χώρα μας μέχρι και 31.12.2018 και για τα οποία θα έχουν κατατεθεί, μέχρι την παραπάνω ημερομηνία, δηλωτικά εισαγωγής ή δηλώσεις άφιξης οχημάτων ή άλλα αποδεικτικά στοιχεία εισόδου, προκειμένου για μετοικούντα πρόσωπα, εφόσον δεν πληρούν εκ κατασκευής τις προδιαγραφές του ισχύοντος και του αμέσως προηγούμενου, ως προς την ταξινόμηση, ευρωπαϊκού προτύπου εκπομπών ρύπων (Euro) και δεν είναι συμβατικής τεχνολογίας, δεν αυξάνονται κατά διακόσια της εκατό (200%), όπως προβλέπεται από την περίπτωση β` της παραγράφου 4, αλλά κατά πενήντα τοις εκατό (50%), με την προϋπόθεση ότι, μέχρι και 30.4.2019 θα έχουν βεβαιωθεί και εισπραχθεί γι` αυτά, οι οφειλόμενες φορολογικές επιβαρύνσεις.</w:t>
      </w:r>
    </w:p>
    <w:p>
      <w:pPr>
        <w:spacing w:before="240" w:after="240"/>
        <w:rPr>
          <w:lang w:val="el" w:eastAsia="el"/>
        </w:rPr>
      </w:pPr>
      <w:r>
        <w:rPr>
          <w:b/>
          <w:bCs/>
          <w:lang w:val="el" w:eastAsia="el"/>
        </w:rPr>
        <w:t>Οι διατάξεις της παρούσας παραγράφου δεν εφαρμόζονται για αυτοκίνητα για τα οποία το τέλος ταξινόμησης βεβαιώθηκε από 1.9.2018 μέχρι την έναρξη ισχύος τους.</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30"/>
      </w:r>
      <w:r>
        <w:rPr>
          <w:rStyle w:val="Hyperlink"/>
          <w:b/>
          <w:bCs/>
          <w:color w:val="000000"/>
          <w:sz w:val="20"/>
          <w:szCs w:val="20"/>
          <w:u w:val="none" w:color="0000EE"/>
          <w:vertAlign w:val="superscript"/>
          <w:lang w:val="el" w:eastAsia="el"/>
        </w:rPr>
        <w:footnoteReference w:id="231"/>
      </w:r>
      <w:r>
        <w:rPr>
          <w:b/>
          <w:bCs/>
          <w:lang w:val="el" w:eastAsia="el"/>
        </w:rPr>
        <w:t>Τα υβριδικά μηχανοκίνητα επιβατικά αυτοκίνητα, όπως αυτά προσδιορίζονται από την οδηγία 2007/46, όπως ισχύει και ειδικότερα τα υβριδικά ηλεκτρικά αυτοκίνητα, όπως αυτά προσδιορίζονται από τον Καν. 692/2008, όπως ισχύει, απαλλάσσονται από το 50% του προβλεπόμενου από τις διατάξεις του άρθρου αυτού τέλους ταξινόμησης. Τα αμιγώς ηλεκτρικά αυτοκίνητα, όπως αυτά προσδιορίζονται από τον Καν. 692/2008, όπως ισχύει, δεν υπόκεινται στο προβλεπόμενο από τις διατάξεις του άρθρου αυτού τέλους ταξινόμησης.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32"/>
      </w:r>
      <w:r>
        <w:rPr>
          <w:b/>
          <w:bCs/>
          <w:lang w:val="el" w:eastAsia="el"/>
        </w:rPr>
        <w:t>Επιβατικά αυτοκίνητα ιδιωτικής χρήσης και αυτοκίνητα τύπου JEEP των δασμολογικών κλάσεων 87.03 και 87.04, αντίστοιχα, της Συνδυασμένης Ονοματολογίας, τα οποία είχαν ταξινομηθεί και κυκλοφορήσει στη χώρα, εφόσον μεταφέρονται ή αποστέλλονται σε άλλο κράτος - μέλος της Ευρωπαϊκής Ενωσης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Μεταφορών και Επικοινωνιών, με σκοπό να επαναταξινομηθούν και να τεθούν εκ νέου σε κυκλοφορία, απαλλάσσονται από το προβλεπόμενο από τις διατάξεις του άρθρου αυτού τέλος ταξινόμησης.</w:t>
      </w:r>
    </w:p>
    <w:p>
      <w:pPr>
        <w:spacing w:before="240" w:after="240"/>
        <w:rPr>
          <w:lang w:val="el" w:eastAsia="el"/>
        </w:rPr>
      </w:pPr>
      <w:r>
        <w:rPr>
          <w:b/>
          <w:bCs/>
          <w:lang w:val="el" w:eastAsia="el"/>
        </w:rPr>
        <w:t>Με κοινή απόφαση των Υπουργών Οικονομίας και Οικονομικών και Μεταφορών και Επικοινωνιών καθορίζεται κάθε λεπτομέρεια για την εφαρμογή των διατάξεων της παρούσας παραγράφου.</w:t>
      </w:r>
    </w:p>
    <w:p>
      <w:pPr>
        <w:spacing w:before="240" w:after="240"/>
        <w:rPr>
          <w:lang w:val="el" w:eastAsia="el"/>
        </w:rPr>
      </w:pPr>
      <w:r>
        <w:rPr>
          <w:b/>
          <w:bCs/>
          <w:lang w:val="el" w:eastAsia="el"/>
        </w:rPr>
        <w:t>7</w:t>
      </w:r>
      <w:r>
        <w:rPr>
          <w:rStyle w:val="Hyperlink"/>
          <w:b/>
          <w:bCs/>
          <w:color w:val="000000"/>
          <w:sz w:val="20"/>
          <w:szCs w:val="20"/>
          <w:u w:val="none" w:color="0000EE"/>
          <w:vertAlign w:val="superscript"/>
          <w:lang w:val="el" w:eastAsia="el"/>
        </w:rPr>
        <w:footnoteReference w:id="233"/>
      </w:r>
      <w:r>
        <w:rPr>
          <w:rStyle w:val="Hyperlink"/>
          <w:b/>
          <w:bCs/>
          <w:color w:val="000000"/>
          <w:sz w:val="20"/>
          <w:szCs w:val="20"/>
          <w:u w:val="none" w:color="0000EE"/>
          <w:vertAlign w:val="superscript"/>
          <w:lang w:val="el" w:eastAsia="el"/>
        </w:rPr>
        <w:footnoteReference w:id="234"/>
      </w:r>
      <w:r>
        <w:rPr>
          <w:b/>
          <w:bCs/>
          <w:lang w:val="el" w:eastAsia="el"/>
        </w:rPr>
        <w:t>Σε περίπτωση που ο κάτοχος μεταχειρισμένου κοινοτικού επιβατικού αυτοκίνητου, με πρώτη άδεια κυκλοφορίας κράτους μέλους της Ευρωπαϊκής Ένωσης, εκδοθείσα πριν από την 1η Ιουνίου του 2016, εκτιμά ότι το προς επιβολή τέλος ταξινόμησης, όπως βεβαιώνεται, σύμφωνα με τις διατάξεις των παραγράφων 2, 3 και 4 και τις διατάξεις του άρθρου 126 του παρόντος νόμου, υπερβαίνει το υπολειπόμενο τέλος ταξινόμησης που είναι ενσωματωμένο σε όμοιο, της αυτής μάρκας και τύπου μεταχειρισμένου αυτοκινήτου ή ελλείψει αυτών σε όχημα παρόμοιο ή παρεμφερές που έχει ήδη ταξινομηθεί στη χώρα πριν από την εν λόγω ημερομηνία, έχει δικαίωμα να αιτηθεί τον υπολογισμό του ιστορικού τέλους ταξινόμησης από την Ειδική Επιτροπή του δεύτερου εδαφίου της παρ. 4 του άρθρου 126. Για τον υπολογισμό του ιστορικού τέλους ταξινόμησης, λαμβάνονται υπόψη οι ισχύοντες συντελεστές του τέλους ταξινόμησης και τα ισχύοντα στοιχεία διαμόρφωσης της φορολογητέας αξίας, κατά το χρόνο της πρώτης κυκλοφορίας του αυτοκινήτου σε κράτος μέλος της Ευρωπαϊκής Ένωσης. Το τέλος ταξινόμησης για τα υπό κρίση αυτοκίνητα, βεβαιώνεται σύμφωνα με το μικρότερο ποσό, όπως προκύπτει μεταξύ του ιστορικού τέλους ταξινόμησης και του τέλους ταξινόμησης, όπως αυτό υπολογίζεται, σύμφωνα με τις διατάξεις των παραγράφων 2, 3 και 4 του παρόντος άρθρου και τις διατάξεις του άρθρου 126 του παρόντος νόμου. Με την απόφαση του τέταρτου εδαφίου της παρ. 5 του άρθρου 126, καθορίζονται τα στοιχεία που πρέπει να λαμβάνονται υπόψη από την Επιτροπή αυτή και κάθε άλλη αναγκαία λεπτομέρεια για την εφαρμογή της παρούσας παραγράφου.</w:t>
      </w:r>
    </w:p>
    <w:p>
      <w:pPr>
        <w:spacing w:before="240" w:after="240"/>
        <w:rPr>
          <w:lang w:val="el" w:eastAsia="el"/>
        </w:rPr>
      </w:pPr>
      <w:r>
        <w:rPr>
          <w:rStyle w:val="Hyperlink"/>
          <w:b/>
          <w:bCs/>
          <w:color w:val="000000"/>
          <w:sz w:val="20"/>
          <w:szCs w:val="20"/>
          <w:u w:val="none" w:color="0000EE"/>
          <w:vertAlign w:val="superscript"/>
          <w:lang w:val="el" w:eastAsia="el"/>
        </w:rPr>
        <w:footnoteReference w:id="235"/>
      </w:r>
      <w:r>
        <w:rPr>
          <w:b/>
          <w:bCs/>
          <w:lang w:val="el" w:eastAsia="el"/>
        </w:rPr>
        <w:t>Για την εξέταση του οχήματος από την Ειδική Επιτροπή του δεύτερου εδαφίου της παραγράφου 4 του άρθρου 126, απαιτείται αίτηση του ενδιαφερομένου και καταβολή παραβόλου, το ύψος του οποίου είναι ίσο με το ύψος του παράβολου το οποίο καθορίζεται με την απόφαση του τρίτου εδαφίου της παραγράφου 5 του ιδίου άρθρου.</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36"/>
      </w:r>
      <w:r>
        <w:rPr>
          <w:rStyle w:val="Hyperlink"/>
          <w:b/>
          <w:bCs/>
          <w:color w:val="000000"/>
          <w:sz w:val="20"/>
          <w:szCs w:val="20"/>
          <w:u w:val="none" w:color="0000EE"/>
          <w:vertAlign w:val="superscript"/>
          <w:lang w:val="el" w:eastAsia="el"/>
        </w:rPr>
        <w:footnoteReference w:id="237"/>
      </w:r>
      <w:r>
        <w:rPr>
          <w:b/>
          <w:bCs/>
          <w:lang w:val="el" w:eastAsia="el"/>
        </w:rPr>
        <w:t>Για την υπαγωγή στους αντίστοιχους συντελεστές τέλους ταξινόμησης των παραγράφων 2, 3 και 4 του παρόντος άρθρου, η διαπίστωση των εκπομπών διοξειδίου του άνθρακα και του ευρωπαϊκού προτύπου εκπομπών ρύπων (Euro), τις προδιαγραφές του οποίου πληροί εκ κατασκευής το όχημα, πραγματοποιείται από την αρμόδια τελωνειακή αρχή με βάση την προσκομιζόμενη σε αυτήν έγκριση τύπου ή το δελτίο κοινοποίησης έγκρισης τύπου και το αντίστοιχο πιστοποιητικό συμμόρφωσης του οχήματος.</w:t>
      </w:r>
    </w:p>
    <w:p>
      <w:pPr>
        <w:spacing w:before="240" w:after="240"/>
        <w:rPr>
          <w:lang w:val="el" w:eastAsia="el"/>
        </w:rPr>
      </w:pPr>
      <w:r>
        <w:rPr>
          <w:rStyle w:val="Hyperlink"/>
          <w:b/>
          <w:bCs/>
          <w:color w:val="000000"/>
          <w:sz w:val="20"/>
          <w:szCs w:val="20"/>
          <w:u w:val="none" w:color="0000EE"/>
          <w:vertAlign w:val="superscript"/>
          <w:lang w:val="el" w:eastAsia="el"/>
        </w:rPr>
        <w:footnoteReference w:id="238"/>
      </w:r>
      <w:r>
        <w:rPr>
          <w:b/>
          <w:bCs/>
          <w:lang w:val="el" w:eastAsia="el"/>
        </w:rPr>
        <w:t>Σε περίπτωση που δεν υπάρχει ταύτιση στοιχείων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θα γίνεται με βάση τις αναγραφόμενες εκπομπές διοξειδίου του άνθρακα και το αναγραφόμενο πρότυπο εκπομπών ρύπων που πληροί εκ κατασκευής το όχημα στο πιστοποιητικό συμμόρφωσης. Ειδικά ως προς την εκπεμπόμενη μάζα διοξειδίου του άνθρακα, έως 31.8.2019 θα λαμβάνονται υπόψη οι τιμές, σύμφωνα με τον νέο ευρωπαϊκό κύκλο οδήγησης (NEDC), ενώ, από 1.9.2019 και εφεξής, οι τιμές σύμφωνα με την παγκοσμίως εναρμονισμένη διαδικασία δοκιμής ελαφρών οχημάτων (WLTP).</w:t>
      </w:r>
    </w:p>
    <w:p>
      <w:pPr>
        <w:spacing w:before="240" w:after="240"/>
        <w:rPr>
          <w:lang w:val="el" w:eastAsia="el"/>
        </w:rPr>
      </w:pPr>
      <w:r>
        <w:rPr>
          <w:b/>
          <w:bCs/>
          <w:lang w:val="el" w:eastAsia="el"/>
        </w:rPr>
        <w:t>Προκειμένου για μεταχειρισμένα οχήματα, απαιτείται η προσκόμιση και της πρωτότυπης άδειας κυκλοφορίας αυτών που είχαν λάβει στην ξένη χώρα.</w:t>
      </w:r>
    </w:p>
    <w:p>
      <w:pPr>
        <w:spacing w:before="240" w:after="240"/>
        <w:rPr>
          <w:lang w:val="el" w:eastAsia="el"/>
        </w:rPr>
      </w:pPr>
      <w:r>
        <w:rPr>
          <w:b/>
          <w:bCs/>
          <w:lang w:val="el" w:eastAsia="el"/>
        </w:rPr>
        <w:t>Στις ειδικές περιπτώσεις οχημάτων που αυτά δεν διαθέτουν δικαιολογητικά έγγραφα του πρώτου εδαφίου της ίδιας παραγράφου, για την υπαγωγή του οχήματος στον αντίστοιχο συντελεστή τέλους ταξινόμησης, καθορίζονται, με κοινή απόφαση των Υπουργών Οικονομίας και Οικονομικών, Περιβάλλοντος, Χωροταξίας και Δημόσιων Εργων και Μεταφορών και Επικοινωνιών, οι διαδικασίες και τα προσκομιζόμενα στην αρμόδια τελωνειακή αρχή δικαιολογητικά έγγραφα για το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άλλη αναγκαία λεπτομέρεια για την εφαρμογή της παρούσας παραγράφου.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9"/>
      </w:r>
      <w:r>
        <w:rPr>
          <w:b/>
          <w:bCs/>
          <w:lang w:val="el" w:eastAsia="el"/>
        </w:rPr>
        <w:t>Άρθρο 121A</w:t>
      </w:r>
      <w:r>
        <w:rPr>
          <w:b/>
          <w:bCs/>
          <w:lang w:val="el" w:eastAsia="el"/>
        </w:rPr>
        <w:t xml:space="preserve"> </w:t>
      </w:r>
    </w:p>
    <w:p>
      <w:pPr>
        <w:pStyle w:val="Heading6"/>
        <w:spacing w:before="240" w:after="240"/>
        <w:rPr>
          <w:lang w:val="el" w:eastAsia="el"/>
        </w:rPr>
      </w:pPr>
      <w:r>
        <w:rPr>
          <w:b/>
          <w:bCs/>
          <w:lang w:val="el" w:eastAsia="el"/>
        </w:rPr>
        <w:t>Τέλος ταξινόμησης επιβατικών αυτοκίνητων που τίθενται στη διάθεση προσώπων εγκατεστημένων</w:t>
      </w:r>
    </w:p>
    <w:p>
      <w:pPr>
        <w:spacing w:before="240" w:after="240"/>
        <w:rPr>
          <w:lang w:val="el" w:eastAsia="el"/>
        </w:rPr>
      </w:pPr>
      <w:r>
        <w:rPr>
          <w:b/>
          <w:bCs/>
          <w:lang w:val="el" w:eastAsia="el"/>
        </w:rPr>
        <w:t>στη χώρα με χρηματοδοτική μίσθωση ή μίσθωση</w:t>
      </w:r>
    </w:p>
    <w:p>
      <w:pPr>
        <w:pStyle w:val="MainText"/>
        <w:spacing w:before="120" w:after="0"/>
        <w:rPr>
          <w:lang w:val="el" w:eastAsia="el"/>
        </w:rPr>
      </w:pPr>
      <w:r>
        <w:rPr>
          <w:b/>
          <w:bCs/>
          <w:lang w:val="el" w:eastAsia="el"/>
        </w:rPr>
        <w:t>1.</w:t>
      </w:r>
      <w:r>
        <w:rPr>
          <w:b/>
          <w:bCs/>
          <w:lang w:val="el" w:eastAsia="el"/>
        </w:rPr>
        <w:t xml:space="preserve"> Το τέλος ταξινόμησης του άρθρου 121 του παρόντος νόμου, για επιβατικά αυτοκίνητα ιδιωτικής χρήσης και αυτοκίνητα τύπου JEEP των δασμολογικών κλάσε-ων 87.03 και 87.04 της Συνδυασμένης Ονοματολογίας, αντίστοιχα, τα οποία τίθενται στη διάθεση προσώπων εγκατεστημένων στο εσωτερικό της χώρας με χρηματοδοτική μίσθωση ή μίσθωση, κατά την έννοια των περιπτώσεων θ` και ι` του άρθρου 120, επιβάλλεται ανάλογα με το χρονικό διάστημα της χρήσης τους στη χώρα και υπολογίζεται ως εξής:</w:t>
      </w:r>
    </w:p>
    <w:p>
      <w:pPr>
        <w:spacing w:before="240" w:after="240"/>
        <w:rPr>
          <w:lang w:val="el" w:eastAsia="el"/>
        </w:rPr>
      </w:pPr>
      <w:r>
        <w:rPr>
          <w:b/>
          <w:bCs/>
          <w:lang w:val="el" w:eastAsia="el"/>
        </w:rPr>
        <w:t>α. Για καινούργιο επιβατικό αυτοκίνητο, το τέλος ταξινόμησης ισούται με το ποσό που προκύπτει από την επιβολή του ποσοστού απομείωσης, λόγω ηλικίας και κατηγορίας αμαξώματος του άρθρου 126 του παρόντος νόμου, το οποίο αντιστοιχεί στη χρονική στιγμή λήξης του διαστήματος της χρηματοδοτικής μίσθωσης ή μίσθωσης, επί του συνολικού τέλους ταξινόμησης για το υπό κρίση αυτοκίνητο.</w:t>
      </w:r>
    </w:p>
    <w:p>
      <w:pPr>
        <w:spacing w:before="240" w:after="240"/>
        <w:rPr>
          <w:lang w:val="el" w:eastAsia="el"/>
        </w:rPr>
      </w:pPr>
      <w:r>
        <w:rPr>
          <w:b/>
          <w:bCs/>
          <w:lang w:val="el" w:eastAsia="el"/>
        </w:rPr>
        <w:t>β. Για μεταχειρισμένο επιβατικό αυτοκίνητο, το τέλος ταξινόμησης ισούται με το ποσό που προκύπτει από την επιβολή ποσοστού επί του συνολικού τέλους ταξινόμησης όμοιου καινούργιου αυτοκινήτου. Στην περίπτωση αυτή, το ποσοστό ισούται με τη διαφορά μεταξύ του ποσοστού απομείωσης, λόγω ηλικίας και αμαξώματος, κατά τη λήξη του διαστήματος της χρηματοδοτικής μίσθωσης ή μίσθωσης και του ποσοστού απομείωσης, λόγω ηλικίας και αμαξώματος, κατά την έναρξη της χρηματοδοτικής μίσθωσης ή μίσθωσης.</w:t>
      </w:r>
    </w:p>
    <w:p>
      <w:pPr>
        <w:spacing w:before="240" w:after="240"/>
        <w:rPr>
          <w:lang w:val="el" w:eastAsia="el"/>
        </w:rPr>
      </w:pPr>
      <w:r>
        <w:rPr>
          <w:b/>
          <w:bCs/>
          <w:lang w:val="el" w:eastAsia="el"/>
        </w:rPr>
        <w:t>Όταν δεν προκύπτει διαφορά μεταξύ των ως άνω ποσοστών, επιβάλλεται τέλος ταξινόμησης:</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18 μηνών, με συντελεστή 1 % επί του συνολικού τέλους ταξινόμησης για κάθε μήνα κυκλοφορίας και</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54 μηνών, με συντελεστή 0,5% επί του συνολικού τέλους ταξινόμησης για κάθε μήνα κυκλοφορίας.</w:t>
      </w:r>
    </w:p>
    <w:p>
      <w:pPr>
        <w:pStyle w:val="MainText"/>
        <w:spacing w:before="120" w:after="0"/>
        <w:rPr>
          <w:lang w:val="el" w:eastAsia="el"/>
        </w:rPr>
      </w:pPr>
      <w:r>
        <w:rPr>
          <w:b/>
          <w:bCs/>
          <w:lang w:val="el" w:eastAsia="el"/>
        </w:rPr>
        <w:t>2.</w:t>
      </w:r>
      <w:r>
        <w:rPr>
          <w:b/>
          <w:bCs/>
          <w:lang w:val="el" w:eastAsia="el"/>
        </w:rPr>
        <w:t xml:space="preserve"> Η είσπραξη της διαφοράς μεταξύ του συνολικού τέλους ταξινόμησης και του μέρους αυτού που καταβάλλεται αναλογικά, σύμφωνα με τις ως άνω περιπτώσεις α` και β`, αναστέλλεται μέχρι τη λήξη του χρονικού διαστήματος της χρηματοδοτικής μίσθωσης ή μίσθωσης. Τα επιβατικά αυτοκίνητα δύνανται να επαναποστέλονται σε άλλο κράτος - μέλος ή να εξάγονται σε τρίτη χώρα, με τήρηση των προβλεπόμενων διατυπώσεων και διαδικασιών, πριν από τη λήξη του χρονικού διαστήματος της χρηματοδοτικής μίσθωσης ή μίσθωσης, οπότε η ως άνω διαφορά διαγράφεται.</w:t>
      </w:r>
    </w:p>
    <w:p>
      <w:pPr>
        <w:pStyle w:val="MainText"/>
        <w:spacing w:before="120" w:after="0"/>
        <w:rPr>
          <w:lang w:val="el" w:eastAsia="el"/>
        </w:rPr>
      </w:pPr>
      <w:r>
        <w:rPr>
          <w:b/>
          <w:bCs/>
          <w:lang w:val="el" w:eastAsia="el"/>
        </w:rPr>
        <w:t>3.</w:t>
      </w:r>
      <w:r>
        <w:rPr>
          <w:b/>
          <w:bCs/>
          <w:lang w:val="el" w:eastAsia="el"/>
        </w:rPr>
        <w:t xml:space="preserve"> Υπόχρεο πρόσωπο, εκτός του ιδιοκτήτη, κατά την έννοια των διατάξεων του άρθρου 130 είναι και ο μισθωτής, ο οποίος κατέχει ή χρησιμοποιεί επιβατικό αυτοκίνητο με χρηματοδοτική μίσθωση ή μίσθωση.</w:t>
      </w:r>
    </w:p>
    <w:p>
      <w:pPr>
        <w:pStyle w:val="MainText"/>
        <w:spacing w:before="120" w:after="0"/>
        <w:rPr>
          <w:lang w:val="el" w:eastAsia="el"/>
        </w:rPr>
      </w:pPr>
      <w:r>
        <w:rPr>
          <w:b/>
          <w:bCs/>
          <w:lang w:val="el" w:eastAsia="el"/>
        </w:rPr>
        <w:t>4.</w:t>
      </w:r>
      <w:r>
        <w:rPr>
          <w:b/>
          <w:bCs/>
          <w:lang w:val="el" w:eastAsia="el"/>
        </w:rPr>
        <w:t xml:space="preserve"> Όταν δεν είναι γνωστό εκ των προτέρων το χρονικό διάστημα της χρήσης του αυτοκινήτου στη χώρα, ως αντικείμενο χρηματοδοτικής μίσθωσης ή μίσθωσης, το τέλος ταξινόμησης καταβάλλεται ολόκληρο από τον υπόχρεο και το μέρος αυτού που δεν αναλογεί στο χρονικό διάστημα της μίσθωσης και χρήσης στη χώρα, το οποίο υπολογίζεται αναλογικά με βάση τους συντελεστές απομείωσης λόγω ηλικίας, αμαξώματος και διανυθέντων χιλιομέτρων του άρθρου 126 του ιδίου νόμου, επιστρέφεται εντόκως, με βάση το επιτόκιο των εντόκων γραμματίων εκδόσεως Ελληνικού Δημοσίου τρίμηνης διάρκειας. Στις περιπτώσεις επιστροφής του τέλους ταξινόμησης, δικαιούχο πρόσωπο, εκτός από τον υπόχρεο, είναι και ο ιδιοκτήτης επιβατικού αυτοκινήτου το οποίο εκμισθώνει, στο πλαίσιο της επαγγελματικής του δραστηριότητας στη χώρα με χρηματοδοτική μίσθωση ή μίσθωση και για το οποίο έχει καταβληθεί όλο το τέλος ταξινόμησης. Η καταβολή σε οποιοδήποτε από τα ως άνω πρόσωπα απαλλάσσει το Δημόσιο από οποιαδήποτε ευθύνη.</w:t>
      </w:r>
    </w:p>
    <w:p>
      <w:pPr>
        <w:pStyle w:val="MainText"/>
        <w:spacing w:before="120" w:after="0"/>
        <w:rPr>
          <w:lang w:val="el" w:eastAsia="el"/>
        </w:rPr>
      </w:pPr>
      <w:r>
        <w:rPr>
          <w:b/>
          <w:bCs/>
          <w:lang w:val="el" w:eastAsia="el"/>
        </w:rPr>
        <w:t>5.</w:t>
      </w:r>
      <w:r>
        <w:rPr>
          <w:b/>
          <w:bCs/>
          <w:lang w:val="el" w:eastAsia="el"/>
        </w:rPr>
        <w:t xml:space="preserve"> Αυτοκίνητο για το οποίο το τέλος ταξινόμησης έχει καταβληθεί αναλογικά ή έχει επιστραφεί δεν δύναται να υπαχθεί στις διατάξεις της παραγράφου 6 του άρθρου 121 του παρόντος νόμου, περί απαλλαγής λόγω επαναταξινόμησης.</w:t>
      </w:r>
    </w:p>
    <w:p>
      <w:pPr>
        <w:pStyle w:val="MainText"/>
        <w:spacing w:before="120" w:after="0"/>
        <w:rPr>
          <w:lang w:val="el" w:eastAsia="el"/>
        </w:rPr>
      </w:pPr>
      <w:r>
        <w:rPr>
          <w:b/>
          <w:bCs/>
          <w:lang w:val="el" w:eastAsia="el"/>
        </w:rPr>
        <w:t>6.</w:t>
      </w:r>
      <w:r>
        <w:rPr>
          <w:b/>
          <w:bCs/>
          <w:lang w:val="el" w:eastAsia="el"/>
        </w:rPr>
        <w:t xml:space="preserve"> Το ελάχιστο χρονικό διάστημα χρήσης του επιβατικού αυτοκινήτου στη χώρα για σκοπούς υπαγωγής στις διατάξεις του παρόντος άρθρου δεν δύναται να υπολείπεται του ενός (1) μήνα. Για την έναρξη του χρονικού διαστήματος υπολογισμού του τέλους ταξινόμησης λαμβάνεται ο χρόνος γένεσης υποχρέωσης καταβολής του, κατά την έννοια των διατάξεων της παραγράφου 1 του άρθρου 128 του παρόντος νόμου, με εξαίρεση όταν το επιβατικό αυτοκίνητο έχει τεθεί σε ένα από τα ανασταλτικά καθεστώτα του άρθρου 133 του παρόντος νόμου, οπότε το χρονικό διάστημα υπαγωγής ξεκινά να υπολογίζεται με την έξοδο από τα καθεστώτα αυτά.</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Υποδομών, Μεταφορών και Δικτύων καθορίζονται οι όροι, οι προϋποθέσεις, τα έντυπα, τα απαιτούμενα δικαιολογη-τικά και η διαδικασία υπαγωγής των επιβατικών αυτοκινήτων στις ρυθμίσεις του παρόντος άρθρου με αναλογική καταβολή ή επιστροφή του τέλους ταξινόμησης, τα απαιτούμενα παράβολα,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8.</w:t>
      </w:r>
      <w:r>
        <w:rPr>
          <w:b/>
          <w:bCs/>
          <w:lang w:val="el" w:eastAsia="el"/>
        </w:rPr>
        <w:t xml:space="preserve"> Οι διατάξεις του παρόντος άρθρου εφαρμόζονται δέκα (10) ημέρες από την έκδοση της κοινής υπουργικής απόφασης της παραγράφου 7 και για αυτοκίνητα για τα</w:t>
      </w:r>
    </w:p>
    <w:p>
      <w:pPr>
        <w:spacing w:before="240" w:after="240"/>
        <w:rPr>
          <w:lang w:val="el" w:eastAsia="el"/>
        </w:rPr>
      </w:pPr>
      <w:r>
        <w:rPr>
          <w:b/>
          <w:bCs/>
          <w:lang w:val="el" w:eastAsia="el"/>
        </w:rPr>
        <w:t>οποία το τέλος ταξινόμησης βεβαιώνεται, μετά την ημερομηνία αυτή.</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40"/>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w:t>
      </w:r>
    </w:p>
    <w:p>
      <w:pPr>
        <w:spacing w:before="240" w:after="240"/>
        <w:rPr>
          <w:lang w:val="el" w:eastAsia="el"/>
        </w:rPr>
      </w:pPr>
      <w:r>
        <w:rPr>
          <w:b/>
          <w:bCs/>
          <w:lang w:val="el" w:eastAsia="el"/>
        </w:rPr>
        <w:t>ευνοϊκά φορολογικά καθεστώτα.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41"/>
      </w:r>
      <w:r>
        <w:rPr>
          <w:b/>
          <w:bCs/>
          <w:lang w:val="el" w:eastAsia="el"/>
        </w:rPr>
        <w:t>Με απόφαση του Υπουργού Οικονομίας και Οικονομικών καθορίζονται οι όροι, οι προϋποθέσεις και οι αναγκαίες λεπτομέρειες 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2"/>
      </w:r>
      <w:r>
        <w:rPr>
          <w:rStyle w:val="Hyperlink"/>
          <w:b/>
          <w:bCs/>
          <w:color w:val="000000"/>
          <w:sz w:val="20"/>
          <w:szCs w:val="20"/>
          <w:u w:val="none" w:color="0000EE"/>
          <w:vertAlign w:val="superscript"/>
          <w:lang w:val="el" w:eastAsia="el"/>
        </w:rPr>
        <w:footnoteReference w:id="243"/>
      </w:r>
      <w:r>
        <w:rPr>
          <w:rStyle w:val="Hyperlink"/>
          <w:b/>
          <w:bCs/>
          <w:color w:val="000000"/>
          <w:sz w:val="20"/>
          <w:szCs w:val="20"/>
          <w:u w:val="none" w:color="0000EE"/>
          <w:vertAlign w:val="superscript"/>
          <w:lang w:val="el" w:eastAsia="el"/>
        </w:rPr>
        <w:footnoteReference w:id="244"/>
      </w:r>
      <w:r>
        <w:rPr>
          <w:rStyle w:val="Hyperlink"/>
          <w:b/>
          <w:bCs/>
          <w:color w:val="000000"/>
          <w:sz w:val="20"/>
          <w:szCs w:val="20"/>
          <w:u w:val="none" w:color="0000EE"/>
          <w:vertAlign w:val="superscript"/>
          <w:lang w:val="el" w:eastAsia="el"/>
        </w:rPr>
        <w:footnoteReference w:id="245"/>
      </w: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και οι βάσεις τους της δασμολογικής κλάσης 87.04 της Συνδυασμένης Ονοματολογίας και τα αυτοκίνητα οχήματα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Δ.Κ. 87.03 της Σ.Ο., τα οποία πληρούν εκ κατασκευής τις προδιαγραφές του ισχύοντος, ως προς την ταξινόμηση, ευρωπαϊκού προτύπου εκπομπών ρύπων (Euro) και του αμέσως προηγούμενου,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μέχρι και 3,5 τόνους, ποσοστό οκτώ τοις εκατό (8%).</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 ποσοστό δέκα τοις εκατό (10%).</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ποσοστό πέντε τοις εκατό (5%).</w:t>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Δ.Κ. 87.03, ποσοστό οκτώ τοις εκατό (8%).</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Οι συντελεστές των προηγούμενων περιπτώσεων α` έως και ε` προσαυξάνονται κατά ποσοστό τριάντα τοις εκατό (30%) προκειμένου για αυτοκίνητα που δεν πληρούν εκ κατασκευής τις προδιαγραφές του ισχύοντος, ως προς την ταξινόμηση, ευρωπαϊκού προτύπου εκπομπών ρύπων (Euro) και του αμέσως προηγούμενου. </w:t>
      </w:r>
    </w:p>
    <w:p>
      <w:pPr>
        <w:spacing w:before="240" w:after="240"/>
        <w:rPr>
          <w:lang w:val="el" w:eastAsia="el"/>
        </w:rPr>
      </w:pPr>
      <w:r>
        <w:rPr>
          <w:rStyle w:val="Hyperlink"/>
          <w:b/>
          <w:bCs/>
          <w:color w:val="000000"/>
          <w:sz w:val="20"/>
          <w:szCs w:val="20"/>
          <w:u w:val="none" w:color="0000EE"/>
          <w:vertAlign w:val="superscript"/>
          <w:lang w:val="el" w:eastAsia="el"/>
        </w:rPr>
        <w:footnoteReference w:id="246"/>
      </w:r>
      <w:r>
        <w:rPr>
          <w:b/>
          <w:bCs/>
          <w:lang w:val="el" w:eastAsia="el"/>
        </w:rPr>
        <w:t>Οι συντελεστές για οχήματα της περίπτωσης η`, τα οποία δεν πληρούν εκ κατασκευής τις προδιαγραφές της οδηγίας 92/61/ΕΚ ή μεταγενέστερης προσαυξάνονται κατά ποσοστό τριάντα τοις εκατό (30%).</w:t>
      </w:r>
    </w:p>
    <w:p>
      <w:pPr>
        <w:pStyle w:val="StructureList1"/>
        <w:spacing w:before="120" w:after="0"/>
        <w:rPr>
          <w:lang w:val="el" w:eastAsia="el"/>
        </w:rPr>
      </w:pPr>
      <w:r>
        <w:rPr>
          <w:b/>
          <w:bCs/>
          <w:lang w:val="el" w:eastAsia="el"/>
        </w:rPr>
        <w:t>ζ)</w:t>
      </w:r>
      <w:r>
        <w:rPr>
          <w:b/>
          <w:bCs/>
          <w:lang w:val="en" w:eastAsia="en"/>
        </w:rPr>
        <w:tab/>
      </w:r>
      <w:r>
        <w:rPr>
          <w:b/>
          <w:bCs/>
          <w:lang w:val="el" w:eastAsia="el"/>
        </w:rPr>
        <w:t>Για τα αυτοκίνητα οχήματα που καθορίζονται στις περιπτώσεις β` και ε`, τα οποία με την προσθήκη στον ανοικτό χώρο φόρτωσης καλύμματος από άκαμπτο στερεό υλικό, διασκευάζονται σε οχήματα με μόνιμο κλειστό αμάξωμα των δασμολογικών κλάσεων 87.04 και 87.03, εφαρμόζονται οι διατάξεις του ν. 1573/1985 (A` 201).</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της περίπτωσης β`, καθώς και στον ανοικτό χώρο φόρτωσης των οχημάτων της περίπτωσης ε`, καλύμματος από άκαμπτα στερεά υλικά, ανεξάρτητα αν αφαιρείται εύκολα ή δύσκολα ή αν το πίσω μέρος του αμαξώματος παραμένει ανοικτό.</w:t>
      </w:r>
    </w:p>
    <w:p>
      <w:pPr>
        <w:pStyle w:val="StructureList1"/>
        <w:spacing w:before="120" w:after="0"/>
        <w:rPr>
          <w:lang w:val="el" w:eastAsia="el"/>
        </w:rPr>
      </w:pPr>
      <w:r>
        <w:rPr>
          <w:b/>
          <w:bCs/>
          <w:lang w:val="el" w:eastAsia="el"/>
        </w:rPr>
        <w:t>η)</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w:t>
      </w:r>
    </w:p>
    <w:p>
      <w:pPr>
        <w:spacing w:before="240" w:after="240"/>
        <w:rPr>
          <w:lang w:val="el" w:eastAsia="el"/>
        </w:rPr>
      </w:pPr>
      <w:r>
        <w:rPr>
          <w:b/>
          <w:bCs/>
          <w:lang w:val="el" w:eastAsia="el"/>
        </w:rPr>
        <w:t>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3%</w:t>
      </w:r>
    </w:p>
    <w:p>
      <w:pPr>
        <w:spacing w:before="240" w:after="240"/>
        <w:rPr>
          <w:lang w:val="el" w:eastAsia="el"/>
        </w:rPr>
      </w:pPr>
      <w:r>
        <w:rPr>
          <w:b/>
          <w:bCs/>
          <w:lang w:val="el" w:eastAsia="el"/>
        </w:rPr>
        <w:t>Από 501 μέχρι 900 κυβικά εκατοστά 6%</w:t>
      </w:r>
    </w:p>
    <w:p>
      <w:pPr>
        <w:spacing w:before="240" w:after="240"/>
        <w:rPr>
          <w:lang w:val="el" w:eastAsia="el"/>
        </w:rPr>
      </w:pPr>
      <w:r>
        <w:rPr>
          <w:b/>
          <w:bCs/>
          <w:lang w:val="el" w:eastAsia="el"/>
        </w:rPr>
        <w:t>Από 901 κυβικά εκατοστά και πάνω 10%</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το αναφερόμενο στην περίπτωση γ` της προηγούμενης παραγράφου ποσοστό τέλους τριπλασιάζεται και υπολογίζεται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Για την επιβολή του τέλους ταξινόμησης των αυτοκινήτων των περιπτώσεων β`, γ` και των βάσεων αυτών, καθώς και των περιπτώσεων ε` και η` της παραγράφου 1, η φορολογητέα αξία διαμορφώνεται με βάση τη λιανική τιμή πώλησης προ φόρων.</w:t>
      </w:r>
    </w:p>
    <w:p>
      <w:pPr>
        <w:spacing w:before="240" w:after="240"/>
        <w:rPr>
          <w:lang w:val="el" w:eastAsia="el"/>
        </w:rPr>
      </w:pPr>
      <w:r>
        <w:rPr>
          <w:b/>
          <w:bCs/>
          <w:lang w:val="el" w:eastAsia="el"/>
        </w:rPr>
        <w:t>Για τα μεταχειρισμένα αυτοκίνητα, η ως άνω τιμή λιανικής πώλησης προ φόρων απομοιώνεται με βάση τα στοιχεία που η αρμόδια Τελωνειακή Υπηρεσία Αξιών διαθέτει και η τελική φορολογητέα αξία καθορίζεται από την υπηρεσία αυτή.</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περίπτωσης α` της παρ. 1 και των βάσεων αυτών,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 αγοράς).</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(Α`265) υποβάλλονται αντί των φορολογικών επιβαρύνσεων που προβλέπονται από το ν. 1573/1985 (Α`201) σε τέλος ταξινόμησης, το ύψος του οποίου ορίζεται ως εξής:</w:t>
      </w:r>
    </w:p>
    <w:p>
      <w:pPr>
        <w:spacing w:before="240" w:after="240"/>
        <w:rPr>
          <w:lang w:val="el" w:eastAsia="el"/>
        </w:rPr>
      </w:pPr>
      <w:r>
        <w:rPr>
          <w:b/>
          <w:bCs/>
          <w:lang w:val="el" w:eastAsia="el"/>
        </w:rPr>
        <w:t>-Για τα κυλινδρισμού κινητήρα από 901 - 1.400 κυβ. εκατοστά, επτακόσια τριάντα τρία (733) ευρώ.</w:t>
      </w:r>
    </w:p>
    <w:p>
      <w:pPr>
        <w:spacing w:before="240" w:after="240"/>
        <w:rPr>
          <w:lang w:val="el" w:eastAsia="el"/>
        </w:rPr>
      </w:pPr>
      <w:r>
        <w:rPr>
          <w:b/>
          <w:bCs/>
          <w:lang w:val="el" w:eastAsia="el"/>
        </w:rPr>
        <w:t>-Για τα κυλινδρισμού κινητήρα από 1.401 - 1.800 κυβ. εκατοστά, χίλια είκοσι επτά (1.027) ευρώ.</w:t>
      </w:r>
    </w:p>
    <w:p>
      <w:pPr>
        <w:spacing w:before="240" w:after="240"/>
        <w:rPr>
          <w:lang w:val="el" w:eastAsia="el"/>
        </w:rPr>
      </w:pPr>
      <w:r>
        <w:rPr>
          <w:b/>
          <w:bCs/>
          <w:lang w:val="el" w:eastAsia="el"/>
        </w:rPr>
        <w:t>-Για τα κυλινδρισμού κινητήρα από 1.801 - 2.000 κυβ. εκατοστά, χίλια τετρακόσια εξήντα επτά (1.467) ευρώ.</w:t>
      </w:r>
    </w:p>
    <w:p>
      <w:pPr>
        <w:spacing w:before="240" w:after="240"/>
        <w:rPr>
          <w:lang w:val="el" w:eastAsia="el"/>
        </w:rPr>
      </w:pP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και τα οχήματα της περίπτωσης ε` της παραγράφου 1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Τα ανοικτά ή κλειστά φορτηγά αυτοκίνητα μικτού βάρους άνω των 3,5 τόνων που προέρχονται από διασκευή ελκυστήρων της δασμολογικής κλάσης (δ.κ.) 87.1, επιβατικών αυτοκινήτων (λεωφορείων) της δ.κ. 87.2,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(Α` 201),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τόνους μέχρι και 7,5 τόνους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τόνους μέχρι και 14 τόνους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τόνους 2.500 ευρώ. Τα παραπάνω ποσά προσαυξάνονται κατά πεντακόσια (500) ευρώ στις περιπτώσεις που από τη μετασκευή προκύπτει ανατρεπόμενο ή βυτιοφόρο όχημα</w:t>
      </w:r>
    </w:p>
    <w:p>
      <w:pPr>
        <w:pStyle w:val="MainText"/>
        <w:spacing w:before="120" w:after="0"/>
        <w:rPr>
          <w:lang w:val="el" w:eastAsia="el"/>
        </w:rPr>
      </w:pPr>
      <w:r>
        <w:rPr>
          <w:b/>
          <w:bCs/>
          <w:lang w:val="el" w:eastAsia="el"/>
        </w:rPr>
        <w:t>8.</w:t>
      </w:r>
      <w:r>
        <w:rPr>
          <w:b/>
          <w:bCs/>
          <w:lang w:val="el" w:eastAsia="el"/>
        </w:rPr>
        <w:t xml:space="preserve">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καθορίζονται με απόφαση του Υπουργού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Ένωσης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rStyle w:val="Hyperlink"/>
          <w:b/>
          <w:bCs/>
          <w:color w:val="000000"/>
          <w:sz w:val="20"/>
          <w:szCs w:val="20"/>
          <w:u w:val="none" w:color="0000EE"/>
          <w:vertAlign w:val="superscript"/>
          <w:lang w:val="el" w:eastAsia="el"/>
        </w:rPr>
        <w:footnoteReference w:id="247"/>
      </w:r>
      <w:r>
        <w:rPr>
          <w:b/>
          <w:bCs/>
          <w:lang w:val="el" w:eastAsia="el"/>
        </w:rPr>
        <w:t>Για την επιβολή του τέλους ταξινόμησης, ως φορολογητέα αξία για τα φορτηγά οχήματα της δασμολογικής κλάσης 87.04 της Συνδυασμένης Ονοματολογίας που προκύπτουν από διασκευή, κατά τα ανωτέρω, λαμβάνεται υπόψη η πράγματι πληρωθείσα ή πληρωτέα αξία του αρχικού οχήματος και τα λοιπά στοιχεία της παραγράφου 4, στα οποία προστίθεται και το κόστος της διασκευής, εφόσον το τελικό παραγόμενο φορτηγό αυτοκίνητο έχει μικτό βάρος πάνω από 3,5 τόνους ή η λιανική τιμή πώλησης προ φόρων του τελικού παραγό- μενου φορτηγού αυτοκίνητου, εφόσον έχει μικτό βάρος μέχρι και 3,5 τόνους.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Οικονομικών, Περιβάλλοντος και Ενέργειας, Υποδομών, Μεταφορών και Δικτύων καθορίζονται οι διαδικασίες και τα απαραίτητα δικαιολογητικά για τη διαπίστωση του προτύπου εκπομπών ρύπων (Euro),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10.</w:t>
      </w:r>
      <w:r>
        <w:rPr>
          <w:b/>
          <w:bCs/>
          <w:lang w:val="el" w:eastAsia="el"/>
        </w:rPr>
        <w:t xml:space="preserve"> Τα δικαιολογητικά στοιχεία και κάθε άλλη αναγκαία λεπτομέρεια, για τον προσδιορισμό της φορολογητέας αξίας των φορτηγών οχημάτων ανεξαρτήτου προελεύσεως ή των εγχωρίως παραγομένων, καθορίζονται με την απόφαση του πρώτου εδαφίου της παραγράφου 4 του άρθρου 126.</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248"/>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 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0"/>
      </w:r>
      <w:r>
        <w:rPr>
          <w:rStyle w:val="Hyperlink"/>
          <w:b/>
          <w:bCs/>
          <w:color w:val="000000"/>
          <w:sz w:val="20"/>
          <w:szCs w:val="20"/>
          <w:u w:val="none" w:color="0000EE"/>
          <w:vertAlign w:val="superscript"/>
          <w:lang w:val="el" w:eastAsia="el"/>
        </w:rPr>
        <w:footnoteReference w:id="251"/>
      </w: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52"/>
      </w:r>
      <w:r>
        <w:rPr>
          <w:b/>
          <w:bCs/>
          <w:lang w:val="el" w:eastAsia="el"/>
        </w:rPr>
        <w:t>Η φορολογητέα αξία για την επιβολή του τέλους ταξινόμησης των επιβατικών αυτοκινήτων διαμορφώνεται με βάση τη λιανική τιμή πώλησης προ φόρων του αυτοκινήτου, κατά τύπο, παραλλαγή και έκδοση αυτού, όπως αυτή προκύπτει από τους υποβαλλόμενους τιμοκαταλόγους στην αρμόδια Τελωνειακή Αρχή από τους επίσημους αντιπρόσωπους/διανομείς αυτοκινήτων, συμπεριλαμβανομένης και της αξίας του προαιρετικού (EXTRA) αυτού εξοπλισμού.</w:t>
      </w:r>
    </w:p>
    <w:p>
      <w:pPr>
        <w:spacing w:before="240" w:after="240"/>
        <w:rPr>
          <w:lang w:val="el" w:eastAsia="el"/>
        </w:rPr>
      </w:pPr>
      <w:r>
        <w:rPr>
          <w:b/>
          <w:bCs/>
          <w:lang w:val="el" w:eastAsia="el"/>
        </w:rPr>
        <w:t>Για μεταχειρισμένα επιβατικά αυτοκίνητα, λαμβάνεται υπόψη η κατά τα παραπάνω τιμή λιανικής πώλησης όμοιου κατά μάρκα, τύπο, παραλλαγή και έκδοση καινούργιου επιβατικού αυτοκινήτου με τον ίδιο εξοπλισμό, κατά το χρόνο κυκλοφορίας του στη διεθνή αγορά, αφού αυτή μειωθεί κατά το ποσοστό απομείωσης που ορίζεται ανάλογα με την ηλικία του και την κατηγορία αμαξώματος.</w:t>
      </w:r>
    </w:p>
    <w:p>
      <w:pPr>
        <w:spacing w:before="240" w:after="240"/>
        <w:rPr>
          <w:lang w:val="el" w:eastAsia="el"/>
        </w:rPr>
      </w:pPr>
      <w:r>
        <w:rPr>
          <w:b/>
          <w:bCs/>
          <w:lang w:val="el" w:eastAsia="el"/>
        </w:rPr>
        <w:t>Με απόφαση του Υπουργού Οικονομικών, καθορίζονται τα ως άνω ποσοστά ανά εξάμηνο και έτος ηλικίας του αυτοκινήτου και ανά κατηγορία αμαξώματος. Τα στοιχεία που λαμβάνονται υπόψη για τον καθορισμό των εν λόγω ποσοστών, καθώς και ο τρόπος προσδιορισμού των ποσοστών των ενδιάμεσων μηνών καθορίζονται με την απόφαση της παραγράφου 4 του παρόντος άρθρου.</w:t>
      </w:r>
    </w:p>
    <w:p>
      <w:pPr>
        <w:spacing w:before="240" w:after="240"/>
        <w:rPr>
          <w:lang w:val="el" w:eastAsia="el"/>
        </w:rPr>
      </w:pPr>
      <w:r>
        <w:rPr>
          <w:b/>
          <w:bCs/>
          <w:lang w:val="el" w:eastAsia="el"/>
        </w:rPr>
        <w:t>Η φορολογητέα αξία, μετά την ως άνω απομείωση, μειώνεται περαιτέρω ποσοστιαία με χρήση συντελεστή 0,10 για κάθε 500 επιπλέον χιλιόμετρα που έχουν διανυθεί από τον ετήσιο μέσο όρο.</w:t>
      </w:r>
    </w:p>
    <w:p>
      <w:pPr>
        <w:spacing w:before="240" w:after="240"/>
        <w:rPr>
          <w:lang w:val="el" w:eastAsia="el"/>
        </w:rPr>
      </w:pPr>
      <w:r>
        <w:rPr>
          <w:b/>
          <w:bCs/>
          <w:lang w:val="el" w:eastAsia="el"/>
        </w:rPr>
        <w:t>Η απομείωση βάσει διανυ- θέντων χιλιομέτρων δεν πρέπει να ξεπερνά το 10% της αξίας που προσδιορίζεται μετά την ως άνω απομείωση.</w:t>
      </w:r>
    </w:p>
    <w:p>
      <w:pPr>
        <w:spacing w:before="240" w:after="240"/>
        <w:rPr>
          <w:lang w:val="el" w:eastAsia="el"/>
        </w:rPr>
      </w:pPr>
      <w:r>
        <w:rPr>
          <w:b/>
          <w:bCs/>
          <w:lang w:val="el" w:eastAsia="el"/>
        </w:rPr>
        <w:t>Ο ετήσιος μέσος όρος διανυθέντων χιλιομέτρων, για σκοπούς εφαρμογής της παρούσας διάταξης, ορίζεται στις δεκαπέντε χιλιάδες (15.000). Η συνολική απομείωση, περιλαμβανόμενης και της απομείωσης λόγω διανυθέντων χιλιομέτρων πέραν του μέσου όρου, δεν δύναται να υπερβαίνει το 95%.</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παρόντα Κώδικα.</w:t>
      </w:r>
    </w:p>
    <w:p>
      <w:pPr>
        <w:spacing w:before="240" w:after="240"/>
        <w:rPr>
          <w:lang w:val="el" w:eastAsia="el"/>
        </w:rPr>
      </w:pPr>
      <w:r>
        <w:rPr>
          <w:rStyle w:val="Hyperlink"/>
          <w:b/>
          <w:bCs/>
          <w:color w:val="000000"/>
          <w:sz w:val="20"/>
          <w:szCs w:val="20"/>
          <w:u w:val="none" w:color="0000EE"/>
          <w:vertAlign w:val="superscript"/>
          <w:lang w:val="el" w:eastAsia="el"/>
        </w:rPr>
        <w:footnoteReference w:id="253"/>
      </w:r>
      <w:r>
        <w:rPr>
          <w:rStyle w:val="Hyperlink"/>
          <w:b/>
          <w:bCs/>
          <w:color w:val="000000"/>
          <w:sz w:val="20"/>
          <w:szCs w:val="20"/>
          <w:u w:val="none" w:color="0000EE"/>
          <w:vertAlign w:val="superscript"/>
          <w:lang w:val="el" w:eastAsia="el"/>
        </w:rPr>
        <w:footnoteReference w:id="254"/>
      </w:r>
      <w:r>
        <w:rPr>
          <w:b/>
          <w:bCs/>
          <w:lang w:val="el" w:eastAsia="el"/>
        </w:rPr>
        <w:t>Με όμοια απόφαση συνιστάται Ειδική Επιτροπή για τον προσδιορισμό της φορολογητέας αξίας για την επιβολή του τέλους ταξινόμησης των αυτοκινήτων οχημάτων της επόμενης παραγράφου 5 του παρόντος άρθρου.</w:t>
      </w:r>
    </w:p>
    <w:p>
      <w:pPr>
        <w:pStyle w:val="MainText"/>
        <w:spacing w:before="120" w:after="0"/>
        <w:rPr>
          <w:lang w:val="el" w:eastAsia="el"/>
        </w:rPr>
      </w:pPr>
      <w:r>
        <w:rPr>
          <w:b/>
          <w:bCs/>
          <w:lang w:val="el" w:eastAsia="el"/>
        </w:rPr>
        <w:t>5.</w:t>
      </w:r>
      <w:r>
        <w:rPr>
          <w:b/>
          <w:bCs/>
          <w:lang w:val="el" w:eastAsia="el"/>
        </w:rPr>
        <w:t xml:space="preserve"> Σε περίπτωση που ο κάτοχος μεταχειρισμένου επιβατικού αυτοκίνητου δεν αποδέχεται το ποσό του τέλους ταξινόμησης που προσδιορίζεται με βάση τους συντελεστές που προσδιορίζονται με τις διατάξεις του άρθρου 121 και την κλίμακα απομείωσης της αξίας που προσδιορίζεται από τις διατάξεις </w:t>
      </w:r>
      <w:r>
        <w:rPr>
          <w:rStyle w:val="Hyperlink"/>
          <w:b/>
          <w:bCs/>
          <w:color w:val="000000"/>
          <w:sz w:val="20"/>
          <w:szCs w:val="20"/>
          <w:u w:val="none" w:color="0000EE"/>
          <w:vertAlign w:val="superscript"/>
          <w:lang w:val="el" w:eastAsia="el"/>
        </w:rPr>
        <w:footnoteReference w:id="255"/>
      </w:r>
      <w:r>
        <w:rPr>
          <w:b/>
          <w:bCs/>
          <w:lang w:val="el" w:eastAsia="el"/>
        </w:rPr>
        <w:t>της παραγράφου 1 του παρόντος η φορολογητέα αξία προσδιορίζεται από την επιτροπή της προηγουμένης παραγράφου 4, σε τρόπο ώστε το προς καταβολή τέλος ταξινόμησης να ισούται με το υπολειπόμενο ποσό του τέλους αυτού που ενσωματώνεται σε όχημα της αυτής μάρκας, τύπου και συστήματος κίνησης ή ελλείψει αυτών σε όχημα παρόμοιο ή παρεμφερές, το οποίο έχει τεθεί σε κυκλοφορία στην Ελλάδα κατά το αυτό έτος της πρώτης κυκλοφορίας του αυτοκίνητου σε Κράτος - Μέλος της Ευρωπαϊκής Ένωσης.</w:t>
      </w:r>
    </w:p>
    <w:p>
      <w:pPr>
        <w:spacing w:before="240" w:after="240"/>
        <w:rPr>
          <w:lang w:val="el" w:eastAsia="el"/>
        </w:rPr>
      </w:pPr>
      <w:r>
        <w:rPr>
          <w:b/>
          <w:bCs/>
          <w:lang w:val="el" w:eastAsia="el"/>
        </w:rPr>
        <w:t>Για την εκτίμηση της πραγματικής κατάστασης του αυτοκίνητου προηγείται εξέταση από επιτροπές εμπειρογνωμόνων, που συγκροτούνται στην έδρα των Τελωνειακών Περιφερειών και αποτελούνται από έναν εκπρόσωπο της Τελωνειακής Περιφερείας, έναν εκπρόσωπο της Υπηρεσίας Μεταφορών και Επικοινωνιών της οικείας Νομαρχιακής Αυτοδιοίκησης</w:t>
      </w:r>
      <w:r>
        <w:rPr>
          <w:rStyle w:val="Hyperlink"/>
          <w:b/>
          <w:bCs/>
          <w:color w:val="000000"/>
          <w:sz w:val="20"/>
          <w:szCs w:val="20"/>
          <w:u w:val="none" w:color="0000EE"/>
          <w:vertAlign w:val="superscript"/>
          <w:lang w:val="el" w:eastAsia="el"/>
        </w:rPr>
        <w:footnoteReference w:id="256"/>
      </w:r>
      <w:r>
        <w:rPr>
          <w:b/>
          <w:bCs/>
          <w:lang w:val="el" w:eastAsia="el"/>
        </w:rPr>
        <w:t xml:space="preserve"> και τον κάτοχο του οχήματος ή τον εξουσιοδοτημένο εκπρόσωπό του.</w:t>
      </w:r>
    </w:p>
    <w:p>
      <w:pPr>
        <w:spacing w:before="240" w:after="240"/>
        <w:rPr>
          <w:lang w:val="el" w:eastAsia="el"/>
        </w:rPr>
      </w:pPr>
      <w:r>
        <w:rPr>
          <w:b/>
          <w:bCs/>
          <w:lang w:val="el" w:eastAsia="el"/>
        </w:rPr>
        <w:t>Για την εξέταση του οχήματος από τις παραπάνω επιτροπές των εμπειρογνωμόνων απαιτείται αίτηση του ενδιαφερομένου και καταβολή παραβόλου, το ύψος του οποίου καθορίζεται με απόφαση Υπουργού Οικονομίας και Οικονομικών.</w:t>
      </w:r>
    </w:p>
    <w:p>
      <w:pPr>
        <w:spacing w:before="240" w:after="240"/>
        <w:rPr>
          <w:lang w:val="el" w:eastAsia="el"/>
        </w:rPr>
      </w:pPr>
      <w:r>
        <w:rPr>
          <w:b/>
          <w:bCs/>
          <w:lang w:val="el" w:eastAsia="el"/>
        </w:rPr>
        <w:t>Με όμοια απόφαση καθορίζονται τα στοιχεία που πρέπει να λαμβάνονται υπόψη από τις επιτροπές αυτές για την εκτίμηση της πραγματικής κατάστασης του αυτοκινήτου, καθώς και κάθε άλλη αναγκαία λεπτομέρεια για την εφαρμογή της παρούσας παραγράφου.</w:t>
      </w:r>
    </w:p>
    <w:p>
      <w:pPr>
        <w:spacing w:before="240" w:after="240"/>
        <w:rPr>
          <w:lang w:val="el" w:eastAsia="el"/>
        </w:rPr>
      </w:pPr>
      <w:r>
        <w:rPr>
          <w:b/>
          <w:bCs/>
          <w:lang w:val="el" w:eastAsia="el"/>
        </w:rPr>
        <w:t>Η ισχύς της παραγράφου αυτής αρχίζει από την 1η Ιανουαρίου 2004.</w:t>
      </w:r>
      <w:r>
        <w:rPr>
          <w:rStyle w:val="Hyperlink"/>
          <w:b/>
          <w:bCs/>
          <w:color w:val="000000"/>
          <w:sz w:val="20"/>
          <w:szCs w:val="20"/>
          <w:u w:val="none" w:color="0000EE"/>
          <w:vertAlign w:val="superscript"/>
          <w:lang w:val="el" w:eastAsia="el"/>
        </w:rPr>
        <w:footnoteReference w:id="257"/>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58"/>
      </w:r>
      <w:r>
        <w:rPr>
          <w:b/>
          <w:bCs/>
          <w:lang w:val="el" w:eastAsia="el"/>
        </w:rPr>
        <w:t>Το τέλος ταξινόμησης για τα επιβατικά αυτοκίνητα του άρθρου 121α, καθίσταται απαιτητό και καταβάλλεται πριν από τη θέση αυτών σε κυκλοφορία και το αργότερο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 της ειδικής δήλωσης. Εφόσον δεν συντρέχει για τα εν λόγω αυτοκίνητα υποχρέωση ταξινόμησης, το τέλος ταξινόμησης καθίσταται απαιτητό 5 ημέρες από την είσοδο τους στη χώρα και ως θέση σε κυκλοφορία, νοείται η χρήση του οδικού δικτύου της χώρας.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60"/>
      </w:r>
      <w:r>
        <w:rPr>
          <w:b/>
          <w:bCs/>
          <w:lang w:val="el" w:eastAsia="el"/>
        </w:rPr>
        <w:t>Τα κοινοτικά οχήματα που αναφέρονται στα άρθρα 121,121α, 122, 123 και 124 του παρόντος Κώδικα, καθώς και οι βάσεις των δασμολογικών κλάσεων 87.02 και 87.06 της Συνδυασμένης Ονοματολογίας, τα οποία εισέρχονται στο εσωτερικό της χώρας, δηλώνονται αμέσως στην πλη- σιέστερη Τελωνειακή Αρχή..</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61"/>
      </w:r>
      <w:r>
        <w:rPr>
          <w:b/>
          <w:bCs/>
          <w:lang w:val="el" w:eastAsia="el"/>
        </w:rPr>
        <w:t>Όταν τα παραπάνω οχήματα, μεταφέρονται έμφορτα ή αυτοδύναμα στο εσωτερικό της χώρας, δηλώνονται αμέσως από το πρόσωπο που πραγματοποίησε την είσοδο αυτή ή τον ιδιοκτήτη των οχημάτων ή τον παραλήπτη ή τον νόμιμο αντιπρόσωπό τους.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62"/>
      </w:r>
      <w:r>
        <w:rPr>
          <w:b/>
          <w:bCs/>
          <w:lang w:val="el" w:eastAsia="el"/>
        </w:rPr>
        <w:t>Κατά τη δήλωση των οχημάτων της παραγράφου 1 καθορίζεται η αναγκαία προθεσμία για τη μεταφορά των οχημάτων στον δηλωθέντα πρώτο ή τελικό τόπο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63"/>
      </w:r>
      <w:r>
        <w:rPr>
          <w:b/>
          <w:bCs/>
          <w:lang w:val="el" w:eastAsia="el"/>
        </w:rPr>
        <w:t>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προύπόθεση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64"/>
      </w:r>
      <w:r>
        <w:rPr>
          <w:b/>
          <w:bCs/>
          <w:lang w:val="el" w:eastAsia="el"/>
        </w:rPr>
        <w:t>Μετά από αίτηση του ιδιοκτήτη του οχήματος ή του νόμιμου αντιπροσώπου του επιτρέπεται η ακύρωση της Ειδικής Δήλωσης, εφόσον συντρέχει συγνωστή νομική ή πραγματική πλάνη αυτού, που συνεπάγεται αδυναμία ταξινόμησης του οχήματος από τις αρμόδιες υπηρεσίες του Υπουργείου Μεταφορών και Επικοινωνιών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65"/>
      </w:r>
      <w:r>
        <w:rPr>
          <w:b/>
          <w:bCs/>
          <w:lang w:val="el" w:eastAsia="el"/>
        </w:rPr>
        <w:t>Για την επαλήθευση των στοιχείων που αναγράφονται στην Ειδική Δήλωση οχήματος, εφαρμόζονται κατ` αναλογία τα οριζόμενα στο άρθρο 33 του παρόντος Κώδικα, καθώς και οι αντίστοιχες περί διασαφήσεων και επαλήθευσης εμπορευμάτων διατάξεις του Κοινοτικού Τελωνειακού Κώδικα και του Εφαρμοστικού αυτού κανονισμού, ενώ σε περίπτωση που κατά τον έλεγχο και επαλήθευση του οχήματος διαπιστωθούν διαφορές, εφαρμογή έχουν τα οριζόμενα στο άρθρο 42 του παρόντος Κώδικα.</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66"/>
      </w: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67"/>
      </w:r>
      <w:r>
        <w:rPr>
          <w:rStyle w:val="Hyperlink"/>
          <w:b/>
          <w:bCs/>
          <w:color w:val="000000"/>
          <w:sz w:val="20"/>
          <w:szCs w:val="20"/>
          <w:u w:val="none" w:color="0000EE"/>
          <w:vertAlign w:val="superscript"/>
          <w:lang w:val="el" w:eastAsia="el"/>
        </w:rPr>
        <w:footnoteReference w:id="268"/>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b/>
          <w:bCs/>
          <w:lang w:val="el" w:eastAsia="el"/>
        </w:rPr>
        <w:t>Σε περίπτωση κλοπής αυτοκινήτων που έχουν παραληφθεί με πλήρη ή μερική απαλλαγή από το τέλος ταξινόμησης και υπό την προϋπόθεση ότι, παρέχεται από τις ισχύουσες διατάξεις η δυνατότητα εκ νέου χορήγησης απαλλαγής από το φόρο, για την εκ νέου υπαγωγή του δικαιούχου στο δικαίωμα, ανεξάρτητα από το χρονικό σημείο κατά το οποίο συντελείται η κλοπή, εφόσον η υποβολή του αιτήματος για την απόκτηση νέου αυτοκινήτου ατελώς γίνεται εντός του εκάστοτε περιοριστικού διαστήματος, οφείλεται το αναλογούν για το κλαπέν αυτοκίνητο τέλος ταξινόμησης, ενώ εφόσον η υποβολή του αιτήματος για την απόκτηση νέου αυτοκινήτου ατελώς γίνεται πέραν του εκάστοτε περιοριστικού διαστήματος, απαλλάσσεται ο δικαιούχος από την καταβολή του αντίστοιχου τέλους ταξινόμησης.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69"/>
      </w:r>
      <w:r>
        <w:rPr>
          <w:rStyle w:val="Hyperlink"/>
          <w:b/>
          <w:bCs/>
          <w:color w:val="000000"/>
          <w:sz w:val="20"/>
          <w:szCs w:val="20"/>
          <w:u w:val="none" w:color="0000EE"/>
          <w:vertAlign w:val="superscript"/>
          <w:lang w:val="el" w:eastAsia="el"/>
        </w:rPr>
        <w:footnoteReference w:id="270"/>
      </w:r>
      <w:r>
        <w:rPr>
          <w:rStyle w:val="Hyperlink"/>
          <w:b/>
          <w:bCs/>
          <w:color w:val="000000"/>
          <w:sz w:val="20"/>
          <w:szCs w:val="20"/>
          <w:u w:val="none" w:color="0000EE"/>
          <w:vertAlign w:val="superscript"/>
          <w:lang w:val="el" w:eastAsia="el"/>
        </w:rPr>
        <w:footnoteReference w:id="271"/>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b/>
          <w:bCs/>
          <w:lang w:val="el" w:eastAsia="el"/>
        </w:rPr>
        <w:t>Οι νόμιμοι κληρονόμοι δύναται να αποδεσμεύουν τελωνειακά, εντός του εκάστοτε ισχύοντος περιοριστικού διαστήματος, επιβατικό αυτοκίνητο, το οποίο έχει παραληφθεί με απαλλαγή από το τέλος ταξινόμησης με βάση τις διατάξεις για τα άτομα με αναπηρίες και έχει περιέλθει στην κατοχή τους κατόπιν κληρονομικής διαδοχής, μέσω μεταβίβασης σε άλλο δικαιούχο της ίδιας απαλλαγής πρόσωπο χωρίς την καταβολή του τέλους ταξινόμησης και με νέα εκκίνηση του προβλεπόμενου περιοριστικού διαστήματος παρακολούθησης της ατέλειας από την ημερομηνία της μεταβίβασης.</w:t>
      </w:r>
    </w:p>
    <w:p>
      <w:pPr>
        <w:spacing w:before="240" w:after="240"/>
        <w:rPr>
          <w:lang w:val="el" w:eastAsia="el"/>
        </w:rPr>
      </w:pPr>
      <w:r>
        <w:rPr>
          <w:rStyle w:val="Hyperlink"/>
          <w:b/>
          <w:bCs/>
          <w:color w:val="000000"/>
          <w:sz w:val="20"/>
          <w:szCs w:val="20"/>
          <w:u w:val="none" w:color="0000EE"/>
          <w:vertAlign w:val="superscript"/>
          <w:lang w:val="el" w:eastAsia="el"/>
        </w:rPr>
        <w:footnoteReference w:id="272"/>
      </w:r>
      <w:r>
        <w:rPr>
          <w:b/>
          <w:bCs/>
          <w:lang w:val="el" w:eastAsia="el"/>
        </w:rPr>
        <w:t>Τα επιβατικά αυτοκίνητα που έχουν παραληφθεί με απαλλαγή από το τέλος ταξινόμησης με βάση τις διατάξεις που ισχύουν για τα άτομα με αναπηρίες και συνεπεία θανάτου αυτών περιέρχονται στους νόμιμους κληρονόμους τους, τακτοποιούνται τελωνειακά από την Τελωνειακή Περιφέρεια Αττικής εντός προθεσμίας δύο (2) ετών από την ημερομηνία θανάτου του δικαιούχου προσώπου.</w:t>
      </w:r>
    </w:p>
    <w:p>
      <w:pPr>
        <w:spacing w:before="240" w:after="240"/>
        <w:rPr>
          <w:lang w:val="el" w:eastAsia="el"/>
        </w:rPr>
      </w:pPr>
      <w:r>
        <w:rPr>
          <w:rStyle w:val="Hyperlink"/>
          <w:b/>
          <w:bCs/>
          <w:color w:val="000000"/>
          <w:sz w:val="20"/>
          <w:szCs w:val="20"/>
          <w:u w:val="none" w:color="0000EE"/>
          <w:vertAlign w:val="superscript"/>
          <w:lang w:val="el" w:eastAsia="el"/>
        </w:rPr>
        <w:footnoteReference w:id="273"/>
      </w:r>
      <w:r>
        <w:rPr>
          <w:b/>
          <w:bCs/>
          <w:lang w:val="el" w:eastAsia="el"/>
        </w:rPr>
        <w:t>Σε περίπτωση υποβολής αιτημάτων τακτοποίησης - αποδέσμευσης αναπηρικών αυτοκινήτων από τους κληρονόμους των αποθανόντων δικαιούχων μετά την πάροδο της διετίας, η εν λόγω τακτοποίηση-αποδέσμευση θα πραγματοποιείται από την Τελωνειακή Περιφέρεια Αττικής, μετά την επιβολή από την αρμόδια τελωνειακή αρχή του προβλεπόμενου από την παράγραφο 2 του άρθρου 147 προστίμου, επιφυλασσομένων των περί λαθρεμπορίας διατάξεων.</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74"/>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275"/>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277"/>
      </w:r>
      <w:r>
        <w:rPr>
          <w:b/>
          <w:bCs/>
          <w:lang w:val="el" w:eastAsia="el"/>
        </w:rPr>
        <w:t>Το προσωπικό των αναγνωρισμένων από την Ελλάδα Διεθνών Οργανισμών ή των μελών τους, καθώς επίσης και των Ευρωπαϊκών Οργανισμών που έχουν ίδια διεθνή νομική προσωπικότητα, μπορούν να τύχουν διευρυμένου καθεστώτος απαλλαγών για τα αυτοκίνητα που παραλαμβάνουν, εφόσον συμφωνηθεί μεταξύ της Ελληνικής Κυβέρνησης και του εκάστοτε Οργανισμού πέραν των προβλεπομένων από τις Συμφωνίες Έδρας τους. Τα πρόσωπα αυτά, με εξαίρεση το προσωπικό που προσλαμβάνεται τοπικά, μπορούν να παραλαμβάνουν ατελώς τα ιδιωτικά τους αυτοκίνητα ή να τα αντικαθιστούν ατελώς, με τους όρους και τη διαδικασία που καθορίζονται με απόφαση του Υπουργού Οικονομίας και Οικονομικών για κάθε ένα εκ των Οργανισμών αυτών.</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278"/>
      </w:r>
      <w:r>
        <w:rPr>
          <w:rStyle w:val="Hyperlink"/>
          <w:b/>
          <w:bCs/>
          <w:color w:val="000000"/>
          <w:sz w:val="20"/>
          <w:szCs w:val="20"/>
          <w:u w:val="none" w:color="0000EE"/>
          <w:vertAlign w:val="superscript"/>
          <w:lang w:val="el" w:eastAsia="el"/>
        </w:rPr>
        <w:footnoteReference w:id="279"/>
      </w:r>
      <w:r>
        <w:rPr>
          <w:rStyle w:val="Hyperlink"/>
          <w:b/>
          <w:bCs/>
          <w:color w:val="000000"/>
          <w:sz w:val="20"/>
          <w:szCs w:val="20"/>
          <w:u w:val="none" w:color="0000EE"/>
          <w:vertAlign w:val="superscript"/>
          <w:lang w:val="el" w:eastAsia="el"/>
        </w:rPr>
        <w:footnoteReference w:id="280"/>
      </w:r>
      <w:r>
        <w:rPr>
          <w:rStyle w:val="Hyperlink"/>
          <w:b/>
          <w:bCs/>
          <w:color w:val="000000"/>
          <w:sz w:val="20"/>
          <w:szCs w:val="20"/>
          <w:u w:val="none" w:color="0000EE"/>
          <w:vertAlign w:val="superscript"/>
          <w:lang w:val="el" w:eastAsia="el"/>
        </w:rPr>
        <w:footnoteReference w:id="281"/>
      </w:r>
      <w:r>
        <w:rPr>
          <w:b/>
          <w:bCs/>
          <w:lang w:val="el" w:eastAsia="el"/>
        </w:rPr>
        <w:t>α) 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 Δημόσιο - συμπεριλαμβανομένης της Ελληνικής Αστυνομίας, του Πυροσβεστικού Σώματος και του Λιμενικού Σώματος / Ελληνικής Ακτοφυλακής - για την εξυπηρέτηση των αναγκών τους, εφόσον έχει προηγηθεί αποδοχή της δωρεάς από τον οικείο Υπουργό.</w:t>
      </w:r>
    </w:p>
    <w:p>
      <w:pPr>
        <w:pStyle w:val="StructureList1"/>
        <w:spacing w:before="120" w:after="0"/>
        <w:rPr>
          <w:lang w:val="el" w:eastAsia="el"/>
        </w:rPr>
      </w:pPr>
      <w:r>
        <w:rPr>
          <w:b/>
          <w:bCs/>
          <w:lang w:val="el" w:eastAsia="el"/>
        </w:rPr>
        <w:t>β)</w:t>
      </w:r>
      <w:r>
        <w:rPr>
          <w:b/>
          <w:bCs/>
          <w:lang w:val="en" w:eastAsia="en"/>
        </w:rPr>
        <w:tab/>
      </w:r>
      <w:r>
        <w:rPr>
          <w:b/>
          <w:bCs/>
          <w:lang w:val="el" w:eastAsia="el"/>
        </w:rPr>
        <w:t>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στους Οργανισμούς Τοπικής Αυτοδιοίκησης Α` και Β` Βαθμού για την εξυπηρέτηση των αναγκών τους, εφόσον έχει προηγηθεί αποδοχή της δωρεάς από το οικείο όργανο ή Υπουργό, κατά περίπτωση.</w:t>
      </w:r>
    </w:p>
    <w:p>
      <w:pPr>
        <w:pStyle w:val="StructureList1"/>
        <w:spacing w:before="120" w:after="0"/>
        <w:rPr>
          <w:lang w:val="el" w:eastAsia="el"/>
        </w:rPr>
      </w:pPr>
      <w:r>
        <w:rPr>
          <w:b/>
          <w:bCs/>
          <w:lang w:val="el" w:eastAsia="el"/>
        </w:rPr>
        <w:t>γ)</w:t>
      </w:r>
      <w:r>
        <w:rPr>
          <w:b/>
          <w:bCs/>
          <w:lang w:val="en" w:eastAsia="en"/>
        </w:rPr>
        <w:tab/>
      </w:r>
      <w:r>
        <w:rPr>
          <w:b/>
          <w:bCs/>
          <w:lang w:val="el" w:eastAsia="el"/>
        </w:rPr>
        <w:t>Απαλλάσσονται από το τέλος ταξινόμησης τα ασθενοφόρα και οι ειδικές κινητές μονάδες, καινούρια ή μεταχειρισμένα, τα οποία παραχωρούνται κατά κυριότητα με δωρεά στο Υπουργείο Υγείας, στα δημόσια νοσηλευτικά ιδρύματα που λειτουργούν με τη μορφή Ν.Π.Δ.Δ. ή Ν.Π.Ι.Δ. στις Δ.Υ.Πε. του Π.Ε.Δ.Υ. και στο Ε.Κ.Α.Β. για την εξυπηρέτηση των αναγκών τους, εφόσον έχει προηγηθεί αποδοχή της δωρεάς από τον οικείο Υπουργό.</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282"/>
      </w:r>
      <w:r>
        <w:rPr>
          <w:b/>
          <w:bCs/>
          <w:lang w:val="el" w:eastAsia="el"/>
        </w:rPr>
        <w:t>Απαλλάσσονται από δασμό και τέλος ταξινόμησης τα αυτοκίνητα οχήματα που παραλαμβάνονται στα πλαίσια διπλωματικών ή προξενικών σχέσεων, σύμφωνα με τους όρους της Σύμβασης της Βιέννης της 18.4.1961 περί των διπλωματικών σχέσεων που κυρώθηκε με το Ν.δ. 503/70 (Α΄108) και της Σύμβασης της Βιέννης της 24.4.1963 επί των προξενικών σχέσεων που κυρώθηκε με το ν. 90/1975 (Α΄150), αντίστοιχα.</w:t>
      </w:r>
    </w:p>
    <w:p>
      <w:pPr>
        <w:pStyle w:val="MainText"/>
        <w:spacing w:before="120" w:after="0"/>
        <w:rPr>
          <w:lang w:val="el" w:eastAsia="el"/>
        </w:rPr>
      </w:pPr>
      <w:r>
        <w:rPr>
          <w:b/>
          <w:bCs/>
          <w:lang w:val="el" w:eastAsia="el"/>
        </w:rPr>
        <w:t>13.</w:t>
      </w:r>
      <w:r>
        <w:rPr>
          <w:b/>
          <w:bCs/>
          <w:lang w:val="el" w:eastAsia="el"/>
        </w:rPr>
        <w:t xml:space="preserve"> </w:t>
      </w:r>
      <w:r>
        <w:rPr>
          <w:rStyle w:val="Hyperlink"/>
          <w:b/>
          <w:bCs/>
          <w:color w:val="000000"/>
          <w:sz w:val="20"/>
          <w:szCs w:val="20"/>
          <w:u w:val="none" w:color="0000EE"/>
          <w:vertAlign w:val="superscript"/>
          <w:lang w:val="el" w:eastAsia="el"/>
        </w:rPr>
        <w:footnoteReference w:id="283"/>
      </w:r>
      <w:r>
        <w:rPr>
          <w:b/>
          <w:bCs/>
          <w:lang w:val="el" w:eastAsia="el"/>
        </w:rPr>
        <w:t>Απαλλάσσονται από δασμό και τέλος ταξινόμησης τα αυτοκίνητα οχήματα που παραλαμβάνονται από αναγνωρισμένους στην Ελλάδα διεθνείς οργανισμούς ή τα μέλη των οργανισμών αυτών, καθώς και το προσωπικό τους, μέσα στα όρια και σύμφωνα με τις προϋποθέσεις που καθορίζονται από τις διεθνείς συμβάσεις για την ίδρυσή τους ή από τις συμφωνίες για την έδρα τους.</w:t>
      </w:r>
    </w:p>
    <w:p>
      <w:pPr>
        <w:pStyle w:val="MainText"/>
        <w:spacing w:before="120" w:after="0"/>
        <w:rPr>
          <w:lang w:val="el" w:eastAsia="el"/>
        </w:rPr>
      </w:pPr>
      <w:r>
        <w:rPr>
          <w:b/>
          <w:bCs/>
          <w:lang w:val="el" w:eastAsia="el"/>
        </w:rPr>
        <w:t>14.</w:t>
      </w:r>
      <w:r>
        <w:rPr>
          <w:b/>
          <w:bCs/>
          <w:lang w:val="el" w:eastAsia="el"/>
        </w:rPr>
        <w:t xml:space="preserve"> α) Τα αυτοκίνητα οχήματα των παραγράφων 12 και 13 του παρόντος άρθρου απαγορεύεται να μεταβιβαστούν, μισθωθούν ή με οποιονδήποτε άλλο τρόπο παραχωρηθεί η χρήση τους πριν από την πάροδο πέντε (5) ετών από την ατελή παραλαβή τους χωρίς την άδεια της τελωνειακής αρχής και την καταβολή των αναλογούντων δασμών και φόρων. Μετά την παρέλευση του ανωτέρω περιοριστικού διαστήματος, τα ανωτέρω αυτοκίνητα οχήματα, κατόπιν άδειας της τελωνειακής αρχής, δύνανται να μεταβιβάζονται ελεύθερα από δασμούς και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Δεν απαιτείται η καταβολή των αναλογούντων δασμών και φόρων εντός του ανωτέρω περιοριστικού διαστήματος στις περιπτώσεις όπου τα ανωτέρω αυτοκίνητα οχήματα, είτε μεταβιβαστούν σε άλλο δικαιούχο της ατέλειας πρόσωπο, είτε εξαχθούν σε τρίτη χώρα, είτε αποσταλούν σε άλλο κράτος - μέλος της Ευρωπαϊκής Ενωσης, είτε εγκαταλειφθούν υπέρ του Δημοσίου, είτε καταστραφούν.</w:t>
      </w:r>
    </w:p>
    <w:p>
      <w:pPr>
        <w:pStyle w:val="MainText"/>
        <w:spacing w:before="120" w:after="0"/>
        <w:rPr>
          <w:lang w:val="el" w:eastAsia="el"/>
        </w:rPr>
      </w:pPr>
      <w:r>
        <w:rPr>
          <w:b/>
          <w:bCs/>
          <w:lang w:val="el" w:eastAsia="el"/>
        </w:rPr>
        <w:t>15.</w:t>
      </w:r>
      <w:r>
        <w:rPr>
          <w:b/>
          <w:bCs/>
          <w:lang w:val="el" w:eastAsia="el"/>
        </w:rPr>
        <w:t xml:space="preserve"> </w:t>
      </w:r>
      <w:r>
        <w:rPr>
          <w:rStyle w:val="Hyperlink"/>
          <w:b/>
          <w:bCs/>
          <w:color w:val="000000"/>
          <w:sz w:val="20"/>
          <w:szCs w:val="20"/>
          <w:u w:val="none" w:color="0000EE"/>
          <w:vertAlign w:val="superscript"/>
          <w:lang w:val="el" w:eastAsia="el"/>
        </w:rPr>
        <w:footnoteReference w:id="284"/>
      </w:r>
      <w:r>
        <w:rPr>
          <w:rStyle w:val="Hyperlink"/>
          <w:b/>
          <w:bCs/>
          <w:color w:val="000000"/>
          <w:sz w:val="20"/>
          <w:szCs w:val="20"/>
          <w:u w:val="none" w:color="0000EE"/>
          <w:vertAlign w:val="superscript"/>
          <w:lang w:val="el" w:eastAsia="el"/>
        </w:rPr>
        <w:footnoteReference w:id="285"/>
      </w:r>
      <w:r>
        <w:rPr>
          <w:b/>
          <w:bCs/>
          <w:lang w:val="el" w:eastAsia="el"/>
        </w:rPr>
        <w:t>Με απόφαση του Υπουργού Οικονομικών καθορίζεται κάθε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86"/>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87"/>
      </w:r>
      <w:r>
        <w:rPr>
          <w:rStyle w:val="Hyperlink"/>
          <w:b/>
          <w:bCs/>
          <w:color w:val="000000"/>
          <w:sz w:val="20"/>
          <w:szCs w:val="20"/>
          <w:u w:val="none" w:color="0000EE"/>
          <w:vertAlign w:val="superscript"/>
          <w:lang w:val="el" w:eastAsia="el"/>
        </w:rPr>
        <w:footnoteReference w:id="288"/>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Α1, Α4, Β5, Β6, καθώς και των αναφερομένων στις παραγράφους Γ2, Γ4, Γ5 και Γ12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της παραγράφου 1 του άρθρου 129, πρόστιμο οκτακοσίων (800)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289"/>
      </w:r>
      <w:r>
        <w:rPr>
          <w:b/>
          <w:bCs/>
          <w:lang w:val="el" w:eastAsia="el"/>
        </w:rPr>
        <w:t xml:space="preserve"> Για τη μη τήρηση των όρων και των προϋποθέσεων υπαγωγής των κοινοτικών οχημάτων στις ρυθμίσεις του άρθρου 121α του παρόντα Κώδικα, επιβάλλεται πρόστιμο ύψους χιλίων (1.000) ευρώ, εκτός από την εκπρόθεσμη επαναποστολή ή εξαγωγή, για την οποία επιβάλλεται το πρόστιμο της πιο πάνω περίπτωσης δ` και την εκπρόθεσμη καταβολή του τέλους ταξινόμησης ή της διαφοράς αυτού, για την οποία επιβάλλεται το πρόστιμο της πιο πάνω περίπτωσης ε`.</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290"/>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291"/>
      </w:r>
      <w:r>
        <w:rPr>
          <w:b/>
          <w:bCs/>
          <w:lang w:val="el" w:eastAsia="el"/>
        </w:rPr>
        <w:t>Στις περιπτώσεις αυτοκινήτων οχημάτων που καταλαμβάνονται πριν ή μετά την ταξινόμηση τους να έχουν διασκευασθεί χωρίς την τήρηση των διατάξεων του ν. 1573/1985 (Α` 201), επιβάλλεται πρόστιμο ίσο με το 1/5 του αναλογούντος στα οχήματα τέλους ταξινόμησης με ανώτατο όριο το ποσό των δύο χιλιάδων (2.000) ευρώ.</w:t>
      </w:r>
    </w:p>
    <w:p>
      <w:pPr>
        <w:spacing w:before="240" w:after="240"/>
        <w:rPr>
          <w:lang w:val="el" w:eastAsia="el"/>
        </w:rPr>
      </w:pPr>
      <w:r>
        <w:rPr>
          <w:b/>
          <w:bCs/>
          <w:lang w:val="el" w:eastAsia="el"/>
        </w:rPr>
        <w:t>Δεν υφίσταται υποχρέωση καταβολής των αναλογουσών στα διασκευασθέντα οχήματα φορολογικών επιβαρύνσεων, εφόσον μετά την καταβολή του προβλεπόμενου από το προηγούμενο εδάφιο προστίμου, επαναφερθούν στην αρχική τους μορφή, γεγονός που θα βεβαιώνεται από την αρμόδια τελωνειακή αρχή.</w:t>
      </w:r>
    </w:p>
    <w:p>
      <w:pPr>
        <w:spacing w:before="240" w:after="240"/>
        <w:rPr>
          <w:lang w:val="el" w:eastAsia="el"/>
        </w:rPr>
      </w:pPr>
      <w:r>
        <w:rPr>
          <w:b/>
          <w:bCs/>
          <w:lang w:val="el" w:eastAsia="el"/>
        </w:rPr>
        <w:t>Σε περίπτωση που ιδιοκτήτης οχήματος, ο οποίος υπέπεσε σε παράβαση του πρώτου εδαφίου της παρούσας, κατέβαλε το προβλεπόμενο πρόστιμο και επανέφερε το όχημα στην αρχική μορφή του, καταληφθεί εκ νέου να έχει διασκευάσει το ίδιο όχημα χωρίς την τήρηση των διατάξεων του ν. 1573/1985, επιβάλλεται σε αυτόν το διπλάσιο του κατά τα ανωτέρω προβλεπόμενου προστίμου.</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92"/>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93"/>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94"/>
      </w:r>
      <w:r>
        <w:rPr>
          <w:b/>
          <w:bCs/>
          <w:lang w:val="el" w:eastAsia="el"/>
        </w:rPr>
        <w:t>Όπου στις κείμενες διατάξεις και στις κατ` εξουσιοδότηση αυτών εκδοθείσες διοικητικές πράξεις αναφέρεται η φράση «αυτοκίνητα τύπου JEEP της δασμολογικής κλάσης 87.04 της Συνδυασμένης Ονοματολογίας», νοείται εφεξής ότι αυτή δεν έχει εφαρμογή.</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95"/>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96"/>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97"/>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98"/>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99"/>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00"/>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301"/>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02"/>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303"/>
      </w:r>
      <w:r>
        <w:rPr>
          <w:b/>
          <w:bCs/>
          <w:lang w:val="el" w:eastAsia="el"/>
        </w:rPr>
        <w:t>Για τη μη υποβολή δήλωσης περί ρευστών διαθεσίμων σύμφωνα με το άρθρο 3 του Καν. (ΕΚ) 1889/2005 επιβάλλεται στον υπαίτιο χρηματικό πρόστιμο ίσο με το 25% του ποσού των μη δηλωθέντων.</w:t>
      </w:r>
    </w:p>
    <w:p>
      <w:pPr>
        <w:spacing w:before="240" w:after="240"/>
        <w:rPr>
          <w:lang w:val="el" w:eastAsia="el"/>
        </w:rPr>
      </w:pPr>
      <w:r>
        <w:rPr>
          <w:b/>
          <w:bCs/>
          <w:lang w:val="el" w:eastAsia="el"/>
        </w:rPr>
        <w:t>Το ως άνω πρόστιμο επιβάλλεται και στις περιπτώσεις ανακριβούς ή ελλιπούς δήλωσης των παρεχόμενων πληροφοριών, όπως αυτές αναλυτικά περιγράφονται στην παράγραφο 2 του άρθρου 3 του Καν. 1889/2005.</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άσκηση της δεν αναστέλλουν την είσπραξη του προστίμου.</w:t>
      </w:r>
    </w:p>
    <w:p>
      <w:pPr>
        <w:spacing w:before="240" w:after="240"/>
        <w:rPr>
          <w:lang w:val="el" w:eastAsia="el"/>
        </w:rPr>
      </w:pPr>
      <w:r>
        <w:rPr>
          <w:b/>
          <w:bCs/>
          <w:lang w:val="el" w:eastAsia="el"/>
        </w:rPr>
        <w:t>Σε περίπτωση μη συμμόρφωσης προς την υποχρέωση δήλωσης του άρθρου 3 του εν λόγω Κανονισμού, η αρμόδια Τελωνειακή Αρχή επιπλέον δύναται, με απόφαση της, να δεσμεύσει τα ρευστά διαθέσιμα προκειμένου να πραγματοποιηθεί περαιτέρω έρευνα.</w:t>
      </w:r>
    </w:p>
    <w:p>
      <w:pPr>
        <w:spacing w:before="240" w:after="240"/>
        <w:rPr>
          <w:lang w:val="el" w:eastAsia="el"/>
        </w:rPr>
      </w:pPr>
      <w:r>
        <w:rPr>
          <w:b/>
          <w:bCs/>
          <w:lang w:val="el" w:eastAsia="el"/>
        </w:rPr>
        <w:t>Η δέσμευση αυτή δεν μπορεί να διαρκέσει πέραν των τριών (3) μηνών και τελεί υπό την επιφύλαξη των ειδικότερων διατάξεων περί νομιμοποίησης εσόδων από εγκληματικές δραστηριότητες.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304"/>
      </w:r>
      <w:r>
        <w:rPr>
          <w:rStyle w:val="Hyperlink"/>
          <w:b/>
          <w:bCs/>
          <w:color w:val="000000"/>
          <w:sz w:val="20"/>
          <w:szCs w:val="20"/>
          <w:u w:val="none" w:color="0000EE"/>
          <w:vertAlign w:val="superscript"/>
          <w:lang w:val="el" w:eastAsia="el"/>
        </w:rPr>
        <w:footnoteReference w:id="305"/>
      </w:r>
      <w:r>
        <w:rPr>
          <w:rStyle w:val="Hyperlink"/>
          <w:b/>
          <w:bCs/>
          <w:color w:val="000000"/>
          <w:sz w:val="20"/>
          <w:szCs w:val="20"/>
          <w:u w:val="none" w:color="0000EE"/>
          <w:vertAlign w:val="superscript"/>
          <w:lang w:val="el" w:eastAsia="el"/>
        </w:rPr>
        <w:footnoteReference w:id="306"/>
      </w:r>
      <w:r>
        <w:rPr>
          <w:rStyle w:val="Hyperlink"/>
          <w:b/>
          <w:bCs/>
          <w:color w:val="000000"/>
          <w:sz w:val="20"/>
          <w:szCs w:val="20"/>
          <w:u w:val="none" w:color="0000EE"/>
          <w:vertAlign w:val="superscript"/>
          <w:lang w:val="el" w:eastAsia="el"/>
        </w:rPr>
        <w:footnoteReference w:id="307"/>
      </w:r>
      <w:r>
        <w:rPr>
          <w:b/>
          <w:bCs/>
          <w:lang w:val="el" w:eastAsia="el"/>
        </w:rPr>
        <w:t>Στις περιπτώσεις μη καταχώρισης ή εκπρόθεσμης καταχώρισης ή ανακριβούς καταχώρισης των συναλλαγών πετρελαίου θέρμανσης στο Πληροφοριακό Σύστημα Παρακολούθησης Πετρελαίου Θέρμανσης εντός της προθεσμίας δεκατεσσάρων (14) ημερών του άρθρου 73 παράγραφος 2 περίπτωση α` του παρόντος νόμου, επιβάλλεται ανά φορολογικό στοιχείο πρόστιμο εκατό (100) ευρώ, επιφυλασσομένων των περί λαθρεμπορίας διατάξεων.</w:t>
      </w:r>
    </w:p>
    <w:p>
      <w:pPr>
        <w:spacing w:before="240" w:after="240"/>
        <w:rPr>
          <w:lang w:val="el" w:eastAsia="el"/>
        </w:rPr>
      </w:pPr>
      <w:r>
        <w:rPr>
          <w:b/>
          <w:bCs/>
          <w:lang w:val="el" w:eastAsia="el"/>
        </w:rPr>
        <w:t>Στα μέλη ΔΙ.ΠΕ.ΘΕ., που καταλογίζονται κατά τα ανωτέρω πρόστιμα για εκπρόθεσμη ή ανακριβή καταχώριση συναλλαγών πετρελαίου θέρμανσης στο Πληροφοριακό Σύστημα Παρακολούθησης Πετρελαίου Θέρμανσης, επιβάλλεται ανά μέλος ΔΙ.ΠΕ.ΘΕ., ανά ημερολογιακό έτος, έναντι όλων των τελωνειακών αρχών, πρόστιμο έως χίλια πεντακόσια (1.500) ευρώ, όταν το πλήθος των εκπροθέσμως ή ανακριβώς καταχωρημένων συναλλαγών ανά μέλος ΔΙ.ΠΕ.ΘΕ., είναι μέχρι πενήντα (50) φορολογικά στοιχεία, πρόστιμο τρεις χιλιάδες (3.000) ευρώ όταν το πλήθος των εκπροθέσμως ή ανακριβώς καταχωρημένων συναλλαγών, ανά μέλος ΔΙ.ΠΕ.ΘΕ. είναι από πενήντα ένα (51) έως εκατό (100) φορολογικά στοιχεία πρόστιμο έξι χιλιάδες (6.000) ευρώ από εκατόν ένα (101) και μέχρι 150 φορολογικά στοιχεία και περαιτέρω 50 ευρώ ανά 50 φορολογικά στοιχεία πέραν των 150 εφόσον το μέλος ΔΙ.ΠΕ.ΘΕ. υποβάλλει σχετική αίτηση στο αρμόδιο Τελωνείο και καταβαλλει το καταλογιζόμενο πρόστιμο με ταυτόχρονη παραίτηση από τα κατά το άρθρο 152 του ν. 2960/2001 καθοριζόμενα ένδικα μέσα εντός δύο μηνών από την έκδοση των καταλογιστικών Πράξεων.</w:t>
      </w:r>
    </w:p>
    <w:p>
      <w:pPr>
        <w:spacing w:before="240" w:after="240"/>
        <w:rPr>
          <w:lang w:val="el" w:eastAsia="el"/>
        </w:rPr>
      </w:pPr>
      <w:r>
        <w:rPr>
          <w:b/>
          <w:bCs/>
          <w:lang w:val="el" w:eastAsia="el"/>
        </w:rPr>
        <w:t>Σε περίπτωση που μέλος ΔΙ.ΠΕ.ΘΕ., έχει προβεί σε μη καταχώριση συναλλαγών πετρελαίου θέρμανσης ανεξαρτήτως αριθμού ή σε εκπρόθεσμη ή ανακριβή καταχώριση άνω των εκατόν πενήντα (150) φορολογικών στοιχείων ανά ημερολογιακό έτος ή σε εκπρόθεσμη ή ανακριβή καταχώριση κάτω των εκατόν πενήντα (150) φορολογικών στοιχείων αλλά διαπιστώνεται από τις αρμόδιες αρχές τέλεση λαθρεμπορίας, επιβάλλεται και ποινή διαγραφής του μέλους από το μητρώο ΔΙ.ΠΕ.ΘΕ..</w:t>
      </w:r>
    </w:p>
    <w:p>
      <w:pPr>
        <w:spacing w:before="240" w:after="240"/>
        <w:rPr>
          <w:lang w:val="el" w:eastAsia="el"/>
        </w:rPr>
      </w:pPr>
      <w:r>
        <w:rPr>
          <w:b/>
          <w:bCs/>
          <w:lang w:val="el" w:eastAsia="el"/>
        </w:rPr>
        <w:t>Δεν συνιστά παράβαση, κατά τα ανωτέρω, ανακριβής δήλωση η οποία επανεισήχθη διορθωμένη στο ως άνω σύστημα από μέλος ΔΙ.ΠΕ.ΘΕ., εντός της προβλεπόμενης από το άρθρο 73 παράγραφος 2 περίπτωση α` του παρόντος νόμου προθεσμίας δεκατεσσάρων (14) ημερών.</w:t>
      </w:r>
    </w:p>
    <w:p>
      <w:pPr>
        <w:spacing w:before="240" w:after="240"/>
        <w:rPr>
          <w:lang w:val="el" w:eastAsia="el"/>
        </w:rPr>
      </w:pPr>
      <w:r>
        <w:rPr>
          <w:b/>
          <w:bCs/>
          <w:lang w:val="el" w:eastAsia="el"/>
        </w:rPr>
        <w:t>Στις περιπτώσεις που η εκπρόθεσμη καταχώριση στο Πληροφοριακό Σύστημα Παρακολούθησης Πετρελαίου Θέρμανσης αφορά ακύρωση εμπρόθεσμης καταχώρισης και εκ νέου καταχώριση της ίδιας συναλλαγής με προσθήκη του Αριθμού Φορολογικού Μητρώου του αγοραστή πετρελαίου θέρμανσης, κατόπιν αποστολής σχετικού ηλεκτρονικού μηνύματος στα μέλη του Μητρώου ΔΙ.ΠΕ.ΘΕ. από τη Γενική Γραμματεία Πληροφοριακών Συστημάτων του Υπουργείου Οικονομικών και εντός της ορισθείσας σε αυτό προθεσμίας, δεν οφείλονται τα πρόστιμα που προβλέπονται στα προηγούμενα εδάφια της παρούσας παραγράφου. Καταλογιστικές πράξεις που έχουν εκδοθεί για τις περιπτώσεις του προηγούμενου εδαφίου ανακαλούνται, μετά από σχετική αίτηση του μέλους Μητρώου ΔΙ.ΠΕ.ΘΕ., από την εκδούσα τελωνειακή αρχή και τυχόν καταβληθέντα ποσά επιστρέφονται.</w:t>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308"/>
      </w:r>
      <w:r>
        <w:rPr>
          <w:b/>
          <w:bCs/>
          <w:lang w:val="el" w:eastAsia="el"/>
        </w:rPr>
        <w:t>Αν δεν πληρούται κάποια από τις προϋποθέσεις α, β, γ που ορίζονται στην παράγραφο 4α του άρθρου 29 του παρόντος νόμου, επιβάλλεται στον εισαγωγέα πρόστιμο δέκα χιλιάδες (10.000) ευρώ.</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09"/>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10"/>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Η εκδοθείσα καταλογιστική πράξη είναι ανεξάρτητη από την παράλληλη</w:t>
      </w:r>
    </w:p>
    <w:p>
      <w:pPr>
        <w:spacing w:before="240" w:after="240"/>
        <w:rPr>
          <w:lang w:val="el" w:eastAsia="el"/>
        </w:rPr>
      </w:pPr>
      <w:r>
        <w:rPr>
          <w:b/>
          <w:bCs/>
          <w:lang w:val="el" w:eastAsia="el"/>
        </w:rPr>
        <w:t>κατά νόμο άσκηση ποινικής δίωξης, καθώς και την ποινική απόφαση που θα</w:t>
      </w:r>
    </w:p>
    <w:p>
      <w:pPr>
        <w:spacing w:before="240" w:after="240"/>
        <w:rPr>
          <w:lang w:val="el" w:eastAsia="el"/>
        </w:rPr>
      </w:pPr>
      <w:r>
        <w:rPr>
          <w:b/>
          <w:bCs/>
          <w:lang w:val="el" w:eastAsia="el"/>
        </w:rPr>
        <w:t>εκδοθεί.</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11"/>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12"/>
      </w:r>
      <w:r>
        <w:rPr>
          <w:rStyle w:val="Hyperlink"/>
          <w:b/>
          <w:bCs/>
          <w:color w:val="000000"/>
          <w:sz w:val="20"/>
          <w:szCs w:val="20"/>
          <w:u w:val="none" w:color="0000EE"/>
          <w:vertAlign w:val="superscript"/>
          <w:lang w:val="el" w:eastAsia="el"/>
        </w:rPr>
        <w:footnoteReference w:id="313"/>
      </w:r>
      <w:r>
        <w:rPr>
          <w:rStyle w:val="Hyperlink"/>
          <w:b/>
          <w:bCs/>
          <w:color w:val="000000"/>
          <w:sz w:val="20"/>
          <w:szCs w:val="20"/>
          <w:u w:val="none" w:color="0000EE"/>
          <w:vertAlign w:val="superscript"/>
          <w:lang w:val="el" w:eastAsia="el"/>
        </w:rPr>
        <w:footnoteReference w:id="314"/>
      </w:r>
      <w:r>
        <w:rPr>
          <w:b/>
          <w:bCs/>
          <w:lang w:val="el" w:eastAsia="el"/>
        </w:rPr>
        <w:t>Οι διατάξεις των άρθρων 161 και επόμενα του παρόντος Κώδικα, περί αστικής ευθύνης, εφαρμόζονται κατ` αναλογία και στις τελωνειακές παραβάσεις.</w:t>
      </w:r>
    </w:p>
    <w:p>
      <w:pPr>
        <w:spacing w:before="240" w:after="240"/>
        <w:rPr>
          <w:lang w:val="el" w:eastAsia="el"/>
        </w:rPr>
      </w:pPr>
      <w:r>
        <w:rPr>
          <w:b/>
          <w:bCs/>
          <w:lang w:val="el" w:eastAsia="el"/>
        </w:rPr>
        <w:t>Η άγνοια των αστικώς συνυπεύθυνων για την πρόθεση των χαρακτηρισθέντων ως κυρίως υπαιτίων της τέλεσης της παράβασης δεν απαλλάσσει αυτούς από την ευθύνη, εκτός αν ήθελε αποδειχθεί ότι οι ανωτέρω δεν η δύναντο να έχουν γνώση περί της πιθανότητας τέλεσης της παράβασης.</w:t>
      </w:r>
    </w:p>
    <w:p>
      <w:pPr>
        <w:spacing w:before="240" w:after="240"/>
        <w:rPr>
          <w:lang w:val="el" w:eastAsia="el"/>
        </w:rPr>
      </w:pPr>
      <w:r>
        <w:rPr>
          <w:b/>
          <w:bCs/>
          <w:lang w:val="el" w:eastAsia="el"/>
        </w:rPr>
        <w:t>Σε περίπτωση πώλησης κατόπιν διαγωνισμού του συνόλου ή μέρους των μετοχών ή του συνόλου των περιουσιακών στοιχείων ή τμημάτων αυτών ή κλάδων νομικών προσώπων δημοσίου δικαίου, νομικών προσώπων ιδιωτικού δικαίου και πιστωτικών ιδρυμάτων στο μετοχικό κεφάλαιο των οποίων συμμετέχει με οποιοδήποτε ποσοστό το Δημόσιο, καθώς και ανωνύμων εταιρειών που είναι συνδεδεμένες με τα ως άνω νομικά πρόσωπα δημοσίου δικαίου, νομικά πρόσωπα ιδιωτικού δικαίου και πιστωτικά ιδρύματα, η οποία πώληση διενεργείται στο πλαίσιο αποκρατικοποίησης, εξυγίανσης ή ειδικής εκκαθάρισης αυτών, για την καταβολή προστίμων, πολλαπλών τελών, δασμών και λοιπών επιβαρύνσεων, που επιβάλλονται και καταλογίζονται σε βάρος των κυρίως υπαιτίων της παράβασης, δεν κηρύσσονται αλληλέγγυα συνυπεύθυνα αστικά τα ως άνω νομικά πρόσωπα υπό την προϋπόθεση ότι έως την ημερομηνία μεταβίβασης των μετοχών ή περιουσιακών στοιχείων δεν είχαν κοινοποιηθεί καταλογιστικές πράξεις και η συγκεκριμένη εκκρεμότητα δεν είχε γνωστοποιηθεί στους ενδιαφερόμενους επενδυτές κατά το κρίσιμο στάδιο της διενέργειας του σχετικού διαγωνισμού για τη μεταβίβαση αυτών των περιουσιακών στοιχείων. Η διάταξη του προηγούμενου εδαφίου ισχύει και στην περίπτωση αστικής ευθύνης, όπως αυτή προβλέπεται στο άρθρο 161 του παρόντος νόμου.</w:t>
      </w:r>
    </w:p>
    <w:p>
      <w:pPr>
        <w:spacing w:before="240" w:after="240"/>
        <w:rPr>
          <w:lang w:val="el" w:eastAsia="el"/>
        </w:rPr>
      </w:pPr>
      <w:r>
        <w:rPr>
          <w:b/>
          <w:bCs/>
          <w:lang w:val="el" w:eastAsia="el"/>
        </w:rPr>
        <w:t>Στις περιπτώσεις των δύο προηγούμενων εδαφίων, καταλογιστικές πράξεις που εκδόθηκαν μετά την ημερομηνία μεταβίβασης των μετοχών ή περιουσιακών στοιχείων και αφορούν προγενέστερες της μεταβίβασης περιόδους, δεν εκτελούνται και ανακαλούνται υποχρεωτικά, κατά το μέρος που αφορούν το νομικό πρόσωπο ως αστικώς συνυπεύθυνο, του οποίου οι οφειλές από πρόστιμα, πολλαπλά τέλη, δασμούς και λοιπές επιβαρύνσεις, που προέρχονται αποκλειστικά από τις ανωτέρω καταλογιστικές πράξεις, διαγράφονται. Για την εφαρμογή του προηγούμενου εδαφίου υποβάλλεται αίτηση στην αρχή που εξέδωσε τις καταλογιστικές πράξεις. Τυχόν ποσά που έχουν ήδη καταβληθεί σε εκτέλεσή τους δεν επιστρέφονται και δεν συμψηφίζονται.</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315"/>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w:t>
      </w:r>
    </w:p>
    <w:p>
      <w:pPr>
        <w:spacing w:before="240" w:after="240"/>
        <w:rPr>
          <w:lang w:val="el" w:eastAsia="el"/>
        </w:rPr>
      </w:pPr>
      <w:r>
        <w:rPr>
          <w:b/>
          <w:bCs/>
          <w:lang w:val="el" w:eastAsia="el"/>
        </w:rPr>
        <w:t>απόρρητο των καταθέσεων, των λογαριασμών, των κοινών λογαριασμών, των</w:t>
      </w:r>
    </w:p>
    <w:p>
      <w:pPr>
        <w:spacing w:before="240" w:after="240"/>
        <w:rPr>
          <w:lang w:val="el" w:eastAsia="el"/>
        </w:rPr>
      </w:pPr>
      <w:r>
        <w:rPr>
          <w:b/>
          <w:bCs/>
          <w:lang w:val="el" w:eastAsia="el"/>
        </w:rPr>
        <w:t>συμβάσεων και πράξεων επί παραγώγων χρηματοοικονομικών προϊόντων και</w:t>
      </w:r>
    </w:p>
    <w:p>
      <w:pPr>
        <w:spacing w:before="240" w:after="240"/>
        <w:rPr>
          <w:lang w:val="el" w:eastAsia="el"/>
        </w:rPr>
      </w:pPr>
      <w:r>
        <w:rPr>
          <w:b/>
          <w:bCs/>
          <w:lang w:val="el" w:eastAsia="el"/>
        </w:rPr>
        <w:t>του περιεχομένου θυρίδων του παραβάτη σε Τράπεζες ή άλλα Πιστωτικά</w:t>
      </w:r>
    </w:p>
    <w:p>
      <w:pPr>
        <w:spacing w:before="240" w:after="240"/>
        <w:rPr>
          <w:lang w:val="el" w:eastAsia="el"/>
        </w:rPr>
      </w:pPr>
      <w:r>
        <w:rPr>
          <w:b/>
          <w:bCs/>
          <w:lang w:val="el" w:eastAsia="el"/>
        </w:rPr>
        <w:t>Ιδρύματα και δεσμεύεται το πενήντα τοις εκατό (50%) αυτών.</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 xml:space="preserve">Δικονομίας προσφυγή. </w:t>
      </w:r>
    </w:p>
    <w:p>
      <w:pPr>
        <w:spacing w:before="240" w:after="240"/>
        <w:rPr>
          <w:lang w:val="el" w:eastAsia="el"/>
        </w:rPr>
      </w:pPr>
      <w:r>
        <w:rPr>
          <w:rStyle w:val="Hyperlink"/>
          <w:b/>
          <w:bCs/>
          <w:color w:val="000000"/>
          <w:sz w:val="20"/>
          <w:szCs w:val="20"/>
          <w:u w:val="none" w:color="0000EE"/>
          <w:vertAlign w:val="superscript"/>
          <w:lang w:val="el" w:eastAsia="el"/>
        </w:rPr>
        <w:footnoteReference w:id="316"/>
      </w:r>
      <w:r>
        <w:rPr>
          <w:b/>
          <w:bCs/>
          <w:lang w:val="el" w:eastAsia="el"/>
        </w:rPr>
        <w:t>Για την εκδίκαση της προσφυγής εφαρμόζονται αναλόγως οι διατάξεις της παραγράφου 9 του άρθρου 13 του ν. 2523/1997, όπως ισχύουν. Η προθεσμία για την άσκηση της προσφυγής και η άσκηση της δεν αναστέλλουν την εκτέλεση της προσβαλλόμενης πράξης.</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Λαθρεμπορία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η εντός του τελωνειακού εδάφους εισαγωγή ή εξ αυτού εξαγωγή</w:t>
      </w:r>
    </w:p>
    <w:p>
      <w:pPr>
        <w:spacing w:before="240" w:after="240"/>
        <w:rPr>
          <w:lang w:val="el" w:eastAsia="el"/>
        </w:rPr>
      </w:pPr>
      <w:r>
        <w:rPr>
          <w:b/>
          <w:bCs/>
          <w:lang w:val="el" w:eastAsia="el"/>
        </w:rPr>
        <w:t>εμπορευμάτων υποκειμένων σε δασμούς, φόρους και λοιπές επιβαρύνσεις που</w:t>
      </w:r>
    </w:p>
    <w:p>
      <w:pPr>
        <w:spacing w:before="240" w:after="240"/>
        <w:rPr>
          <w:lang w:val="el" w:eastAsia="el"/>
        </w:rPr>
      </w:pPr>
      <w:r>
        <w:rPr>
          <w:b/>
          <w:bCs/>
          <w:lang w:val="el" w:eastAsia="el"/>
        </w:rPr>
        <w:t>εισπράττονται στα Τελωνεία, χωρίς τη γραπτή άδεια της αρμόδιας</w:t>
      </w:r>
    </w:p>
    <w:p>
      <w:pPr>
        <w:spacing w:before="240" w:after="240"/>
        <w:rPr>
          <w:lang w:val="el" w:eastAsia="el"/>
        </w:rPr>
      </w:pPr>
      <w:r>
        <w:rPr>
          <w:b/>
          <w:bCs/>
          <w:lang w:val="el" w:eastAsia="el"/>
        </w:rPr>
        <w:t>Τελωνειακής Αρχής ή σε άλλο από τον ορισμένο παρ` αυτής τόπο ή χρόνο.</w:t>
      </w:r>
    </w:p>
    <w:p>
      <w:pPr>
        <w:pStyle w:val="StructureList1"/>
        <w:spacing w:before="120" w:after="0"/>
        <w:rPr>
          <w:lang w:val="el" w:eastAsia="el"/>
        </w:rPr>
      </w:pPr>
      <w:r>
        <w:rPr>
          <w:b/>
          <w:bCs/>
          <w:lang w:val="el" w:eastAsia="el"/>
        </w:rPr>
        <w:t>β)</w:t>
      </w:r>
      <w:r>
        <w:rPr>
          <w:b/>
          <w:bCs/>
          <w:lang w:val="en" w:eastAsia="en"/>
        </w:rPr>
        <w:tab/>
      </w:r>
      <w:r>
        <w:rPr>
          <w:b/>
          <w:bCs/>
          <w:lang w:val="el" w:eastAsia="el"/>
        </w:rPr>
        <w:t>οποιαδήποτε ενέργεια, που αποσκοπεί να στερήσει το Ελληνικό</w:t>
      </w:r>
    </w:p>
    <w:p>
      <w:pPr>
        <w:spacing w:before="240" w:after="240"/>
        <w:rPr>
          <w:lang w:val="el" w:eastAsia="el"/>
        </w:rPr>
      </w:pPr>
      <w:r>
        <w:rPr>
          <w:b/>
          <w:bCs/>
          <w:lang w:val="el" w:eastAsia="el"/>
        </w:rPr>
        <w:t>Δημόσιο ή την Ευρωπαϊκή Ενωση των υπ` αυτών εισπρακτέων δασμών, φόρων</w:t>
      </w:r>
    </w:p>
    <w:p>
      <w:pPr>
        <w:spacing w:before="240" w:after="240"/>
        <w:rPr>
          <w:lang w:val="el" w:eastAsia="el"/>
        </w:rPr>
      </w:pPr>
      <w:r>
        <w:rPr>
          <w:b/>
          <w:bCs/>
          <w:lang w:val="el" w:eastAsia="el"/>
        </w:rPr>
        <w:t>και λοιπών επιβαρύνσεων από τα εισαγόμενα ή εξαγόμενα εμπορεύματα, και</w:t>
      </w:r>
    </w:p>
    <w:p>
      <w:pPr>
        <w:spacing w:before="240" w:after="240"/>
        <w:rPr>
          <w:lang w:val="el" w:eastAsia="el"/>
        </w:rPr>
      </w:pPr>
      <w:r>
        <w:rPr>
          <w:b/>
          <w:bCs/>
          <w:lang w:val="el" w:eastAsia="el"/>
        </w:rPr>
        <w:t>αν ακόμη αυτά εισπράχθηκαν κατά χρόνο και τρόπο διάφορο εκείνου που</w:t>
      </w:r>
    </w:p>
    <w:p>
      <w:pPr>
        <w:spacing w:before="240" w:after="240"/>
        <w:rPr>
          <w:lang w:val="el" w:eastAsia="el"/>
        </w:rPr>
      </w:pPr>
      <w:r>
        <w:rPr>
          <w:b/>
          <w:bCs/>
          <w:lang w:val="el" w:eastAsia="el"/>
        </w:rPr>
        <w:t>ορίζει ο νόμος.</w:t>
      </w:r>
    </w:p>
    <w:p>
      <w:pPr>
        <w:spacing w:before="240" w:after="240"/>
        <w:rPr>
          <w:lang w:val="el" w:eastAsia="el"/>
        </w:rPr>
      </w:pPr>
      <w:r>
        <w:rPr>
          <w:b/>
          <w:bCs/>
          <w:lang w:val="el" w:eastAsia="el"/>
        </w:rPr>
        <w:t>Οι παραβάσεις της παραγράφου αυτής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και αν ακόμη</w:t>
      </w:r>
    </w:p>
    <w:p>
      <w:pPr>
        <w:spacing w:before="240" w:after="240"/>
        <w:rPr>
          <w:lang w:val="el" w:eastAsia="el"/>
        </w:rPr>
      </w:pPr>
      <w:r>
        <w:rPr>
          <w:b/>
          <w:bCs/>
          <w:lang w:val="el" w:eastAsia="el"/>
        </w:rPr>
        <w:t>ήθελε κριθεί αρμοδίως ότι δεν συντρέχουν τα στοιχεία αξιοποίνου</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2.</w:t>
      </w:r>
      <w:r>
        <w:rPr>
          <w:b/>
          <w:bCs/>
          <w:lang w:val="el" w:eastAsia="el"/>
        </w:rPr>
        <w:t xml:space="preserve"> 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w:t>
      </w:r>
    </w:p>
    <w:p>
      <w:pPr>
        <w:spacing w:before="240" w:after="240"/>
        <w:rPr>
          <w:lang w:val="el" w:eastAsia="el"/>
        </w:rPr>
      </w:pPr>
      <w:r>
        <w:rPr>
          <w:b/>
          <w:bCs/>
          <w:lang w:val="el" w:eastAsia="el"/>
        </w:rPr>
        <w:t>Τελωνειακής Αρχής και πληρωμή του εισαγωγικού δασμού, φόρου και λοιπών</w:t>
      </w:r>
    </w:p>
    <w:p>
      <w:pPr>
        <w:spacing w:before="240" w:after="240"/>
        <w:rPr>
          <w:lang w:val="el" w:eastAsia="el"/>
        </w:rPr>
      </w:pPr>
      <w:r>
        <w:rPr>
          <w:b/>
          <w:bCs/>
          <w:lang w:val="el" w:eastAsia="el"/>
        </w:rPr>
        <w:t>επιβαρύνσεων, εμπορευμάτων, τα οποία έχουν εισαχθεί δυνάμει νόμου ή</w:t>
      </w:r>
    </w:p>
    <w:p>
      <w:pPr>
        <w:spacing w:before="240" w:after="240"/>
        <w:rPr>
          <w:lang w:val="el" w:eastAsia="el"/>
        </w:rPr>
      </w:pPr>
      <w:r>
        <w:rPr>
          <w:b/>
          <w:bCs/>
          <w:lang w:val="el" w:eastAsia="el"/>
        </w:rPr>
        <w:t>σύμβασης, ατελώς ή με μειωμένες επιβαρύνσεις για ορισμένες ειδικές</w:t>
      </w:r>
    </w:p>
    <w:p>
      <w:pPr>
        <w:spacing w:before="240" w:after="240"/>
        <w:rPr>
          <w:lang w:val="el" w:eastAsia="el"/>
        </w:rPr>
      </w:pPr>
      <w:r>
        <w:rPr>
          <w:b/>
          <w:bCs/>
          <w:lang w:val="el" w:eastAsia="el"/>
        </w:rPr>
        <w:t>χρήσεις ή η χρησιμοποίηση αυτών των εμπορευ μάτων σε άλλες χρήσεις</w:t>
      </w:r>
    </w:p>
    <w:p>
      <w:pPr>
        <w:spacing w:before="240" w:after="240"/>
        <w:rPr>
          <w:lang w:val="el" w:eastAsia="el"/>
        </w:rPr>
      </w:pPr>
      <w:r>
        <w:rPr>
          <w:b/>
          <w:bCs/>
          <w:lang w:val="el" w:eastAsia="el"/>
        </w:rPr>
        <w:t>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w:t>
      </w:r>
    </w:p>
    <w:p>
      <w:pPr>
        <w:spacing w:before="240" w:after="240"/>
        <w:rPr>
          <w:lang w:val="el" w:eastAsia="el"/>
        </w:rPr>
      </w:pPr>
      <w:r>
        <w:rPr>
          <w:b/>
          <w:bCs/>
          <w:lang w:val="el" w:eastAsia="el"/>
        </w:rPr>
        <w:t>απόφαση της αρμόδιας Αρχής, είναι απαγορευμένη η εξαγωγή ή η εισαγωγή,</w:t>
      </w:r>
    </w:p>
    <w:p>
      <w:pPr>
        <w:spacing w:before="240" w:after="240"/>
        <w:rPr>
          <w:lang w:val="el" w:eastAsia="el"/>
        </w:rPr>
      </w:pPr>
      <w:r>
        <w:rPr>
          <w:b/>
          <w:bCs/>
          <w:lang w:val="el" w:eastAsia="el"/>
        </w:rPr>
        <w:t>εκτός εάν με έγγραφη άδεια επιτράπηκε αυτή κατ` εξαίρεση της</w:t>
      </w:r>
    </w:p>
    <w:p>
      <w:pPr>
        <w:spacing w:before="240" w:after="240"/>
        <w:rPr>
          <w:lang w:val="el" w:eastAsia="el"/>
        </w:rPr>
      </w:pPr>
      <w:r>
        <w:rPr>
          <w:b/>
          <w:bCs/>
          <w:lang w:val="el" w:eastAsia="el"/>
        </w:rPr>
        <w:t>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w:t>
      </w:r>
    </w:p>
    <w:p>
      <w:pPr>
        <w:spacing w:before="240" w:after="240"/>
        <w:rPr>
          <w:lang w:val="el" w:eastAsia="el"/>
        </w:rPr>
      </w:pPr>
      <w:r>
        <w:rPr>
          <w:b/>
          <w:bCs/>
          <w:lang w:val="el" w:eastAsia="el"/>
        </w:rPr>
        <w:t>στερήσει το Δημόσιο από τους εισπρακτέους δασμούς, φόρους και λοιπές</w:t>
      </w:r>
    </w:p>
    <w:p>
      <w:pPr>
        <w:spacing w:before="240" w:after="240"/>
        <w:rPr>
          <w:lang w:val="el" w:eastAsia="el"/>
        </w:rPr>
      </w:pPr>
      <w:r>
        <w:rPr>
          <w:b/>
          <w:bCs/>
          <w:lang w:val="el" w:eastAsia="el"/>
        </w:rPr>
        <w:t>επιβαρύνσεις επί των ελλειπόντων, εκτός αν το σύνολο των ως άνω</w:t>
      </w:r>
    </w:p>
    <w:p>
      <w:pPr>
        <w:spacing w:before="240" w:after="240"/>
        <w:rPr>
          <w:lang w:val="el" w:eastAsia="el"/>
        </w:rPr>
      </w:pPr>
      <w:r>
        <w:rPr>
          <w:b/>
          <w:bCs/>
          <w:lang w:val="el" w:eastAsia="el"/>
        </w:rPr>
        <w:t>δασμοφορολογικών και λοιπών επιβαρύνσεων που αναλογούν στα ελλείποντα</w:t>
      </w:r>
    </w:p>
    <w:p>
      <w:pPr>
        <w:spacing w:before="240" w:after="240"/>
        <w:rPr>
          <w:lang w:val="el" w:eastAsia="el"/>
        </w:rPr>
      </w:pPr>
      <w:r>
        <w:rPr>
          <w:b/>
          <w:bCs/>
          <w:lang w:val="el" w:eastAsia="el"/>
        </w:rPr>
        <w:t>εμπορεύματα δεν υπερβαίνει τα χίλια πεντακόσια (1.500) ευρώ και</w:t>
      </w:r>
    </w:p>
    <w:p>
      <w:pPr>
        <w:spacing w:before="240" w:after="240"/>
        <w:rPr>
          <w:lang w:val="el" w:eastAsia="el"/>
        </w:rPr>
      </w:pPr>
      <w:r>
        <w:rPr>
          <w:b/>
          <w:bCs/>
          <w:lang w:val="el" w:eastAsia="el"/>
        </w:rPr>
        <w:t>καταβληθούν τα οφειλόμενα μέσα σε 48 ώρες, από την ανακάλυψη και</w:t>
      </w:r>
    </w:p>
    <w:p>
      <w:pPr>
        <w:spacing w:before="240" w:after="240"/>
        <w:rPr>
          <w:lang w:val="el" w:eastAsia="el"/>
        </w:rPr>
      </w:pPr>
      <w:r>
        <w:rPr>
          <w:b/>
          <w:bCs/>
          <w:lang w:val="el" w:eastAsia="el"/>
        </w:rPr>
        <w:t>βεβαίωση του ελλείμματος, οπότε χαρακτηρίζεται η πράξη ως απλή</w:t>
      </w:r>
    </w:p>
    <w:p>
      <w:pPr>
        <w:spacing w:before="240" w:after="240"/>
        <w:rPr>
          <w:lang w:val="el" w:eastAsia="el"/>
        </w:rPr>
      </w:pPr>
      <w:r>
        <w:rPr>
          <w:b/>
          <w:bCs/>
          <w:lang w:val="el" w:eastAsia="el"/>
        </w:rPr>
        <w:t>τελωνειακή παράβαση και εφαρμόζεται η διάταξη της παραγράφου 3 του</w:t>
      </w:r>
    </w:p>
    <w:p>
      <w:pPr>
        <w:spacing w:before="240" w:after="240"/>
        <w:rPr>
          <w:lang w:val="el" w:eastAsia="el"/>
        </w:rPr>
      </w:pPr>
      <w:r>
        <w:rPr>
          <w:b/>
          <w:bCs/>
          <w:lang w:val="el" w:eastAsia="el"/>
        </w:rPr>
        <w:t>άρθρου 148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w:t>
      </w:r>
    </w:p>
    <w:p>
      <w:pPr>
        <w:spacing w:before="240" w:after="240"/>
        <w:rPr>
          <w:lang w:val="el" w:eastAsia="el"/>
        </w:rPr>
      </w:pPr>
      <w:r>
        <w:rPr>
          <w:b/>
          <w:bCs/>
          <w:lang w:val="el" w:eastAsia="el"/>
        </w:rPr>
        <w:t>παραπλέουν στην ακτή και κατευθύνονται σε ελληνικό λιμάνι χωρίς να</w:t>
      </w:r>
    </w:p>
    <w:p>
      <w:pPr>
        <w:spacing w:before="240" w:after="240"/>
        <w:rPr>
          <w:lang w:val="el" w:eastAsia="el"/>
        </w:rPr>
      </w:pPr>
      <w:r>
        <w:rPr>
          <w:b/>
          <w:bCs/>
          <w:lang w:val="el" w:eastAsia="el"/>
        </w:rPr>
        <w:t>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w:t>
      </w:r>
    </w:p>
    <w:p>
      <w:pPr>
        <w:spacing w:before="240" w:after="240"/>
        <w:rPr>
          <w:lang w:val="el" w:eastAsia="el"/>
        </w:rPr>
      </w:pPr>
      <w:r>
        <w:rPr>
          <w:b/>
          <w:bCs/>
          <w:lang w:val="el" w:eastAsia="el"/>
        </w:rPr>
        <w:t>πλοίο, πλοιάριο ή πλωτό μέσο ανεξαρτήτου χωρητικότητας, το οποίο έχει</w:t>
      </w:r>
    </w:p>
    <w:p>
      <w:pPr>
        <w:spacing w:before="240" w:after="240"/>
        <w:rPr>
          <w:lang w:val="el" w:eastAsia="el"/>
        </w:rPr>
      </w:pPr>
      <w:r>
        <w:rPr>
          <w:b/>
          <w:bCs/>
          <w:lang w:val="el" w:eastAsia="el"/>
        </w:rPr>
        <w:t>προσορμίσει χωρίς ανώτερη βία σε λιμάνι ή όρμο του Κράτους, στο οποίο</w:t>
      </w:r>
    </w:p>
    <w:p>
      <w:pPr>
        <w:spacing w:before="240" w:after="240"/>
        <w:rPr>
          <w:lang w:val="el" w:eastAsia="el"/>
        </w:rPr>
      </w:pPr>
      <w:r>
        <w:rPr>
          <w:b/>
          <w:bCs/>
          <w:lang w:val="el" w:eastAsia="el"/>
        </w:rPr>
        <w:t>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w:t>
      </w:r>
    </w:p>
    <w:p>
      <w:pPr>
        <w:spacing w:before="240" w:after="240"/>
        <w:rPr>
          <w:lang w:val="el" w:eastAsia="el"/>
        </w:rPr>
      </w:pPr>
      <w:r>
        <w:rPr>
          <w:b/>
          <w:bCs/>
          <w:lang w:val="el" w:eastAsia="el"/>
        </w:rPr>
        <w:t>που φορτώθηκαν για το εξωτερικό ή για άλλο λιμάνι του Κράτους με</w:t>
      </w:r>
    </w:p>
    <w:p>
      <w:pPr>
        <w:spacing w:before="240" w:after="240"/>
        <w:rPr>
          <w:lang w:val="el" w:eastAsia="el"/>
        </w:rPr>
      </w:pPr>
      <w:r>
        <w:rPr>
          <w:b/>
          <w:bCs/>
          <w:lang w:val="el" w:eastAsia="el"/>
        </w:rPr>
        <w:t>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w:t>
      </w:r>
    </w:p>
    <w:p>
      <w:pPr>
        <w:spacing w:before="240" w:after="240"/>
        <w:rPr>
          <w:lang w:val="el" w:eastAsia="el"/>
        </w:rPr>
      </w:pPr>
      <w:r>
        <w:rPr>
          <w:b/>
          <w:bCs/>
          <w:lang w:val="el" w:eastAsia="el"/>
        </w:rPr>
        <w:t>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w:t>
      </w:r>
    </w:p>
    <w:p>
      <w:pPr>
        <w:spacing w:before="240" w:after="240"/>
        <w:rPr>
          <w:lang w:val="el" w:eastAsia="el"/>
        </w:rPr>
      </w:pPr>
      <w:r>
        <w:rPr>
          <w:b/>
          <w:bCs/>
          <w:lang w:val="el" w:eastAsia="el"/>
        </w:rPr>
        <w:t>αυτοκίνητο ή παραποίηση αυτού και η με οποιονδήποτε τρόπο τοποθέτησή</w:t>
      </w:r>
    </w:p>
    <w:p>
      <w:pPr>
        <w:spacing w:before="240" w:after="240"/>
        <w:rPr>
          <w:lang w:val="el" w:eastAsia="el"/>
        </w:rPr>
      </w:pPr>
      <w:r>
        <w:rPr>
          <w:b/>
          <w:bCs/>
          <w:lang w:val="el" w:eastAsia="el"/>
        </w:rPr>
        <w:t>του, ενσωμάτωσή του σε άλλο αυτοκίνητο, για το οποίο δεν έχουν</w:t>
      </w:r>
    </w:p>
    <w:p>
      <w:pPr>
        <w:spacing w:before="240" w:after="240"/>
        <w:rPr>
          <w:lang w:val="el" w:eastAsia="el"/>
        </w:rPr>
      </w:pPr>
      <w:r>
        <w:rPr>
          <w:b/>
          <w:bCs/>
          <w:lang w:val="el" w:eastAsia="el"/>
        </w:rPr>
        <w:t>καταβληθεί οι οφειλόμενοι δασμοί και λοιποί φόροι. Ως αυτουργοί του</w:t>
      </w:r>
    </w:p>
    <w:p>
      <w:pPr>
        <w:spacing w:before="240" w:after="240"/>
        <w:rPr>
          <w:lang w:val="el" w:eastAsia="el"/>
        </w:rPr>
      </w:pPr>
      <w:r>
        <w:rPr>
          <w:b/>
          <w:bCs/>
          <w:lang w:val="el" w:eastAsia="el"/>
        </w:rPr>
        <w:t>αδικήματος διώκονται τόσο οι τεχνικοί και οι άλλοι εκτελούντες τις</w:t>
      </w:r>
    </w:p>
    <w:p>
      <w:pPr>
        <w:spacing w:before="240" w:after="240"/>
        <w:rPr>
          <w:lang w:val="el" w:eastAsia="el"/>
        </w:rPr>
      </w:pPr>
      <w:r>
        <w:rPr>
          <w:b/>
          <w:bCs/>
          <w:lang w:val="el" w:eastAsia="el"/>
        </w:rPr>
        <w:t>σχετικές εργασίες, όσο και ο ιδιοκτήτης ή εκμεταλλευόμενος το</w:t>
      </w:r>
    </w:p>
    <w:p>
      <w:pPr>
        <w:spacing w:before="240" w:after="240"/>
        <w:rPr>
          <w:lang w:val="el" w:eastAsia="el"/>
        </w:rPr>
      </w:pPr>
      <w:r>
        <w:rPr>
          <w:b/>
          <w:bCs/>
          <w:lang w:val="el" w:eastAsia="el"/>
        </w:rPr>
        <w:t>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r>
        <w:rPr>
          <w:rStyle w:val="Hyperlink"/>
          <w:b/>
          <w:bCs/>
          <w:color w:val="000000"/>
          <w:sz w:val="20"/>
          <w:szCs w:val="20"/>
          <w:u w:val="none" w:color="0000EE"/>
          <w:vertAlign w:val="superscript"/>
          <w:lang w:val="el" w:eastAsia="el"/>
        </w:rPr>
        <w:footnoteReference w:id="317"/>
      </w:r>
      <w:r>
        <w:rPr>
          <w:b/>
          <w:bCs/>
          <w:lang w:val="el" w:eastAsia="el"/>
        </w:rPr>
        <w:t>.</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w:t>
      </w:r>
    </w:p>
    <w:p>
      <w:pPr>
        <w:spacing w:before="240" w:after="240"/>
        <w:rPr>
          <w:lang w:val="el" w:eastAsia="el"/>
        </w:rPr>
      </w:pPr>
      <w:r>
        <w:rPr>
          <w:b/>
          <w:bCs/>
          <w:lang w:val="el" w:eastAsia="el"/>
        </w:rPr>
        <w:t>και χλωρίδας που κινδυνεύουν με εξαφάνιση, και προστατεύονται από</w:t>
      </w:r>
    </w:p>
    <w:p>
      <w:pPr>
        <w:spacing w:before="240" w:after="240"/>
        <w:rPr>
          <w:lang w:val="el" w:eastAsia="el"/>
        </w:rPr>
      </w:pPr>
      <w:r>
        <w:rPr>
          <w:b/>
          <w:bCs/>
          <w:lang w:val="el" w:eastAsia="el"/>
        </w:rPr>
        <w:t>Κοινοτικές ή Διεθνείς Συμβάσεις, τιμωρείται με τις διατάξεις περί</w:t>
      </w:r>
    </w:p>
    <w:p>
      <w:pPr>
        <w:spacing w:before="240" w:after="240"/>
        <w:rPr>
          <w:lang w:val="el" w:eastAsia="el"/>
        </w:rPr>
      </w:pPr>
      <w:r>
        <w:rPr>
          <w:b/>
          <w:bCs/>
          <w:lang w:val="el" w:eastAsia="el"/>
        </w:rPr>
        <w:t>λαθρεμπορίας, εκτός της περίπτωσης λαθραίας εισαγωγής αγρίων ζώντων</w:t>
      </w:r>
    </w:p>
    <w:p>
      <w:pPr>
        <w:spacing w:before="240" w:after="240"/>
        <w:rPr>
          <w:lang w:val="el" w:eastAsia="el"/>
        </w:rPr>
      </w:pPr>
      <w:r>
        <w:rPr>
          <w:b/>
          <w:bCs/>
          <w:lang w:val="el" w:eastAsia="el"/>
        </w:rPr>
        <w:t>ζώων, η οποία τιμωρείται με πρόστιμο τριών χιλιάδων (3.000) ευρώ. Το</w:t>
      </w:r>
    </w:p>
    <w:p>
      <w:pPr>
        <w:spacing w:before="240" w:after="240"/>
        <w:rPr>
          <w:lang w:val="el" w:eastAsia="el"/>
        </w:rPr>
      </w:pPr>
      <w:r>
        <w:rPr>
          <w:b/>
          <w:bCs/>
          <w:lang w:val="el" w:eastAsia="el"/>
        </w:rPr>
        <w:t>πρόστιμο επιβάλλεται ανεξαρτήτως των κυρώσεων που τυχών προβλέπονται</w:t>
      </w:r>
    </w:p>
    <w:p>
      <w:pPr>
        <w:spacing w:before="240" w:after="240"/>
        <w:rPr>
          <w:lang w:val="el" w:eastAsia="el"/>
        </w:rPr>
      </w:pPr>
      <w:r>
        <w:rPr>
          <w:b/>
          <w:bCs/>
          <w:lang w:val="el" w:eastAsia="el"/>
        </w:rPr>
        <w:t>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w:t>
      </w:r>
    </w:p>
    <w:p>
      <w:pPr>
        <w:spacing w:before="240" w:after="240"/>
        <w:rPr>
          <w:lang w:val="el" w:eastAsia="el"/>
        </w:rPr>
      </w:pPr>
      <w:r>
        <w:rPr>
          <w:b/>
          <w:bCs/>
          <w:lang w:val="el" w:eastAsia="el"/>
        </w:rPr>
        <w:t>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w:t>
      </w:r>
    </w:p>
    <w:p>
      <w:pPr>
        <w:spacing w:before="240" w:after="240"/>
        <w:rPr>
          <w:lang w:val="el" w:eastAsia="el"/>
        </w:rPr>
      </w:pPr>
      <w:r>
        <w:rPr>
          <w:b/>
          <w:bCs/>
          <w:lang w:val="el" w:eastAsia="el"/>
        </w:rPr>
        <w:t>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w:t>
      </w:r>
    </w:p>
    <w:p>
      <w:pPr>
        <w:spacing w:before="240" w:after="240"/>
        <w:rPr>
          <w:lang w:val="el" w:eastAsia="el"/>
        </w:rPr>
      </w:pPr>
      <w:r>
        <w:rPr>
          <w:b/>
          <w:bCs/>
          <w:lang w:val="el" w:eastAsia="el"/>
        </w:rPr>
        <w:t>επιβολής του πολλαπλού τέλους θα λαμβάνεται η αξία των ειδών αυτών,</w:t>
      </w:r>
    </w:p>
    <w:p>
      <w:pPr>
        <w:spacing w:before="240" w:after="240"/>
        <w:rPr>
          <w:lang w:val="el" w:eastAsia="el"/>
        </w:rPr>
      </w:pPr>
      <w:r>
        <w:rPr>
          <w:b/>
          <w:bCs/>
          <w:lang w:val="el" w:eastAsia="el"/>
        </w:rPr>
        <w:t>όπως αυτή θα προσδιορίζεται από την αρμόδια Υπηρεσία του Υπουργείου</w:t>
      </w:r>
    </w:p>
    <w:p>
      <w:pPr>
        <w:spacing w:before="240" w:after="240"/>
        <w:rPr>
          <w:lang w:val="el" w:eastAsia="el"/>
        </w:rPr>
      </w:pPr>
      <w:r>
        <w:rPr>
          <w:b/>
          <w:bCs/>
          <w:lang w:val="el" w:eastAsia="el"/>
        </w:rPr>
        <w:t>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Με κάθειρξη, εάν οι δασμοί, φόροι και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318"/>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319"/>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320"/>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Με απόφαση του Υπουργού των Οικονομικών καθορίζονται οι όροι και</w:t>
      </w:r>
    </w:p>
    <w:p>
      <w:pPr>
        <w:spacing w:before="240" w:after="240"/>
        <w:rPr>
          <w:lang w:val="el" w:eastAsia="el"/>
        </w:rPr>
      </w:pPr>
      <w:r>
        <w:rPr>
          <w:b/>
          <w:bCs/>
          <w:lang w:val="el" w:eastAsia="el"/>
        </w:rPr>
        <w:t>οι προϋποθέσεις χορήγησης χρηματικών αμοιβών προς τους συμβάλλοντες</w:t>
      </w:r>
    </w:p>
    <w:p>
      <w:pPr>
        <w:spacing w:before="240" w:after="240"/>
        <w:rPr>
          <w:lang w:val="el" w:eastAsia="el"/>
        </w:rPr>
      </w:pPr>
      <w:r>
        <w:rPr>
          <w:b/>
          <w:bCs/>
          <w:lang w:val="el" w:eastAsia="el"/>
        </w:rPr>
        <w:t>στην κατάσχεση λαθρεμπορευμάτων ή στους πληροφοριοδότες καταστολής</w:t>
      </w:r>
    </w:p>
    <w:p>
      <w:pPr>
        <w:spacing w:before="240" w:after="240"/>
        <w:rPr>
          <w:lang w:val="el" w:eastAsia="el"/>
        </w:rPr>
      </w:pPr>
      <w:r>
        <w:rPr>
          <w:b/>
          <w:bCs/>
          <w:lang w:val="el" w:eastAsia="el"/>
        </w:rPr>
        <w:t>λαθρεμπορικών πράξεων.</w:t>
      </w:r>
    </w:p>
    <w:p>
      <w:pPr>
        <w:spacing w:before="240" w:after="240"/>
        <w:rPr>
          <w:lang w:val="el" w:eastAsia="el"/>
        </w:rPr>
      </w:pPr>
      <w:r>
        <w:rPr>
          <w:b/>
          <w:bCs/>
          <w:lang w:val="el" w:eastAsia="el"/>
        </w:rPr>
        <w:t>Με την ίδια απόφαση καθορίζονται επίσης τα ποσοστά χορήγησης</w:t>
      </w:r>
    </w:p>
    <w:p>
      <w:pPr>
        <w:spacing w:before="240" w:after="240"/>
        <w:rPr>
          <w:lang w:val="el" w:eastAsia="el"/>
        </w:rPr>
      </w:pPr>
      <w:r>
        <w:rPr>
          <w:b/>
          <w:bCs/>
          <w:lang w:val="el" w:eastAsia="el"/>
        </w:rPr>
        <w:t>χρηματικών αμοιβών, επί των εισπραχθέντων πολλαπλών τελών, ή του</w:t>
      </w:r>
    </w:p>
    <w:p>
      <w:pPr>
        <w:spacing w:before="240" w:after="240"/>
        <w:rPr>
          <w:lang w:val="el" w:eastAsia="el"/>
        </w:rPr>
      </w:pPr>
      <w:r>
        <w:rPr>
          <w:b/>
          <w:bCs/>
          <w:lang w:val="el" w:eastAsia="el"/>
        </w:rPr>
        <w:t>πλειστηριάσματος και μέχρι του ποσοστού είκοσι τοις εκατό (20%),</w:t>
      </w:r>
    </w:p>
    <w:p>
      <w:pPr>
        <w:spacing w:before="240" w:after="240"/>
        <w:rPr>
          <w:lang w:val="el" w:eastAsia="el"/>
        </w:rPr>
      </w:pPr>
      <w:r>
        <w:rPr>
          <w:b/>
          <w:bCs/>
          <w:lang w:val="el" w:eastAsia="el"/>
        </w:rPr>
        <w:t>αναλόγως των συνθηκών ανακάλυψης εκάστης συγκεκριμένης λαθρεμπορίας.</w:t>
      </w:r>
    </w:p>
    <w:p>
      <w:pPr>
        <w:pStyle w:val="Heading6"/>
        <w:spacing w:before="240" w:after="240"/>
        <w:rPr>
          <w:lang w:val="el" w:eastAsia="el"/>
        </w:rPr>
      </w:pP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21"/>
      </w:r>
      <w:r>
        <w:rPr>
          <w:b/>
          <w:bCs/>
          <w:lang w:val="el" w:eastAsia="el"/>
        </w:rPr>
        <w:t>Οταν η Τελωνειακή Αρχή παραλάβει τα εμπορεύματα που κατασχέθηκαν, σύμφωνα με τα οριζόμενα στα άρθρα 164 και επόμενα του παρόντα Κώδικα, δημοσιεύει με τοιχοκόλληση στο Τελωνειακό Κατάστημα, πρόσκληση προς κάθε ενδιαφερόμενο ώστε να εμφανισθεί εντός πέντε (5) ημερών και προκαταβάλει τις αναγκαίες δαπάνες για τη φύλαξη αυτών μέχρι τελεσιδικίας της απόφασης, η οποία θα αποφανθεί για τη δήμευση αυτών. Το ποσό των δαπανών ορίζει ο Προϊστάμενος του Τελωνείου με πρωτόκολλο, με το οποίο δύναται να ορισθεί και η κατά χρονικά διαστήματα προκαταβολή.</w:t>
      </w:r>
    </w:p>
    <w:p>
      <w:pPr>
        <w:spacing w:before="240" w:after="240"/>
        <w:rPr>
          <w:lang w:val="el" w:eastAsia="el"/>
        </w:rPr>
      </w:pPr>
      <w:r>
        <w:rPr>
          <w:b/>
          <w:bCs/>
          <w:lang w:val="el" w:eastAsia="el"/>
        </w:rPr>
        <w:t>Για τα κατασχεθέντα μεταφορικά μέσα εφαρμογή έχουν τα οριζόμενα στο άρθρο 177..</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rStyle w:val="Hyperlink"/>
          <w:b/>
          <w:bCs/>
          <w:color w:val="000000"/>
          <w:sz w:val="20"/>
          <w:szCs w:val="20"/>
          <w:u w:val="none" w:color="0000EE"/>
          <w:vertAlign w:val="superscript"/>
          <w:lang w:val="el" w:eastAsia="el"/>
        </w:rPr>
        <w:footnoteReference w:id="322"/>
      </w:r>
      <w:r>
        <w:rPr>
          <w:b/>
          <w:bCs/>
          <w:lang w:val="el" w:eastAsia="el"/>
        </w:rPr>
        <w:t>σε τρεις (3) μονοήμερες διαδοχικές δημοπρασίεςκαι αν ακόμη προσφέρεται σε καταβολή των εξόδων 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23"/>
      </w:r>
      <w:r>
        <w:rPr>
          <w:b/>
          <w:bCs/>
          <w:lang w:val="el" w:eastAsia="el"/>
        </w:rPr>
        <w:t>Βιομηχανοποιημένα καπνά, που κατάσχονται, ως αντικείμενο λαθρεμπορίας παρερχομένων απράκτων των προθεσμιών που ορίζονται από τις διατάξεις της παραγράφου 2 του άρθρου 167 του παρόντος Κώδικα καταστρέφονται ενώπιον τριμελούς επιτροπής, που αποτελείται από τον προϊστάμενο της αρμόδιας Τελωνειακής Αρχής ή τον νόμιμο αναπληρωτή του, τον προϊστάμενο του δικαστικού τμήματος και έναν υπάλληλο με ελεγκτικά καθήκοντα της ίδιας Τελωνειακής Αρχής. Για την καταστροφή συντάσσεται σχετικό πρωτόκολλο.</w:t>
      </w:r>
    </w:p>
    <w:p>
      <w:pPr>
        <w:spacing w:before="240" w:after="240"/>
        <w:rPr>
          <w:lang w:val="el" w:eastAsia="el"/>
        </w:rPr>
      </w:pPr>
      <w:r>
        <w:rPr>
          <w:b/>
          <w:bCs/>
          <w:lang w:val="el" w:eastAsia="el"/>
        </w:rPr>
        <w:t>Ομοίως καταστρέφονται μετά από τήρηση της ίδιας διαδικασίας τα ανωτέρω προϊόντα σε περίπτωση δήμευσης τους από το δικαστήριο.</w:t>
      </w:r>
    </w:p>
    <w:p>
      <w:pPr>
        <w:pStyle w:val="MainText"/>
        <w:spacing w:before="120" w:after="0"/>
        <w:rPr>
          <w:lang w:val="el" w:eastAsia="el"/>
        </w:rPr>
      </w:pPr>
      <w:r>
        <w:rPr>
          <w:b/>
          <w:bCs/>
          <w:lang w:val="el" w:eastAsia="el"/>
        </w:rPr>
        <w:t>5.</w:t>
      </w:r>
      <w:r>
        <w:rPr>
          <w:b/>
          <w:bCs/>
          <w:lang w:val="el" w:eastAsia="el"/>
        </w:rPr>
        <w:t xml:space="preserve"> Κανένα δικαίωμα αποζημίωσης δεν δύναται να γεννηθεί κατά του</w:t>
      </w:r>
    </w:p>
    <w:p>
      <w:pPr>
        <w:spacing w:before="240" w:after="240"/>
        <w:rPr>
          <w:lang w:val="el" w:eastAsia="el"/>
        </w:rPr>
      </w:pPr>
      <w:r>
        <w:rPr>
          <w:b/>
          <w:bCs/>
          <w:lang w:val="el" w:eastAsia="el"/>
        </w:rPr>
        <w:t>Δημοσίου για οποιονδήποτε λόγο από νόμιμη κατάσχεση, εκποίηση ή</w:t>
      </w:r>
    </w:p>
    <w:p>
      <w:pPr>
        <w:spacing w:before="240" w:after="240"/>
        <w:rPr>
          <w:lang w:val="el" w:eastAsia="el"/>
        </w:rPr>
      </w:pPr>
      <w:r>
        <w:rPr>
          <w:b/>
          <w:bCs/>
          <w:lang w:val="el" w:eastAsia="el"/>
        </w:rPr>
        <w:t>καταστροφή των κατασχεθέντων λόγω λαθρεμπορίας.</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324"/>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325"/>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r>
        <w:rPr>
          <w:rStyle w:val="Hyperlink"/>
          <w:b/>
          <w:bCs/>
          <w:color w:val="000000"/>
          <w:sz w:val="20"/>
          <w:szCs w:val="20"/>
          <w:u w:val="none" w:color="0000EE"/>
          <w:vertAlign w:val="superscript"/>
          <w:lang w:val="el" w:eastAsia="el"/>
        </w:rPr>
        <w:footnoteReference w:id="326"/>
      </w:r>
      <w:r>
        <w:rPr>
          <w:rStyle w:val="Hyperlink"/>
          <w:b/>
          <w:bCs/>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1.</w:t>
      </w:r>
      <w:r>
        <w:rPr>
          <w:b/>
          <w:bCs/>
          <w:lang w:val="el" w:eastAsia="el"/>
        </w:rPr>
        <w:t xml:space="preserve"> α) Στις περιπτώσεις κατά τις οποίες κατάσχονται χερσαία ή εναέρια μεταφορικά μέσα ή μηχανήματα έργου ή εμπορευματοκιβώτια, ως αντικείμενα λαθρεμπορίας ή ως μεταφορικά μέσα αντικειμένων λαθρεμπορίας, ναρκωτικών ουσιών, μεταναστών χωρίς νομιμοποιητικά έγγραφα, όπλων, εκρηκτικών ή για διάπραξη οποιουδήποτε ποινικού αδικήματος εν γένει, το υπηρεσιακό όργανο το οποίο επέβαλε την κατάσχεση ή η Υπηρεσία στην οποία υπηρετεί αυτό, τα παραδίδει, μαζί με αντίγραφο της έκθεσης κατάσχεσης, στην αρμόδια Τελωνειακή Αρχή (αρμόδιο Τελωνείο ή Διεύθυνση Διαχείρισης Δημόσιου Υλικού της Γενικής Διεύθυνσης Τελωνείων και Ε.Φ.Κ. της Ανεξάρτητης Αρχής Δημοσίων Εσόδων), που ορίζεται αποκλειστικός μεσεγγυούχος, συντασσόμενης έκθεσης παράδοσης και παραλαβής. Εάν οι παραπάνω υπηρεσίες αποδεδειγμένα στερούνται χώρων και δυνατοτήτων φύλαξης, τα κατασχεθέντα αντικείμενα δύναται να παραμένουν στην παραφυλακή της υπηρεσίας που προέβη στην κατάσχεση, εάν είναι αναγκαίο και με τη συνδρομή άλλων δημοσίων υπηρεσιών, η δε αρμόδια Τελωνειακή Αρχή οφείλει να μεριμνήσει για την άμεση διαχείριση τους. Για τη φύλαξη των εναέριων μέσων, εφόσον είναι αδύνατη η φύλαξη τους στο χώρο της κατάσχεσης, ζητείται η συνδρομή του πλησιέστερου πολιτικού ή στρατιωτικού αεροδρομίου.</w:t>
      </w:r>
    </w:p>
    <w:p>
      <w:pPr>
        <w:pStyle w:val="StructureList1"/>
        <w:spacing w:before="120" w:after="0"/>
        <w:rPr>
          <w:lang w:val="el" w:eastAsia="el"/>
        </w:rPr>
      </w:pPr>
      <w:r>
        <w:rPr>
          <w:b/>
          <w:bCs/>
          <w:lang w:val="el" w:eastAsia="el"/>
        </w:rPr>
        <w:t>β)</w:t>
      </w:r>
      <w:r>
        <w:rPr>
          <w:b/>
          <w:bCs/>
          <w:lang w:val="en" w:eastAsia="en"/>
        </w:rPr>
        <w:tab/>
      </w:r>
      <w:r>
        <w:rPr>
          <w:b/>
          <w:bCs/>
          <w:lang w:val="el" w:eastAsia="el"/>
        </w:rPr>
        <w:t>Το ίδιο ως άνω όργανο ή η Υπηρεσία, στην οποία υπηρετεί αυτό, επισυνάπτει τα πρωτότυπα της έκθεσης κατάσχεσης και της έκθεσης παράδοσης και παραλαβής, εφόσον αυτή έχει πραγματοποιηθεί, στα υποβαλλόμενα στον αρμόδιο Εισαγγελέα στοιχεία της προανάκρισης και κοινοποιεί υποχρεωτικά αντίγραφο του διαβιβαστικού εγγράφου της προανάκρισης στη Διεύθυνση Διαχείρισης Δημόσιου Υλικού ή στο αρμόδιο Τελωνείο, κατά περίπτωση.</w:t>
      </w:r>
    </w:p>
    <w:p>
      <w:pPr>
        <w:pStyle w:val="MainText"/>
        <w:spacing w:before="120" w:after="0"/>
        <w:rPr>
          <w:lang w:val="el" w:eastAsia="el"/>
        </w:rPr>
      </w:pPr>
      <w:r>
        <w:rPr>
          <w:b/>
          <w:bCs/>
          <w:lang w:val="el" w:eastAsia="el"/>
        </w:rPr>
        <w:t>2.</w:t>
      </w:r>
      <w:r>
        <w:rPr>
          <w:b/>
          <w:bCs/>
          <w:lang w:val="el" w:eastAsia="el"/>
        </w:rPr>
        <w:t xml:space="preserve"> α) Οταν κατάσχονται πλωτά μέσα, ναυτιλιακός εξοπλισμός, τόσο ως εξοπλισμός επί πλωτού μέσου, όσο και ως μεμονωμένος εξοπλισμός, μηχανές πρόωσης κάθε είδους, τόσο επί του πλωτού μέσου, όσο και μεμονωμένα, ως αντικείμενα λαθρεμπορίας ή ως μεταφορικά μέσα αντικειμένων λαθρεμπορίας ή ναρκωτικών ουσιών ή μεταναστών χωρίς νομιμοποιητικά έγγραφα ή όπλων ή εκρηκτικών ή για διάπραξη οποιουδήποτε ποινικού αδικήματος εν γένει, η κατά τόπο αρμόδια Λιμενική Αρχή φυλάσσει αυτά και, αν είναι η κατάσχουσα αρχή, διαβιβάζει αντίγραφο της έκθεσης κατάσχεσης, μαζί με τα υποβαλλόμενα στον αρμόδιο Εισαγγελέα στοιχεία της προανάκρισης, στο αρμόδιο Τελωνείο και στη Διεύθυνση Διαχείρισης Δημόσιου Υλικού, για τη διαχείρισή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Τα κατασχεθέντα πλωτά μέσα, ναυτιλιακός εξοπλισμός, τόσο ως εξοπλισμός επί πλωτού μέσου, όσο και ως μεμονωμένος εξοπλισμός, μηχανές πρόωσης κάθε είδους, τόσο επί του πλωτού μέσου, όσο και μεμονωμένα, παραμένουν στην παραφυλακή της Λιμενικής Αρχής, η οποία τα φυλάσσει, μέχρις ότου παραδοθούν στον αγοραστή που θα αναδειχθεί από τις πλειοδοτικές δημοπρασίες ή διατεθούν για την κάλυψη αναγκών του Δημοσίου ή αποδοθούν στον ιδιοκτήτη ή δοθεί εντολή καταστροφής τους, σύμφωνα με τα οριζόμενα στο παρόν άρθρο.</w:t>
      </w:r>
    </w:p>
    <w:p>
      <w:pPr>
        <w:pStyle w:val="StructureList1"/>
        <w:spacing w:before="120" w:after="0"/>
        <w:rPr>
          <w:lang w:val="el" w:eastAsia="el"/>
        </w:rPr>
      </w:pPr>
      <w:r>
        <w:rPr>
          <w:b/>
          <w:bCs/>
          <w:lang w:val="el" w:eastAsia="el"/>
        </w:rPr>
        <w:t>γ)</w:t>
      </w:r>
      <w:r>
        <w:rPr>
          <w:b/>
          <w:bCs/>
          <w:lang w:val="en" w:eastAsia="en"/>
        </w:rPr>
        <w:tab/>
      </w:r>
      <w:r>
        <w:rPr>
          <w:b/>
          <w:bCs/>
          <w:lang w:val="el" w:eastAsia="el"/>
        </w:rPr>
        <w:t>Για πλωτά μέσα αξίας άνω των έξι χιλιάδων (6.000) ευρώ με βάση την έκθεση κοστολόγησής τους δύναται η Λιμενική Αρχή, μόνο εάν τεκμηριωμένα υφίσταται πλήρης αδυναμία αυτής για την φύλαξη των κατασχεθέντων, να διορίσει ειδικό μεσεγγυούχο από τους εγγεγραμμένους στον ειδικό κατάλογο πραγματογνωμόνων. Ο ειδικός μεσεγγυούχος παραλαμβάνει το πλωτό μέσο με λεπτομερές πρωτόκολλο παράδοσης και παραλαβής, στο οποίο περιγράφονται αναλυτικά όλα τα στοιχεία αυτού και των εξαρτημάτων του. Με την ως άνω παραλαβή ο μεσεγγυούχος αναλαμβάνει την υποχρέωση να το φυλάσσει στην κατάσταση στην οποία το παρέλαβε και φέρει αποκλειστικά και προσωπικά την ευθύνη για οποιαδήποτε φθορά, ζημιά ή κλοπή εξαρτημάτων που θα προκληθεί σε αυτό. Η αποζημίωση και τα σχετικά έξοδα των μεσεγγυούχων εκκαθαρίζονται από την αρχή που διέταξε τη μεσεγγύηση ή φύλαξη ή από τον Εισαγγελέα Πρωτοδικών της περιφέρειας και η εκκαθάριση διαβιβάζεται στο Υπουργείο Δικαιοσύνης, Διαφάνειας και Ανθρωπίνων Δικαιωμάτων με τα σχετικά δικαιολογητικά για την πληρωμή του δικαιούχου.</w:t>
      </w:r>
    </w:p>
    <w:p>
      <w:pPr>
        <w:pStyle w:val="MainText"/>
        <w:spacing w:before="120" w:after="0"/>
        <w:rPr>
          <w:lang w:val="el" w:eastAsia="el"/>
        </w:rPr>
      </w:pPr>
      <w:r>
        <w:rPr>
          <w:b/>
          <w:bCs/>
          <w:lang w:val="el" w:eastAsia="el"/>
        </w:rPr>
        <w:t>3.</w:t>
      </w:r>
      <w:r>
        <w:rPr>
          <w:b/>
          <w:bCs/>
          <w:lang w:val="el" w:eastAsia="el"/>
        </w:rPr>
        <w:t xml:space="preserve"> Η αρμόδια Τελωνειακή Αρχή, στην οποία παραδόθηκαν τα κατασχεθέντα ή κοινοποιήθηκε η κατάσχεση των ειδών ή μεταφορικών μέσων που αναφέρονται στις παραγράφους 1 και 2, συντάσσει, εφόσον αυτά προέρχονται από χώρες εκτός Ευρωπαϊκής Ενωσης, έκθεση επαλήθευσης με την οποία προσδιορίζει τους δασμούς, φόρους και λοιπές επιβαρύνσεις που αναλογούν στην εισαγωγή τους και αποστέλλει αντίγραφο αυτής στον αρμόδιο Εισαγγελέα μέσα σε ένα (1) μήνα από την παράδοση των κατασχεθέντων ή την κοινοποίηση της έκθεσης κατάσχεσης.</w:t>
      </w:r>
    </w:p>
    <w:p>
      <w:pPr>
        <w:spacing w:before="240" w:after="240"/>
        <w:rPr>
          <w:lang w:val="el" w:eastAsia="el"/>
        </w:rPr>
      </w:pPr>
      <w:r>
        <w:rPr>
          <w:b/>
          <w:bCs/>
          <w:lang w:val="el" w:eastAsia="el"/>
        </w:rPr>
        <w:t>Για τα πλωτά και εναέρια μέσα αντίγραφο της έκθεσης επαλήθευσης διαβιβάζεται και στη Διεύθυνση Διαχείρισης Δημόσιου Υλικού.</w:t>
      </w:r>
    </w:p>
    <w:p>
      <w:pPr>
        <w:pStyle w:val="MainText"/>
        <w:spacing w:before="120" w:after="0"/>
        <w:rPr>
          <w:lang w:val="el" w:eastAsia="el"/>
        </w:rPr>
      </w:pPr>
      <w:r>
        <w:rPr>
          <w:b/>
          <w:bCs/>
          <w:lang w:val="el" w:eastAsia="el"/>
        </w:rPr>
        <w:t>4.</w:t>
      </w:r>
      <w:r>
        <w:rPr>
          <w:b/>
          <w:bCs/>
          <w:lang w:val="el" w:eastAsia="el"/>
        </w:rPr>
        <w:t xml:space="preserve"> α) Το Συμβούλιο Πλημμελειοδικών, εάν κατά την κρίση του συντρέχει περίπτωση μη δήμευσης των κατασχεθέντων σύμφωνα με τα άρθρα 310 του Κ.Π.Δ., 160 παράγραφος 4 του παρόντος κώδικα ή άλλες διατάξεις, δύναται να διατάξει με αμετάκλητη απόφασή του την άρση της κατάσχεσης και την απόδοσή τους στον ιδιοκτήτη.</w:t>
      </w:r>
    </w:p>
    <w:p>
      <w:pPr>
        <w:pStyle w:val="StructureList1"/>
        <w:spacing w:before="120" w:after="0"/>
        <w:rPr>
          <w:lang w:val="el" w:eastAsia="el"/>
        </w:rPr>
      </w:pPr>
      <w:r>
        <w:rPr>
          <w:b/>
          <w:bCs/>
          <w:lang w:val="el" w:eastAsia="el"/>
        </w:rPr>
        <w:t>β)</w:t>
      </w:r>
      <w:r>
        <w:rPr>
          <w:b/>
          <w:bCs/>
          <w:lang w:val="en" w:eastAsia="en"/>
        </w:rPr>
        <w:tab/>
      </w:r>
      <w:r>
        <w:rPr>
          <w:b/>
          <w:bCs/>
          <w:lang w:val="el" w:eastAsia="el"/>
        </w:rPr>
        <w:t>Το Συμβούλιο Πλημμελειοδικών δύναται επίσης, μετά από αίτηση του ιδιοκτήτη, να διατάξει με αμετάκλητη απόφαση του την άρση της κατάσχεσης και την απόδοση των κατασχεθέντων σε αυτόν, ακόμα και αν συντρέχει περίπτωση δήμευσης των κατασχεθέντων, υπό τον όρο της κατάθεσης χρηματικής εγγύησης ισόποσης με την αξία τους, όπως αυτή προκύπτει από την έκθεση κοστολόγησης, προκειμένου να επέχει τη θέση των κατασχεθέντων που υπόκεινται σε δήμευση.</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βούλευμα ή απόφαση σχετικά με άρση της κατάσχεσης και απόδοση των μεταφορικών μέσων που αναφέρονται στις παραγράφους 1 και 2 στον ρητά κατονομαζόμενο ιδιοκτήτη, καθώς και κάθε απόφαση για δήμευσή τους κοινοποιείται αμελλητί από τον Εισαγγελέα στη Διεύθυνση Διαχείρισης Δημοσίου Υλικού ή στο αρμόδιο Τελωνείο μαζί με βεβαίωση από την οποία προκύπτει η ημερομηνία του αμετακλήτου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Η παραλαβή από τον ιδιοκτήτη των κατασχεθέντων και κατά τα ανωτέρω αποδοθέντων ειδών ή μέσων πραγματοποιείται μετά από αίτησή του συνοδευόμενη από όλα τα νομιμοποιητικά έγγραφα. Ο ιδιοκτήτης, πριν την παραλαβή, υποχρεούται στην καταβολή των εξόδων μεταφοράς και φύλαξης, καθώς και δασμών και λοιπών φόρων που αναλογούν στα ως άνω είδη ή μέσα.</w:t>
      </w:r>
    </w:p>
    <w:p>
      <w:pPr>
        <w:pStyle w:val="MainText"/>
        <w:spacing w:before="120" w:after="0"/>
        <w:rPr>
          <w:lang w:val="el" w:eastAsia="el"/>
        </w:rPr>
      </w:pPr>
      <w:r>
        <w:rPr>
          <w:b/>
          <w:bCs/>
          <w:lang w:val="el" w:eastAsia="el"/>
        </w:rPr>
        <w:t>5.</w:t>
      </w:r>
      <w:r>
        <w:rPr>
          <w:b/>
          <w:bCs/>
          <w:lang w:val="el" w:eastAsia="el"/>
        </w:rPr>
        <w:t xml:space="preserve"> α) Η Διεύθυνση Διαχείρισης Δημόσιου Υλικού ή το αρμόδιο Τελωνείο, εάν μετά την παρέλευση έξι (6) μηνών από την ημερομηνία της κατάσχεσης για τα είδη της παραγράφου 1 και μετά την παρέλευση τριών (3) μηνών από την ημερομηνία της κατάσχεσης για τα είδη της παραγράφου 2, δεν έχουν λάβει έγγραφη γνωστοποίηση ή ανακοίνωση του Εισαγγελέα περί άρσης της κατάσχεσης και απόδοσης στον ιδιοκτήτη, προβαίνουν στην εκποίηση ή διάθεσή τους.</w:t>
      </w:r>
    </w:p>
    <w:p>
      <w:pPr>
        <w:pStyle w:val="StructureList1"/>
        <w:spacing w:before="120" w:after="0"/>
        <w:rPr>
          <w:lang w:val="el" w:eastAsia="el"/>
        </w:rPr>
      </w:pPr>
      <w:r>
        <w:rPr>
          <w:b/>
          <w:bCs/>
          <w:lang w:val="el" w:eastAsia="el"/>
        </w:rPr>
        <w:t>β)</w:t>
      </w:r>
      <w:r>
        <w:rPr>
          <w:b/>
          <w:bCs/>
          <w:lang w:val="en" w:eastAsia="en"/>
        </w:rPr>
        <w:tab/>
      </w:r>
      <w:r>
        <w:rPr>
          <w:b/>
          <w:bCs/>
          <w:lang w:val="el" w:eastAsia="el"/>
        </w:rPr>
        <w:t>Εάν μετά την παρέλευση έξι (6) μηνών από τότε που κατέστησαν αμετάκλητα η απόφαση ή το βούλευμα ή η εισαγγελική διάταξη για άρση της κατάσχεσης και απόδοση των κατασχεθέντων στον ιδιοκτήτη, αυτά δεν έχουν παραληφθεί από αποκλειστική αυτού υπαιτιότητα, τα κατασχεθέντα περιέρχονται στην κυριότητα του Δημοσίου και ο ιδιοκτήτης αποστερείται παντός δικαιώματος παραλαβής ή αποζημίωσης.</w:t>
      </w:r>
    </w:p>
    <w:p>
      <w:pPr>
        <w:pStyle w:val="StructureList1"/>
        <w:spacing w:before="120" w:after="0"/>
        <w:rPr>
          <w:lang w:val="el" w:eastAsia="el"/>
        </w:rPr>
      </w:pPr>
      <w:r>
        <w:rPr>
          <w:b/>
          <w:bCs/>
          <w:lang w:val="el" w:eastAsia="el"/>
        </w:rPr>
        <w:t>γ)</w:t>
      </w:r>
      <w:r>
        <w:rPr>
          <w:b/>
          <w:bCs/>
          <w:lang w:val="en" w:eastAsia="en"/>
        </w:rPr>
        <w:tab/>
      </w:r>
      <w:r>
        <w:rPr>
          <w:b/>
          <w:bCs/>
          <w:lang w:val="el" w:eastAsia="el"/>
        </w:rPr>
        <w:t>Εάν μετά την παρέλευση έξι (6) μηνών από τότε που κατέστη αμετάκλητο το βούλευμα περί απόδοσης στον ιδιοκτήτη των κατασχεθέντων με τον όρο της κατάθεσης χρηματικής εγγύησης δεν έχουν παραληφθεί από αποκλειστική του υπαιτιότητα, τα κατασχεθέντα μπορεί να εκποιούνται ή να διατίθενται.</w:t>
      </w:r>
    </w:p>
    <w:p>
      <w:pPr>
        <w:pStyle w:val="MainText"/>
        <w:spacing w:before="120" w:after="0"/>
        <w:rPr>
          <w:lang w:val="el" w:eastAsia="el"/>
        </w:rPr>
      </w:pPr>
      <w:r>
        <w:rPr>
          <w:b/>
          <w:bCs/>
          <w:lang w:val="el" w:eastAsia="el"/>
        </w:rPr>
        <w:t>6.</w:t>
      </w:r>
      <w:r>
        <w:rPr>
          <w:b/>
          <w:bCs/>
          <w:lang w:val="el" w:eastAsia="el"/>
        </w:rPr>
        <w:t xml:space="preserve"> α) Η εκποίηση των κατασχεθέντων ειδών των παραγράφων 1 και 2 πραγματοποιείται μετά την παρέλευση των προθεσμιών της παραγράφου 5 σύμφωνα με τους όρους πώλησης που ισχύουν για τις δημοπρασίες που διενεργούνται από τις αρμόδιες υπηρεσίες διαχείρισης δημόσιου υλικού.</w:t>
      </w:r>
    </w:p>
    <w:p>
      <w:pPr>
        <w:pStyle w:val="StructureList1"/>
        <w:spacing w:before="120" w:after="0"/>
        <w:rPr>
          <w:lang w:val="el" w:eastAsia="el"/>
        </w:rPr>
      </w:pPr>
      <w:r>
        <w:rPr>
          <w:b/>
          <w:bCs/>
          <w:lang w:val="el" w:eastAsia="el"/>
        </w:rPr>
        <w:t>β)</w:t>
      </w:r>
      <w:r>
        <w:rPr>
          <w:b/>
          <w:bCs/>
          <w:lang w:val="en" w:eastAsia="en"/>
        </w:rPr>
        <w:tab/>
      </w:r>
      <w:r>
        <w:rPr>
          <w:b/>
          <w:bCs/>
          <w:lang w:val="el" w:eastAsia="el"/>
        </w:rPr>
        <w:t>Η Τελωνειακή Αρχή, η οποία έχει την αρμοδιότητα και ευθύνη της διαχείρισης των κατασχεθέντων ειδών ή μεταφορικών μέσων που αναφέρονται στις παραγράφους 1 και 2, συντάσσει έκθεση κοστολόγησης.</w:t>
      </w:r>
    </w:p>
    <w:p>
      <w:pPr>
        <w:pStyle w:val="StructureList1"/>
        <w:spacing w:before="120" w:after="0"/>
        <w:rPr>
          <w:lang w:val="el" w:eastAsia="el"/>
        </w:rPr>
      </w:pPr>
      <w:r>
        <w:rPr>
          <w:b/>
          <w:bCs/>
          <w:lang w:val="el" w:eastAsia="el"/>
        </w:rPr>
        <w:t>γ)</w:t>
      </w:r>
      <w:r>
        <w:rPr>
          <w:b/>
          <w:bCs/>
          <w:lang w:val="en" w:eastAsia="en"/>
        </w:rPr>
        <w:tab/>
      </w:r>
      <w:r>
        <w:rPr>
          <w:b/>
          <w:bCs/>
          <w:lang w:val="el" w:eastAsia="el"/>
        </w:rPr>
        <w:t>Κατασχεθέντα είδη της περίπτωσης α της παραγράφου 2, τα οποία είναι σε κακή κατάσταση και άνευ εμπορικής αξίας, καταστρέφονται, κατ εξαίρεση της περίπτωσης α της παρούσας παραγράφου, μετά την πάροδο των προθεσμιών της παραγράφου 5. Η καταστροφή πραγματοποιείται μετά από προηγούμενη γνωμοδότηση επιτροπής, η οποία απαρτίζεται από τον Προϊστάμενο της αρμόδιας Τελωνειακής Αρχής ως Πρόεδρο, έναν υπάλληλο της ιδίας Αρχής και τον Προϊστάμενο της Λιμενικής Αρχής.</w:t>
      </w:r>
    </w:p>
    <w:p>
      <w:pPr>
        <w:spacing w:before="240" w:after="240"/>
        <w:rPr>
          <w:lang w:val="el" w:eastAsia="el"/>
        </w:rPr>
      </w:pPr>
      <w:r>
        <w:rPr>
          <w:b/>
          <w:bCs/>
          <w:lang w:val="el" w:eastAsia="el"/>
        </w:rPr>
        <w:t>Η γνωμοδότηση της επιτροπής διαβιβάζεται με μέριμνα της Λιμενικής Αρχής προς το Υπουργείο Ναυτιλίας και Νησιωτικής Πολιτικής και το Υπουργείο Εθνικής Αμυνας για την καταστροφή των πλωτών μέσων, σύμφωνα με τα ισχύοντα για τις καταστροφές των πλωτών μέσων των ανωτέρω Υπουργείων.</w:t>
      </w:r>
    </w:p>
    <w:p>
      <w:pPr>
        <w:spacing w:before="240" w:after="240"/>
        <w:rPr>
          <w:lang w:val="el" w:eastAsia="el"/>
        </w:rPr>
      </w:pPr>
      <w:r>
        <w:rPr>
          <w:b/>
          <w:bCs/>
          <w:lang w:val="el" w:eastAsia="el"/>
        </w:rPr>
        <w:t>Με πρόταση της ίδιας γνωμοδοτικής επιτροπής είναι δυνατή η διάθεση των ως άνω ειδών για ειδικές χρήσεις σε Δημόσιες Υπηρεσίες, Ο.Τ.Α. και λοιπά Ν.Π.Δ.Δ. και Ν.Π.Ι.Δ. που εποπτεύονται από το Δημόσιο.</w:t>
      </w:r>
    </w:p>
    <w:p>
      <w:pPr>
        <w:pStyle w:val="StructureList1"/>
        <w:spacing w:before="120" w:after="0"/>
        <w:rPr>
          <w:lang w:val="el" w:eastAsia="el"/>
        </w:rPr>
      </w:pPr>
      <w:r>
        <w:rPr>
          <w:b/>
          <w:bCs/>
          <w:lang w:val="el" w:eastAsia="el"/>
        </w:rPr>
        <w:t>δ)</w:t>
      </w:r>
      <w:r>
        <w:rPr>
          <w:b/>
          <w:bCs/>
          <w:lang w:val="en" w:eastAsia="en"/>
        </w:rPr>
        <w:tab/>
      </w:r>
      <w:r>
        <w:rPr>
          <w:b/>
          <w:bCs/>
          <w:lang w:val="el" w:eastAsia="el"/>
        </w:rPr>
        <w:t>Τα πλωτά μέσα δύναται να εκποιούνται για διάλυση. Για όσα εξ αυτών ανήκουν στην κατηγορία των φουσκωτών σκαφών με εξωλέμβιους κινητήρες είναι δυνατή η εκποίηση των κινητήρων και των σκαφών μεμονωμένα.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πλωτά μέσα των οποίων οι δημοπρατήσεις απέβησαν άγονες, εκ των οποίων οι τρεις με την ίδια τιμή εκκίνησης, η Λιμενική Αρχή φύλαξης αυτών προβαίνει, μετά από σχετική βεβαίωση της Διεύθυνσης Διαχείρισης Δημοσίου Υλικού, σε πρόταση προς το Υπουργείο Ναυτιλίας και Νησιωτικής Πολικής και το Υπουργείο Εθνικής Αμυνας για την καταστροφή τους, σύμφωνα με τα ισχύοντα για τις καταστροφές των πλωτών μέσων των ανωτέρω Υπουργείων.</w:t>
      </w:r>
    </w:p>
    <w:p>
      <w:pPr>
        <w:pStyle w:val="MainText"/>
        <w:spacing w:before="120" w:after="0"/>
        <w:rPr>
          <w:lang w:val="el" w:eastAsia="el"/>
        </w:rPr>
      </w:pPr>
      <w:r>
        <w:rPr>
          <w:b/>
          <w:bCs/>
          <w:lang w:val="el" w:eastAsia="el"/>
        </w:rPr>
        <w:t>7.</w:t>
      </w:r>
      <w:r>
        <w:rPr>
          <w:b/>
          <w:bCs/>
          <w:lang w:val="el" w:eastAsia="el"/>
        </w:rPr>
        <w:t xml:space="preserve"> α) Με απόφαση του Υπουργού Διοικητικής Ανασυγκρότησης, μετά την παρέλευση των προθεσμιών της παραγράφου 5, τα κατασχεμένα οχήματα της παραγράφου 1 δύναται να διατίθενται δωρεάν ή έναντι τιμήματος προς κυκλοφορία σε Δημόσιες Υπηρεσίες, Ν.Π.Δ.Δ., Ο.Τ.Α. και Ν.Π.Ι.Δ. που εποπτεύονται από το Δημόσιο.</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όμοια απόφαση, οχήματα τέλους κύκλου ζωής (Ο.Τ.Κ.Ζ.) και οχήματα για διάλυση δύναται να διατίθενται σε εκπαιδευτικά ιδρύματα, στην Ελληνική Αστυνομία και στις Ενοπλες Δυνάμεις, αποκλειστικά για εκπαιδευτικούς λόγους, τα οποία μετά την χρησιμοποίησή τους παραδίδονται σε αδειοδοτημένους φορείς διαχείρισης τέτοιων οχημάτων.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Με απόφαση του Υπουργού Οικονομικών, μετά την παρέλευση των προθεσμιών της παραγράφου 5, τα πλωτά μέσα της παραγράφου 2 και τα κατασχεθέντα είδη της παραγράφου 1, εκτός των οχημάτων, δύναται να διατίθενται δωρεάν ή έναντι τιμήματος σε Δημόσιες Υπηρεσίες, Ο.Τ.Α. Ν.Π.Δ.Δ., και Ν.Π.Ι.Δ. που εποπτεύονται από το Δημόσιο.</w:t>
      </w:r>
    </w:p>
    <w:p>
      <w:pPr>
        <w:pStyle w:val="StructureList1"/>
        <w:spacing w:before="120" w:after="0"/>
        <w:rPr>
          <w:lang w:val="el" w:eastAsia="el"/>
        </w:rPr>
      </w:pPr>
      <w:r>
        <w:rPr>
          <w:b/>
          <w:bCs/>
          <w:lang w:val="el" w:eastAsia="el"/>
        </w:rPr>
        <w:t>δ)</w:t>
      </w:r>
      <w:r>
        <w:rPr>
          <w:b/>
          <w:bCs/>
          <w:lang w:val="en" w:eastAsia="en"/>
        </w:rPr>
        <w:tab/>
      </w:r>
      <w:r>
        <w:rPr>
          <w:b/>
          <w:bCs/>
          <w:lang w:val="el" w:eastAsia="el"/>
        </w:rPr>
        <w:t>Με απόφαση του Διοικητή της Ανεξάρτητης Αρχής Δημοσίων Εσόδων (Α.Α.Δ.Ε.) δύναται να διατίθενται, κατ εξαίρεση των περιπτώσεων α και γ και κατά προτεραιότητα, ένα ή περισσότερα κατασχεθέντα από οποιαδήποτε αιτία χερσαία ή πλωτά μεταφορικά μέσα, σε Τελωνειακές και Φορολογικές Υπηρεσίες για τις ανάγκες της δίωξης λαθρεμπορίου και φοροδιαφυγής.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οχήματα που δεν προέρχονται από κράτος - μέλος της Ευρωπαϊκής Ενωσης η Υπηρεσία, στην οποία διατίθενται προς κυκλοφορία, αναλαμβάνει την έκδοση της κατά περίπτωση απαιτούμενης έγκρισης τύπου για την κυκλοφορία τους με δικές της ενέργειες και έξοδα.</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κατασχεθέντα είδη που δεν προέρχονται από κράτος μέλος της Ευρωπαϊκής Ενωσης και τα οποία διατίθενται σύμφωνα με τις διατάξεις της παρούσας παραγράφου, καταβάλλονται από τις υπηρεσίες στις οποίες διατίθενται οι αναλογούντες δασμοί.</w:t>
      </w:r>
    </w:p>
    <w:p>
      <w:pPr>
        <w:pStyle w:val="MainText"/>
        <w:spacing w:before="120" w:after="0"/>
        <w:rPr>
          <w:lang w:val="el" w:eastAsia="el"/>
        </w:rPr>
      </w:pPr>
      <w:r>
        <w:rPr>
          <w:b/>
          <w:bCs/>
          <w:lang w:val="el" w:eastAsia="el"/>
        </w:rPr>
        <w:t>8.</w:t>
      </w:r>
      <w:r>
        <w:rPr>
          <w:b/>
          <w:bCs/>
          <w:lang w:val="el" w:eastAsia="el"/>
        </w:rPr>
        <w:t xml:space="preserve"> Αν μετά την εκποίηση των κατασχεθέντων διατάχθηκε αμετάκλητα η απόδοσή τους στον ιδιοκτήτη, κατα βάλλεται σε αυτόν αποζημίωση από την αρμόδια υπηρε σία της Α.Α.Δ.Ε. και μετά από αίτησή του στην αρμόδια υπηρεσία εκποίησης,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Οταν το εκποιηθέν είδος έχει πλήρως εξοφληθεί από τον αγοραστή, ποσό ίσο με το εισπραχθέν τίμημα αφαιρουμένου του εμπεριεχόμενου Φ.Π.Α..</w:t>
      </w:r>
    </w:p>
    <w:p>
      <w:pPr>
        <w:pStyle w:val="StructureList1"/>
        <w:spacing w:before="120" w:after="0"/>
        <w:rPr>
          <w:lang w:val="el" w:eastAsia="el"/>
        </w:rPr>
      </w:pPr>
      <w:r>
        <w:rPr>
          <w:b/>
          <w:bCs/>
          <w:lang w:val="el" w:eastAsia="el"/>
        </w:rPr>
        <w:t>β)</w:t>
      </w:r>
      <w:r>
        <w:rPr>
          <w:b/>
          <w:bCs/>
          <w:lang w:val="en" w:eastAsia="en"/>
        </w:rPr>
        <w:tab/>
      </w:r>
      <w:r>
        <w:rPr>
          <w:b/>
          <w:bCs/>
          <w:lang w:val="el" w:eastAsia="el"/>
        </w:rPr>
        <w:t>Οταν το εκποιηθέν είδος δεν έχει πλήρως εξοφληθεί από τον αγοραστή και το εκπλειστηρίασμα εισπράττε- ται με άτοκες δόσεις, ο ιδιοκτήτης του κατασχεθέντος δύναται να επιλέξει είτε την είσπραξη ποσού ίσου με τις εισπραχθείσες κάθε φορά δόσεις αφαιρουμένου του εμπεριεχόμενου Φ.Π.Α., είτε ποσού ίσου με το εκπλειστηρίασμα μειωμένο κατά την προβλεπόμενη έκπτωση, εάν αυτό καταβαλλόταν εφάπαξ, αφαιρουμένου του εμπεριεχόμενου Φ.Π.Α..</w:t>
      </w:r>
    </w:p>
    <w:p>
      <w:pPr>
        <w:pStyle w:val="MainText"/>
        <w:spacing w:before="120" w:after="0"/>
        <w:rPr>
          <w:lang w:val="el" w:eastAsia="el"/>
        </w:rPr>
      </w:pPr>
      <w:r>
        <w:rPr>
          <w:b/>
          <w:bCs/>
          <w:lang w:val="el" w:eastAsia="el"/>
        </w:rPr>
        <w:t>9.</w:t>
      </w:r>
      <w:r>
        <w:rPr>
          <w:b/>
          <w:bCs/>
          <w:lang w:val="el" w:eastAsia="el"/>
        </w:rPr>
        <w:t xml:space="preserve"> Αν μετά την διάθεση των κατασχεθέντων διατάχθηκε αμετάκλητα η απόδοσή τους στον ιδιοκτήτη, καταβάλλεται σε αυτόν αποζημίωση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Οταν το κατασχεθέν είδος διατίθεται δωρεάν, ποσό ίσο με την τιμή κοστολόγησης αφαιρουμένου του εμπε- ριεχομένου Φ.Π.Α.. Υπόχρεη για την καταβολή του ποσού αυτού στον ιδιοκτήτη είναι η Υπηρεσία στην οποία διατέθηκε το κατασχεθέν είδος.</w:t>
      </w:r>
    </w:p>
    <w:p>
      <w:pPr>
        <w:pStyle w:val="StructureList1"/>
        <w:spacing w:before="120" w:after="0"/>
        <w:rPr>
          <w:lang w:val="el" w:eastAsia="el"/>
        </w:rPr>
      </w:pPr>
      <w:r>
        <w:rPr>
          <w:b/>
          <w:bCs/>
          <w:lang w:val="el" w:eastAsia="el"/>
        </w:rPr>
        <w:t>β)</w:t>
      </w:r>
      <w:r>
        <w:rPr>
          <w:b/>
          <w:bCs/>
          <w:lang w:val="en" w:eastAsia="en"/>
        </w:rPr>
        <w:tab/>
      </w:r>
      <w:r>
        <w:rPr>
          <w:b/>
          <w:bCs/>
          <w:lang w:val="el" w:eastAsia="el"/>
        </w:rPr>
        <w:t>Οταν το κατασχεθέν είδος διατίθεται έναντι τιμήματος, καταβάλλεται από μεν την αρμόδια υπηρεσία της Α.Α.Δ.Ε. ποσό ίσο με το εισπραχθέν τίμημα αφαιρουμένου του εμπεριεχομένου Φ.Π.Α. από δε την Υπηρεσία στην οποία διατέθηκε αυτό, ποσό ίσο με τη διαφορά της τιμής κοστολόγησης και του τιμήματος που κατεβλήθη, αφαιρουμένου του εμπεριεχομένου Φ.Π.Α..</w:t>
      </w:r>
    </w:p>
    <w:p>
      <w:pPr>
        <w:pStyle w:val="MainText"/>
        <w:spacing w:before="120" w:after="0"/>
        <w:rPr>
          <w:lang w:val="el" w:eastAsia="el"/>
        </w:rPr>
      </w:pPr>
      <w:r>
        <w:rPr>
          <w:b/>
          <w:bCs/>
          <w:lang w:val="el" w:eastAsia="el"/>
        </w:rPr>
        <w:t>10.</w:t>
      </w:r>
      <w:r>
        <w:rPr>
          <w:b/>
          <w:bCs/>
          <w:lang w:val="el" w:eastAsia="el"/>
        </w:rPr>
        <w:t xml:space="preserve"> Τα αναφερόμενα στις παραγράφους 8 και 9 ποσά καταβάλλονται έντοκα από την ημερομηνία που οι αρμόδιες υπηρεσίες προς αποζημίωση λάβουν αίτημα με όλα τα νόμιμα δικαιολογητικά του δικαιωθέντος ιδιοκτήτη μέχρι την ημερομηνία έκδοσης του σχετικού εντάλματος πληρωμής. Η καταβολή των προς αποζημίωση ποσών γίνεται σύμφωνα με τις διατάξεις του άρθρου 83 του Κ.Ε.Δ.Ε. και του άρθρου 12 του ν. 4174/2013 (Α 170).</w:t>
      </w:r>
    </w:p>
    <w:p>
      <w:pPr>
        <w:pStyle w:val="MainText"/>
        <w:spacing w:before="120" w:after="0"/>
        <w:rPr>
          <w:lang w:val="el" w:eastAsia="el"/>
        </w:rPr>
      </w:pPr>
      <w:r>
        <w:rPr>
          <w:b/>
          <w:bCs/>
          <w:lang w:val="el" w:eastAsia="el"/>
        </w:rPr>
        <w:t>11.</w:t>
      </w:r>
      <w:r>
        <w:rPr>
          <w:b/>
          <w:bCs/>
          <w:lang w:val="el" w:eastAsia="el"/>
        </w:rPr>
        <w:t xml:space="preserve"> α) Τα κλεμμένα οχήματα και μηχανήματα έργου που έχουν κατασχεθεί ως αντικείμενα λαθρεμπορίας ή ως μεταφορικά μέσα λαθρεμπορευμάτων ή ναρκωτικών ουσιών ή όπλων ή εκρηκτικών ή μεταναστών χωρίς νομιμοποιητικά έγγραφα ή λόγω διάπραξης οποιουδήποτε ποινικού αδικήματος, καθώς και τα κλεμμένα οχήματα και μηχανήματα έργου που ανακαλύπτονται κατά τους ελέγχους ή έρευνες από τα Τελωνεία ή τις διωκτικές αρχές της Α.Α.Δ.Ε. και του Υπουργείου Οικονομικών ή από τις υπηρεσίες της Ελληνικής Αστυνομίας ή του Λιμενικού Σώματος, παραδίδονται στη Διεύθυνση Διαχείρισης Δημοσίου Υλικού ή στο αρμόδιο Τελωνείο, κατά περίπτωση, μαζί με αντίγραφα της έκθεσης κατάσχεσης και των εγγράφων αναζήτησης και ειδοποίησης των ιδιοκτητών και συντάσσεται έκθεση παράδοσης-παραλαβής.</w:t>
      </w:r>
    </w:p>
    <w:p>
      <w:pPr>
        <w:spacing w:before="240" w:after="240"/>
        <w:rPr>
          <w:lang w:val="el" w:eastAsia="el"/>
        </w:rPr>
      </w:pPr>
      <w:r>
        <w:rPr>
          <w:b/>
          <w:bCs/>
          <w:lang w:val="el" w:eastAsia="el"/>
        </w:rPr>
        <w:t>Τα κατασχεθέντα παραλαμβάνονται από τον ιδιοκτήτη μετά από άδεια παραλαβής από την αρμόδια αρχή ή με αμετάκλητη απόφαση ή βούλευμα, αφού προηγουμένως καταβληθούν τα έξοδα μεταφοράς και φύλαξης.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μετά την παρέλευση τριών (3) ετών από την ημερομηνία παραλαβής τους η Διεύθυνση Διαχείρισης Δημόσιου Υλικού ή το αρμόδιο Τελωνείο δεν έχουν λάβει έγγραφη γνωστοποίηση ή ανακοίνωση του Εισαγγελέα περί άρσης της κατάσχεσης και απόδοσης στον ιδιοκτήτη ή μετά την παρέλευση ενός (1) έτους από το αμετάκλητο δικαστικής απόφασης ή βουλεύματος ή από την ημερομηνία που κοινοποιήθηκε στον δικαιούχο η άδεια της αρμόδιας Αρχής για την παραλαβή του οχήματος δεν έχουν παραληφθεί από αυτόν, τότε τα κατασχεθέντα δύναται να διατίθενται στην Ελληνική Αστυνομία και στις Ενοπλες Δυνάμεις αποκλειστικά για τις ανάγκες τους στο εσωτερικό της χώρας.</w:t>
      </w:r>
    </w:p>
    <w:p>
      <w:pPr>
        <w:pStyle w:val="StructureList1"/>
        <w:spacing w:before="120" w:after="0"/>
        <w:rPr>
          <w:lang w:val="el" w:eastAsia="el"/>
        </w:rPr>
      </w:pPr>
      <w:r>
        <w:rPr>
          <w:b/>
          <w:bCs/>
          <w:lang w:val="el" w:eastAsia="el"/>
        </w:rPr>
        <w:t>γ)</w:t>
      </w:r>
      <w:r>
        <w:rPr>
          <w:b/>
          <w:bCs/>
          <w:lang w:val="en" w:eastAsia="en"/>
        </w:rPr>
        <w:tab/>
      </w:r>
      <w:r>
        <w:rPr>
          <w:b/>
          <w:bCs/>
          <w:lang w:val="el" w:eastAsia="el"/>
        </w:rPr>
        <w:t>Μετά την πάροδο των ανωτέρω προθεσμιών, τα κατασχεθέντα δύναται να εκποιούνται ή να διατίθενται και σε άλλες υπηρεσίες εκτός των ανωτέρω, εφόσον δεν είναι καταχωρημένα στο σύστημα πληροφοριών Σένγκεν (SIS II).</w:t>
      </w:r>
    </w:p>
    <w:p>
      <w:pPr>
        <w:pStyle w:val="StructureList1"/>
        <w:spacing w:before="120" w:after="0"/>
        <w:rPr>
          <w:lang w:val="el" w:eastAsia="el"/>
        </w:rPr>
      </w:pPr>
      <w:r>
        <w:rPr>
          <w:b/>
          <w:bCs/>
          <w:lang w:val="el" w:eastAsia="el"/>
        </w:rPr>
        <w:t>δ)</w:t>
      </w:r>
      <w:r>
        <w:rPr>
          <w:b/>
          <w:bCs/>
          <w:lang w:val="en" w:eastAsia="en"/>
        </w:rPr>
        <w:tab/>
      </w:r>
      <w:r>
        <w:rPr>
          <w:b/>
          <w:bCs/>
          <w:lang w:val="el" w:eastAsia="el"/>
        </w:rPr>
        <w:t>Αν μετά την εκποίηση ή την διάθεση των κατασχεθέντων διατάχθηκε αμετάκλητα η απόδοσή τους στον ιδιοκτήτη, καταβάλλεται σε αυτόν αποζημίωση, σύμφωνα με τα οριζόμενα στις παραγράφους 8, 9 και 10.</w:t>
      </w:r>
    </w:p>
    <w:p>
      <w:pPr>
        <w:pStyle w:val="MainText"/>
        <w:spacing w:before="120" w:after="0"/>
        <w:rPr>
          <w:lang w:val="el" w:eastAsia="el"/>
        </w:rPr>
      </w:pPr>
      <w:r>
        <w:rPr>
          <w:b/>
          <w:bCs/>
          <w:lang w:val="el" w:eastAsia="el"/>
        </w:rPr>
        <w:t>12.</w:t>
      </w:r>
      <w:r>
        <w:rPr>
          <w:b/>
          <w:bCs/>
          <w:lang w:val="el" w:eastAsia="el"/>
        </w:rPr>
        <w:t xml:space="preserve"> Ολα τα είδη χερσαίων και εναέριων μεταφορικών μέσων και μηχανημάτων έργου που για οποιαδήποτε αιτία έχουν δεσμευτεί ή ακινητοποιηθεί από τις αρμόδιες Τελωνειακές αρχές ή από οποιαδήποτε άλλη αρμόδια αρχή και φυλάσσονται στη Διεύθυνση Διαχείρισης Δημοσίου Υλικού ή στο αρμόδιο τελωνείο, διατίθενται ή εκποιούνται, εφόσον παρέλθει χρονικό διάστημα δύο (2) ετών από την ημερομηνία δέσμευσης ή ακινητοποίησης. Εάν μετά την εκποίηση ή διάθεση των ανωτέρω αρθεί η δέσμευση ή διαταχθεί αμετάκλητα η απόδοσή τους στον ιδιοκτήτη, καταβάλλεται αποζημίωση κατ αντιστοιχία με τα οριζόμενα στις παραγράφους 8, 9 και 10.</w:t>
      </w:r>
    </w:p>
    <w:p>
      <w:pPr>
        <w:pStyle w:val="MainText"/>
        <w:spacing w:before="120" w:after="0"/>
        <w:rPr>
          <w:lang w:val="el" w:eastAsia="el"/>
        </w:rPr>
      </w:pPr>
      <w:r>
        <w:rPr>
          <w:b/>
          <w:bCs/>
          <w:lang w:val="el" w:eastAsia="el"/>
        </w:rPr>
        <w:t>13.</w:t>
      </w:r>
      <w:r>
        <w:rPr>
          <w:b/>
          <w:bCs/>
          <w:lang w:val="el" w:eastAsia="el"/>
        </w:rPr>
        <w:t xml:space="preserve"> Οχήματα που δεσμεύονται από το Υπουργείο Διοικητικής Ανασυγκρότησης, προκειμένου να διατεθούν σε υπηρεσίες, αποδεσμεύονται αυτομάτως και δεν δύναται να δεσμευθούν στο μέλλον για τις ίδιες υπηρεσίες, εάν μετά την παρέλευση ενενήντα (90) ημερολογιακών ημερών από την δέσμευσή τους δεν έχουν εκδοθεί οι σχετικές αποφάσεις διάθεσης.</w:t>
      </w:r>
    </w:p>
    <w:p>
      <w:pPr>
        <w:pStyle w:val="MainText"/>
        <w:spacing w:before="120" w:after="0"/>
        <w:rPr>
          <w:lang w:val="el" w:eastAsia="el"/>
        </w:rPr>
      </w:pPr>
      <w:r>
        <w:rPr>
          <w:b/>
          <w:bCs/>
          <w:lang w:val="el" w:eastAsia="el"/>
        </w:rPr>
        <w:t>14.</w:t>
      </w:r>
      <w:r>
        <w:rPr>
          <w:b/>
          <w:bCs/>
          <w:lang w:val="el" w:eastAsia="el"/>
        </w:rPr>
        <w:t xml:space="preserve"> α) Με αποφάσεις του Διοικητή της Α.Α.Δ.Ε. καθορίζονται:</w:t>
      </w:r>
    </w:p>
    <w:p>
      <w:pPr>
        <w:pStyle w:val="StructureList1"/>
        <w:spacing w:before="120" w:after="0"/>
        <w:rPr>
          <w:lang w:val="el" w:eastAsia="el"/>
        </w:rPr>
      </w:pPr>
      <w:r>
        <w:rPr>
          <w:b/>
          <w:bCs/>
          <w:lang w:val="el" w:eastAsia="el"/>
        </w:rPr>
        <w:t>αα)</w:t>
      </w:r>
      <w:r>
        <w:rPr>
          <w:b/>
          <w:bCs/>
          <w:lang w:val="en" w:eastAsia="en"/>
        </w:rPr>
        <w:tab/>
      </w:r>
      <w:r>
        <w:rPr>
          <w:b/>
          <w:bCs/>
          <w:lang w:val="el" w:eastAsia="el"/>
        </w:rPr>
        <w:t>Οι όροι πώλησης των ειδών που εμπίπτουν στις διατάξεις του παρόντος άρθρου.</w:t>
      </w:r>
    </w:p>
    <w:p>
      <w:pPr>
        <w:pStyle w:val="StructureList1"/>
        <w:spacing w:before="120" w:after="0"/>
        <w:rPr>
          <w:lang w:val="el" w:eastAsia="el"/>
        </w:rPr>
      </w:pPr>
      <w:r>
        <w:rPr>
          <w:b/>
          <w:bCs/>
          <w:lang w:val="el" w:eastAsia="el"/>
        </w:rPr>
        <w:t>αβ)</w:t>
      </w:r>
      <w:r>
        <w:rPr>
          <w:b/>
          <w:bCs/>
          <w:lang w:val="en" w:eastAsia="en"/>
        </w:rPr>
        <w:tab/>
      </w:r>
      <w:r>
        <w:rPr>
          <w:b/>
          <w:bCs/>
          <w:lang w:val="el" w:eastAsia="el"/>
        </w:rPr>
        <w:t>Οι αρμόδιες Υπηρεσίες της Α.Α.Δ.Ε. και οι όροι πώλησης ειδών πέραν των περιλαμβανομένων στο παρόν άρθρο, τα οποία περιέρχονται στη διαχείριση των ως άνω Υπηρεσιών.</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όμοιες αποφάσεις καθορίζεται το ημερήσιο κόστος φύλαξης, ο χρόνος υπολογισμού του, το κόστος μεταφοράς όλων των ειδών που περιέρχονται στη διαχείριση των αρμοδίων Υπηρεσιών της Α.Α.Δ.Ε. και οποιαδήποτε άλλη δαπάνη βαρύνει τα είδη κατά την απόδοσή τους, καθώς και κάθε αναγκαία λεπτομέρεια για την εφαρμογή των διατάξεων του άρθρου αυτού.</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328"/>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29"/>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30"/>
      </w:r>
      <w:r>
        <w:rPr>
          <w:b/>
          <w:bCs/>
          <w:lang w:val="el" w:eastAsia="el"/>
        </w:rPr>
        <w:t>Η είσπραξη του Ειδικού Φόρου Κατανάλωσης για το φυσικό αέριο της περίπτωσης ιστ` της παραγράφου 1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31"/>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332"/>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33"/>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34"/>
      </w:r>
      <w:r>
        <w:rPr>
          <w:b/>
          <w:bCs/>
          <w:lang w:val="el" w:eastAsia="el"/>
        </w:rPr>
        <w:t>Όπου στον παρόντα κώδικα ή σε διατάξεις που αφορούν την εφαρμογή του παρόντα κώδικα γίνεται αναφορά σε εκκρεμείς δικαστικά υποθέσεις, ως τέτοιες νοούνται οι υποθέσεις που εκκρεμούν ενώπιον των τακτικών διοικητικών δικαστηρίων ή του Συμβουλίου της Επικρατείας, κατόπιν άσκησης δικαστικής προσφυγής ή τακτικού ενδίκου μέσου ή αίτησης αναίρεσης ή εκείνες για τις οποίες εκκρεμεί η προθεσμία άσκησης δικαστικής προσφυγής ή τακτικού ενδίκου μέσου ή αίτησης αναίρεσης. Ως εκκρεμείς δικαστικά νοούνται επίσης, οι υποθέσεις οι οποίες έχουν συζητηθεί στα τακτικά διοικητικά δικαστήρια ή στο Συμβούλιο της Επικρατείας και δεν έχει εκδοθεί αμετάκλητη απόφαση του δικαστηρίου ή έχει εκδοθεί μη αμετάκλητη απόφαση αλλά δεν έχει κοινοποιηθεί στους διαδίκους.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35"/>
      </w:r>
      <w:r>
        <w:rPr>
          <w:b/>
          <w:bCs/>
          <w:lang w:val="el" w:eastAsia="el"/>
        </w:rPr>
        <w:t>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336"/>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4" w:history="1">
        <w:r>
          <w:rPr>
            <w:rStyle w:val="Hyperlink"/>
            <w:color w:val="0000EE"/>
            <w:u w:color="0000EE"/>
            <w:lang w:val="el" w:eastAsia="el"/>
          </w:rPr>
          <w:t>Προσθήκη 3610/2007, Άρθρο 24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3583/2007,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3583/2007,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9" w:history="1">
        <w:r>
          <w:rPr>
            <w:rStyle w:val="Hyperlink"/>
            <w:color w:val="0000EE"/>
            <w:u w:color="0000EE"/>
            <w:lang w:val="el" w:eastAsia="el"/>
          </w:rPr>
          <w:t>Τροποποίηση 4211/2013, Άρθρο 9</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Τροποποίηση 3583/2007,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Προσθήκη 3583/2007,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Προσθήκη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Τροποποίηση 3583/2007,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7" w:history="1">
        <w:r>
          <w:rPr>
            <w:rStyle w:val="Hyperlink"/>
            <w:b/>
            <w:bCs/>
            <w:color w:val="0000EE"/>
            <w:u w:color="0000EE"/>
            <w:lang w:val="el" w:eastAsia="el"/>
          </w:rPr>
          <w:t>Προσθήκη 4132/2013, Άρθρο 7</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0" w:history="1">
        <w:r>
          <w:rPr>
            <w:rStyle w:val="Hyperlink"/>
            <w:b/>
            <w:bCs/>
            <w:color w:val="0000EE"/>
            <w:u w:color="0000EE"/>
            <w:lang w:val="el" w:eastAsia="el"/>
          </w:rPr>
          <w:t>Τροποποίηση 4410/2016, Άρθρο 10</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1" w:history="1">
        <w:r>
          <w:rPr>
            <w:rStyle w:val="Hyperlink"/>
            <w:b/>
            <w:bCs/>
            <w:color w:val="0000EE"/>
            <w:u w:color="0000EE"/>
            <w:lang w:val="el" w:eastAsia="el"/>
          </w:rPr>
          <w:t>Προσθήκη 3583/2007, Άρθρο 1</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 w:history="1">
        <w:r>
          <w:rPr>
            <w:rStyle w:val="Hyperlink"/>
            <w:b/>
            <w:bCs/>
            <w:color w:val="0000EE"/>
            <w:u w:color="0000EE"/>
            <w:lang w:val="el" w:eastAsia="el"/>
          </w:rPr>
          <w:t>Προσθήκη 3583/2007, Άρθρο 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1" w:history="1">
        <w:r>
          <w:rPr>
            <w:rStyle w:val="Hyperlink"/>
            <w:b/>
            <w:bCs/>
            <w:color w:val="0000EE"/>
            <w:u w:color="0000EE"/>
            <w:lang w:val="el" w:eastAsia="el"/>
          </w:rPr>
          <w:t>Τροποποίηση 3583/2007, Άρθρο 1</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ΠΝΠ 30.12.2015, Άρθρο 2</w:t>
      </w:r>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9" w:history="1">
        <w:r>
          <w:rPr>
            <w:rStyle w:val="Hyperlink"/>
            <w:b/>
            <w:bCs/>
            <w:color w:val="0000EE"/>
            <w:u w:color="0000EE"/>
            <w:lang w:val="el" w:eastAsia="el"/>
          </w:rPr>
          <w:t>Προσθήκη 4211/2013, Άρθρο 9</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1" w:history="1">
        <w:r>
          <w:rPr>
            <w:rStyle w:val="Hyperlink"/>
            <w:b/>
            <w:bCs/>
            <w:color w:val="0000EE"/>
            <w:u w:color="0000EE"/>
            <w:lang w:val="el" w:eastAsia="el"/>
          </w:rPr>
          <w:t>Τροποποίηση 3583/2007, Άρθρο 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1" w:history="1">
        <w:r>
          <w:rPr>
            <w:rStyle w:val="Hyperlink"/>
            <w:b/>
            <w:bCs/>
            <w:color w:val="0000EE"/>
            <w:u w:color="0000EE"/>
            <w:lang w:val="el" w:eastAsia="el"/>
          </w:rPr>
          <w:t>Τροποποίηση 3583/2007, Άρθρο 1</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41" w:history="1">
        <w:r>
          <w:rPr>
            <w:rStyle w:val="Hyperlink"/>
            <w:b/>
            <w:bCs/>
            <w:color w:val="0000EE"/>
            <w:u w:color="0000EE"/>
            <w:lang w:val="el" w:eastAsia="el"/>
          </w:rPr>
          <w:t>Τροποποίηση 4072/2012, Άρθρο 41</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103" w:history="1">
        <w:r>
          <w:rPr>
            <w:rStyle w:val="Hyperlink"/>
            <w:b/>
            <w:bCs/>
            <w:color w:val="0000EE"/>
            <w:u w:color="0000EE"/>
            <w:lang w:val="el" w:eastAsia="el"/>
          </w:rPr>
          <w:t>Προσθήκη 4446/2016, Άρθρο 103</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1" w:history="1">
        <w:r>
          <w:rPr>
            <w:rStyle w:val="Hyperlink"/>
            <w:b/>
            <w:bCs/>
            <w:color w:val="0000EE"/>
            <w:u w:color="0000EE"/>
            <w:lang w:val="el" w:eastAsia="el"/>
          </w:rPr>
          <w:t>Τροποποίηση 3583/2007, Άρθρο 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 w:history="1">
        <w:r>
          <w:rPr>
            <w:rStyle w:val="Hyperlink"/>
            <w:b/>
            <w:bCs/>
            <w:color w:val="0000EE"/>
            <w:u w:color="0000EE"/>
            <w:lang w:val="el" w:eastAsia="el"/>
          </w:rPr>
          <w:t>Τροποποίηση 3583/2007, Άρθρο 1</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1" w:history="1">
        <w:r>
          <w:rPr>
            <w:rStyle w:val="Hyperlink"/>
            <w:b/>
            <w:bCs/>
            <w:color w:val="0000EE"/>
            <w:u w:color="0000EE"/>
            <w:lang w:val="el" w:eastAsia="el"/>
          </w:rPr>
          <w:t>Τροποποίηση 3583/2007, Άρθρο 1</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1" w:history="1">
        <w:r>
          <w:rPr>
            <w:rStyle w:val="Hyperlink"/>
            <w:b/>
            <w:bCs/>
            <w:color w:val="0000EE"/>
            <w:u w:color="0000EE"/>
            <w:lang w:val="el" w:eastAsia="el"/>
          </w:rPr>
          <w:t>Τροποποίηση 3583/2007, Άρθρο 1</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1" w:history="1">
        <w:r>
          <w:rPr>
            <w:rStyle w:val="Hyperlink"/>
            <w:b/>
            <w:bCs/>
            <w:color w:val="0000EE"/>
            <w:u w:color="0000EE"/>
            <w:lang w:val="el" w:eastAsia="el"/>
          </w:rPr>
          <w:t>Τροποποίηση 3583/2007, Άρθρο 1</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1" w:history="1">
        <w:r>
          <w:rPr>
            <w:rStyle w:val="Hyperlink"/>
            <w:b/>
            <w:bCs/>
            <w:color w:val="0000EE"/>
            <w:u w:color="0000EE"/>
            <w:lang w:val="el" w:eastAsia="el"/>
          </w:rPr>
          <w:t>Τροποποίηση 3583/2007, Άρθρο 1</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1" w:history="1">
        <w:r>
          <w:rPr>
            <w:rStyle w:val="Hyperlink"/>
            <w:b/>
            <w:bCs/>
            <w:color w:val="0000EE"/>
            <w:u w:color="0000EE"/>
            <w:lang w:val="el" w:eastAsia="el"/>
          </w:rPr>
          <w:t>Τροποποίηση 3336/2005, Άρθρο 1</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1" w:history="1">
        <w:r>
          <w:rPr>
            <w:rStyle w:val="Hyperlink"/>
            <w:b/>
            <w:bCs/>
            <w:color w:val="0000EE"/>
            <w:u w:color="0000EE"/>
            <w:lang w:val="el" w:eastAsia="el"/>
          </w:rPr>
          <w:t>Προσθήκη 4410/2016, Άρθρο 1</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9" w:history="1">
        <w:r>
          <w:rPr>
            <w:rStyle w:val="Hyperlink"/>
            <w:b/>
            <w:bCs/>
            <w:color w:val="0000EE"/>
            <w:u w:color="0000EE"/>
            <w:lang w:val="el" w:eastAsia="el"/>
          </w:rPr>
          <w:t>Τροποποίηση 4410/2016, Άρθρο 9</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85" w:history="1">
        <w:r>
          <w:rPr>
            <w:rStyle w:val="Hyperlink"/>
            <w:b/>
            <w:bCs/>
            <w:color w:val="0000EE"/>
            <w:u w:color="0000EE"/>
            <w:lang w:val="el" w:eastAsia="el"/>
          </w:rPr>
          <w:t>Τροποποίηση 3842/2010, Άρθρο 85</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85" w:history="1">
        <w:r>
          <w:rPr>
            <w:rStyle w:val="Hyperlink"/>
            <w:b/>
            <w:bCs/>
            <w:color w:val="0000EE"/>
            <w:u w:color="0000EE"/>
            <w:lang w:val="el" w:eastAsia="el"/>
          </w:rPr>
          <w:t>Τροποποίηση 3842/2010, Άρθρο 85</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1" w:history="1">
        <w:r>
          <w:rPr>
            <w:rStyle w:val="Hyperlink"/>
            <w:b/>
            <w:bCs/>
            <w:color w:val="0000EE"/>
            <w:u w:color="0000EE"/>
            <w:lang w:val="el" w:eastAsia="el"/>
          </w:rPr>
          <w:t>Τροποποίηση 3583/2007, Άρθρο 1</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85" w:history="1">
        <w:r>
          <w:rPr>
            <w:rStyle w:val="Hyperlink"/>
            <w:b/>
            <w:bCs/>
            <w:color w:val="0000EE"/>
            <w:u w:color="0000EE"/>
            <w:lang w:val="el" w:eastAsia="el"/>
          </w:rPr>
          <w:t>Τροποποίηση 3842/2010, Άρθρο 85</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85" w:history="1">
        <w:r>
          <w:rPr>
            <w:rStyle w:val="Hyperlink"/>
            <w:b/>
            <w:bCs/>
            <w:color w:val="0000EE"/>
            <w:u w:color="0000EE"/>
            <w:lang w:val="el" w:eastAsia="el"/>
          </w:rPr>
          <w:t>Τροποποίηση 3842/2010, Άρθρο 85</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85" w:history="1">
        <w:r>
          <w:rPr>
            <w:rStyle w:val="Hyperlink"/>
            <w:b/>
            <w:bCs/>
            <w:color w:val="0000EE"/>
            <w:u w:color="0000EE"/>
            <w:lang w:val="el" w:eastAsia="el"/>
          </w:rPr>
          <w:t>Τροποποίηση 3842/2010, Άρθρο 85</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85" w:history="1">
        <w:r>
          <w:rPr>
            <w:rStyle w:val="Hyperlink"/>
            <w:b/>
            <w:bCs/>
            <w:color w:val="0000EE"/>
            <w:u w:color="0000EE"/>
            <w:lang w:val="el" w:eastAsia="el"/>
          </w:rPr>
          <w:t>Τροποποίηση 3842/2010, Άρθρο 85</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4" w:history="1">
        <w:r>
          <w:rPr>
            <w:rStyle w:val="Hyperlink"/>
            <w:b/>
            <w:bCs/>
            <w:color w:val="0000EE"/>
            <w:u w:color="0000EE"/>
            <w:lang w:val="el" w:eastAsia="el"/>
          </w:rPr>
          <w:t>Προσθήκη 4410/2016, Άρθρο 4</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85" w:history="1">
        <w:r>
          <w:rPr>
            <w:rStyle w:val="Hyperlink"/>
            <w:b/>
            <w:bCs/>
            <w:color w:val="0000EE"/>
            <w:u w:color="0000EE"/>
            <w:lang w:val="el" w:eastAsia="el"/>
          </w:rPr>
          <w:t>Τροποποίηση 3842/2010, Άρθρο 85</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320" w:history="1">
        <w:r>
          <w:rPr>
            <w:rStyle w:val="Hyperlink"/>
            <w:b/>
            <w:bCs/>
            <w:color w:val="0000EE"/>
            <w:u w:color="0000EE"/>
            <w:lang w:val="el" w:eastAsia="el"/>
          </w:rPr>
          <w:t>Προσθήκη 4072/2012, Άρθρο 320</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9" w:history="1">
        <w:r>
          <w:rPr>
            <w:rStyle w:val="Hyperlink"/>
            <w:b/>
            <w:bCs/>
            <w:color w:val="0000EE"/>
            <w:u w:color="0000EE"/>
            <w:lang w:val="el" w:eastAsia="el"/>
          </w:rPr>
          <w:t>Τροποποίηση 4211/2013, Άρθρο 9</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85" w:history="1">
        <w:r>
          <w:rPr>
            <w:rStyle w:val="Hyperlink"/>
            <w:b/>
            <w:bCs/>
            <w:color w:val="0000EE"/>
            <w:u w:color="0000EE"/>
            <w:lang w:val="el" w:eastAsia="el"/>
          </w:rPr>
          <w:t>Προσθήκη 3842/2010, Άρθρο 85</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85" w:history="1">
        <w:r>
          <w:rPr>
            <w:rStyle w:val="Hyperlink"/>
            <w:b/>
            <w:bCs/>
            <w:color w:val="0000EE"/>
            <w:u w:color="0000EE"/>
            <w:lang w:val="el" w:eastAsia="el"/>
          </w:rPr>
          <w:t>Τροποποίηση 3842/2010, Άρθρο 85</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85" w:history="1">
        <w:r>
          <w:rPr>
            <w:rStyle w:val="Hyperlink"/>
            <w:b/>
            <w:bCs/>
            <w:color w:val="0000EE"/>
            <w:u w:color="0000EE"/>
            <w:lang w:val="el" w:eastAsia="el"/>
          </w:rPr>
          <w:t>Τροποποίηση 3842/2010, Άρθρο 85</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85" w:history="1">
        <w:r>
          <w:rPr>
            <w:rStyle w:val="Hyperlink"/>
            <w:b/>
            <w:bCs/>
            <w:color w:val="0000EE"/>
            <w:u w:color="0000EE"/>
            <w:lang w:val="el" w:eastAsia="el"/>
          </w:rPr>
          <w:t>Τροποποίηση 3842/2010, Άρθρο 85</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85" w:history="1">
        <w:r>
          <w:rPr>
            <w:rStyle w:val="Hyperlink"/>
            <w:b/>
            <w:bCs/>
            <w:color w:val="0000EE"/>
            <w:u w:color="0000EE"/>
            <w:lang w:val="el" w:eastAsia="el"/>
          </w:rPr>
          <w:t>Τροποποίηση 3842/2010, Άρθρο 85</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85" w:history="1">
        <w:r>
          <w:rPr>
            <w:rStyle w:val="Hyperlink"/>
            <w:b/>
            <w:bCs/>
            <w:color w:val="0000EE"/>
            <w:u w:color="0000EE"/>
            <w:lang w:val="el" w:eastAsia="el"/>
          </w:rPr>
          <w:t>Τροποποίηση 3842/2010, Άρθρο 85</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85" w:history="1">
        <w:r>
          <w:rPr>
            <w:rStyle w:val="Hyperlink"/>
            <w:b/>
            <w:bCs/>
            <w:color w:val="0000EE"/>
            <w:u w:color="0000EE"/>
            <w:lang w:val="el" w:eastAsia="el"/>
          </w:rPr>
          <w:t>Τροποποίηση 3842/2010, Άρθρο 85</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1" w:history="1">
        <w:r>
          <w:rPr>
            <w:rStyle w:val="Hyperlink"/>
            <w:b/>
            <w:bCs/>
            <w:color w:val="0000EE"/>
            <w:u w:color="0000EE"/>
            <w:lang w:val="el" w:eastAsia="el"/>
          </w:rPr>
          <w:t>Τροποποίηση 3583/2007, Άρθρο 1</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85" w:history="1">
        <w:r>
          <w:rPr>
            <w:rStyle w:val="Hyperlink"/>
            <w:b/>
            <w:bCs/>
            <w:color w:val="0000EE"/>
            <w:u w:color="0000EE"/>
            <w:lang w:val="el" w:eastAsia="el"/>
          </w:rPr>
          <w:t>Τροποποίηση 3842/2010, Άρθρο 85</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1" w:history="1">
        <w:r>
          <w:rPr>
            <w:rStyle w:val="Hyperlink"/>
            <w:b/>
            <w:bCs/>
            <w:color w:val="0000EE"/>
            <w:u w:color="0000EE"/>
            <w:lang w:val="el" w:eastAsia="el"/>
          </w:rPr>
          <w:t>Προσθήκη 3583/2007, Άρθρο 1</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1" w:history="1">
        <w:r>
          <w:rPr>
            <w:rStyle w:val="Hyperlink"/>
            <w:b/>
            <w:bCs/>
            <w:color w:val="0000EE"/>
            <w:u w:color="0000EE"/>
            <w:lang w:val="el" w:eastAsia="el"/>
          </w:rPr>
          <w:t>Προσθήκη 3583/2007, Άρθρο 1</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1" w:history="1">
        <w:r>
          <w:rPr>
            <w:rStyle w:val="Hyperlink"/>
            <w:b/>
            <w:bCs/>
            <w:color w:val="0000EE"/>
            <w:u w:color="0000EE"/>
            <w:lang w:val="el" w:eastAsia="el"/>
          </w:rPr>
          <w:t>Τροποποίηση 3336/2005, Άρθρο 1</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62" w:history="1">
        <w:r>
          <w:rPr>
            <w:rStyle w:val="Hyperlink"/>
            <w:b/>
            <w:bCs/>
            <w:color w:val="0000EE"/>
            <w:u w:color="0000EE"/>
            <w:lang w:val="el" w:eastAsia="el"/>
          </w:rPr>
          <w:t>Τροποποίηση 4583/2018, Άρθρο 62</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1" w:history="1">
        <w:r>
          <w:rPr>
            <w:rStyle w:val="Hyperlink"/>
            <w:b/>
            <w:bCs/>
            <w:color w:val="0000EE"/>
            <w:u w:color="0000EE"/>
            <w:lang w:val="el" w:eastAsia="el"/>
          </w:rPr>
          <w:t>Τροποποίηση 3336/2005, Άρθρο 1</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4" w:history="1">
        <w:r>
          <w:rPr>
            <w:rStyle w:val="Hyperlink"/>
            <w:b/>
            <w:bCs/>
            <w:color w:val="0000EE"/>
            <w:u w:color="0000EE"/>
            <w:lang w:val="el" w:eastAsia="el"/>
          </w:rPr>
          <w:t>Τροποποίηση 3845/2010, Άρθρο 4</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15" w:history="1">
        <w:r>
          <w:rPr>
            <w:rStyle w:val="Hyperlink"/>
            <w:b/>
            <w:bCs/>
            <w:color w:val="0000EE"/>
            <w:u w:color="0000EE"/>
            <w:lang w:val="el" w:eastAsia="el"/>
          </w:rPr>
          <w:t>Τροποποίηση 3833/2010, Άρθρο 15</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7" w:history="1">
        <w:r>
          <w:rPr>
            <w:rStyle w:val="Hyperlink"/>
            <w:b/>
            <w:bCs/>
            <w:color w:val="0000EE"/>
            <w:u w:color="0000EE"/>
            <w:lang w:val="el" w:eastAsia="el"/>
          </w:rPr>
          <w:t>Τροποποίηση 3899/2010, Άρθρο 7</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36" w:history="1">
        <w:r>
          <w:rPr>
            <w:rStyle w:val="Hyperlink"/>
            <w:b/>
            <w:bCs/>
            <w:color w:val="0000EE"/>
            <w:u w:color="0000EE"/>
            <w:lang w:val="el" w:eastAsia="el"/>
          </w:rPr>
          <w:t>Τροποποίηση 3986/2011, Άρθρο 36</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5" w:history="1">
        <w:r>
          <w:rPr>
            <w:rStyle w:val="Hyperlink"/>
            <w:b/>
            <w:bCs/>
            <w:color w:val="0000EE"/>
            <w:u w:color="0000EE"/>
            <w:lang w:val="el" w:eastAsia="el"/>
          </w:rPr>
          <w:t>Τροποποίηση 4092/2012, Άρθρο 5</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1" w:history="1">
        <w:r>
          <w:rPr>
            <w:rStyle w:val="Hyperlink"/>
            <w:b/>
            <w:bCs/>
            <w:color w:val="0000EE"/>
            <w:u w:color="0000EE"/>
            <w:lang w:val="el" w:eastAsia="el"/>
          </w:rPr>
          <w:t>Τροποποίηση 4093/2012, Άρθρο 1</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60" w:history="1">
        <w:r>
          <w:rPr>
            <w:rStyle w:val="Hyperlink"/>
            <w:b/>
            <w:bCs/>
            <w:color w:val="0000EE"/>
            <w:u w:color="0000EE"/>
            <w:lang w:val="el" w:eastAsia="el"/>
          </w:rPr>
          <w:t>Τροποποίηση 4389/2016, Άρθρο 60</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61" w:history="1">
        <w:r>
          <w:rPr>
            <w:rStyle w:val="Hyperlink"/>
            <w:b/>
            <w:bCs/>
            <w:color w:val="0000EE"/>
            <w:u w:color="0000EE"/>
            <w:lang w:val="el" w:eastAsia="el"/>
          </w:rPr>
          <w:t>Τροποποίηση 4389/2016, Άρθρο 61</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34" w:history="1">
        <w:r>
          <w:rPr>
            <w:rStyle w:val="Hyperlink"/>
            <w:b/>
            <w:bCs/>
            <w:color w:val="0000EE"/>
            <w:u w:color="0000EE"/>
            <w:lang w:val="el" w:eastAsia="el"/>
          </w:rPr>
          <w:t>Τροποποίηση 3775/2009, Άρθρο 34</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34" w:history="1">
        <w:r>
          <w:rPr>
            <w:rStyle w:val="Hyperlink"/>
            <w:b/>
            <w:bCs/>
            <w:color w:val="0000EE"/>
            <w:u w:color="0000EE"/>
            <w:lang w:val="el" w:eastAsia="el"/>
          </w:rPr>
          <w:t>Τροποποίηση 3775/2009, Άρθρο 34</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62" w:history="1">
        <w:r>
          <w:rPr>
            <w:rStyle w:val="Hyperlink"/>
            <w:b/>
            <w:bCs/>
            <w:color w:val="0000EE"/>
            <w:u w:color="0000EE"/>
            <w:lang w:val="el" w:eastAsia="el"/>
          </w:rPr>
          <w:t>Τροποποίηση 4583/2018, Άρθρο 62</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62" w:history="1">
        <w:r>
          <w:rPr>
            <w:rStyle w:val="Hyperlink"/>
            <w:b/>
            <w:bCs/>
            <w:color w:val="0000EE"/>
            <w:u w:color="0000EE"/>
            <w:lang w:val="el" w:eastAsia="el"/>
          </w:rPr>
          <w:t>Τροποποίηση 4583/2018, Άρθρο 62</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7" w:anchor="art_10" w:history="1">
        <w:r>
          <w:rPr>
            <w:rStyle w:val="Hyperlink"/>
            <w:b w:val="0"/>
            <w:bCs w:val="0"/>
            <w:i w:val="0"/>
            <w:iCs w:val="0"/>
            <w:smallCaps w:val="0"/>
            <w:color w:val="0000EE"/>
            <w:u w:color="0000EE"/>
            <w:lang w:val="el" w:eastAsia="el"/>
          </w:rPr>
          <w:t>Τροποποίηση 3483/2006, Άρθρο 10</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Προσθήκη 3340/2005, Άρθρο 34</w:t>
      </w:r>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5" w:history="1">
        <w:r>
          <w:rPr>
            <w:rStyle w:val="Hyperlink"/>
            <w:b/>
            <w:bCs/>
            <w:color w:val="0000EE"/>
            <w:u w:color="0000EE"/>
            <w:lang w:val="el" w:eastAsia="el"/>
          </w:rPr>
          <w:t>Τροποποίηση 3899/2010, Άρθρο 5</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22" w:history="1">
        <w:r>
          <w:rPr>
            <w:rStyle w:val="Hyperlink"/>
            <w:b/>
            <w:bCs/>
            <w:color w:val="0000EE"/>
            <w:u w:color="0000EE"/>
            <w:lang w:val="el" w:eastAsia="el"/>
          </w:rPr>
          <w:t>Προσθήκη 3634/2008, Άρθρο 22</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36" w:history="1">
        <w:r>
          <w:rPr>
            <w:rStyle w:val="Hyperlink"/>
            <w:b/>
            <w:bCs/>
            <w:color w:val="0000EE"/>
            <w:u w:color="0000EE"/>
            <w:lang w:val="el" w:eastAsia="el"/>
          </w:rPr>
          <w:t>Τροποποίηση 3986/2011, Άρθρο 36</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36" w:history="1">
        <w:r>
          <w:rPr>
            <w:rStyle w:val="Hyperlink"/>
            <w:b/>
            <w:bCs/>
            <w:color w:val="0000EE"/>
            <w:u w:color="0000EE"/>
            <w:lang w:val="el" w:eastAsia="el"/>
          </w:rPr>
          <w:t>Τροποποίηση 3986/2011, Άρθρο 36</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38" w:history="1">
        <w:r>
          <w:rPr>
            <w:rStyle w:val="Hyperlink"/>
            <w:b/>
            <w:bCs/>
            <w:color w:val="0000EE"/>
            <w:u w:color="0000EE"/>
            <w:lang w:val="el" w:eastAsia="el"/>
          </w:rPr>
          <w:t>Τροποποίηση 4024/2011, Άρθρο 38</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4038/2011, Άρθρο 4</w:t>
      </w:r>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4092/2011, Άρθρο 5</w:t>
      </w:r>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29" w:history="1">
        <w:r>
          <w:rPr>
            <w:rStyle w:val="Hyperlink"/>
            <w:b/>
            <w:bCs/>
            <w:color w:val="0000EE"/>
            <w:u w:color="0000EE"/>
            <w:lang w:val="el" w:eastAsia="el"/>
          </w:rPr>
          <w:t>Τροποποίηση 4301/2014, Άρθρο 29</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60" w:history="1">
        <w:r>
          <w:rPr>
            <w:rStyle w:val="Hyperlink"/>
            <w:b/>
            <w:bCs/>
            <w:color w:val="0000EE"/>
            <w:u w:color="0000EE"/>
            <w:lang w:val="el" w:eastAsia="el"/>
          </w:rPr>
          <w:t>Τροποποίηση 4389/2016, Άρθρο 60</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1" w:history="1">
        <w:r>
          <w:rPr>
            <w:rStyle w:val="Hyperlink"/>
            <w:b/>
            <w:bCs/>
            <w:color w:val="0000EE"/>
            <w:u w:color="0000EE"/>
            <w:lang w:val="el" w:eastAsia="el"/>
          </w:rPr>
          <w:t>Τροποποίηση 3336/2005, Άρθρο 1</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15" w:history="1">
        <w:r>
          <w:rPr>
            <w:rStyle w:val="Hyperlink"/>
            <w:b/>
            <w:bCs/>
            <w:color w:val="0000EE"/>
            <w:u w:color="0000EE"/>
            <w:lang w:val="el" w:eastAsia="el"/>
          </w:rPr>
          <w:t>Προσθήκη 3833/2010, Άρθρο 15</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36" w:history="1">
        <w:r>
          <w:rPr>
            <w:rStyle w:val="Hyperlink"/>
            <w:b/>
            <w:bCs/>
            <w:color w:val="0000EE"/>
            <w:u w:color="0000EE"/>
            <w:lang w:val="el" w:eastAsia="el"/>
          </w:rPr>
          <w:t>Τροποποίηση 3986/2011, Άρθρο 36</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51" w:history="1">
        <w:r>
          <w:rPr>
            <w:rStyle w:val="Hyperlink"/>
            <w:b/>
            <w:bCs/>
            <w:color w:val="0000EE"/>
            <w:u w:color="0000EE"/>
            <w:lang w:val="el" w:eastAsia="el"/>
          </w:rPr>
          <w:t>Τροποποίηση 4607/2019, Άρθρο 51</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124" w:history="1">
        <w:r>
          <w:rPr>
            <w:rStyle w:val="Hyperlink"/>
            <w:b/>
            <w:bCs/>
            <w:color w:val="0000EE"/>
            <w:u w:color="0000EE"/>
            <w:lang w:val="el" w:eastAsia="el"/>
          </w:rPr>
          <w:t>Τροποποίηση 4514/2018, Άρθρο 124</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 w:history="1">
        <w:r>
          <w:rPr>
            <w:rStyle w:val="Hyperlink"/>
            <w:b/>
            <w:bCs/>
            <w:color w:val="0000EE"/>
            <w:u w:color="0000EE"/>
            <w:lang w:val="el" w:eastAsia="el"/>
          </w:rPr>
          <w:t>Τροποποίηση 3336/2005, Άρθρο 1</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 w:history="1">
        <w:r>
          <w:rPr>
            <w:rStyle w:val="Hyperlink"/>
            <w:b/>
            <w:bCs/>
            <w:color w:val="0000EE"/>
            <w:u w:color="0000EE"/>
            <w:lang w:val="el" w:eastAsia="el"/>
          </w:rPr>
          <w:t>Τροποποίηση 3336/2005, Άρθρο 1</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85" w:history="1">
        <w:r>
          <w:rPr>
            <w:rStyle w:val="Hyperlink"/>
            <w:b/>
            <w:bCs/>
            <w:color w:val="0000EE"/>
            <w:u w:color="0000EE"/>
            <w:lang w:val="el" w:eastAsia="el"/>
          </w:rPr>
          <w:t>Τροποποίηση 3842/2010, Άρθρο 85</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1" w:history="1">
        <w:r>
          <w:rPr>
            <w:rStyle w:val="Hyperlink"/>
            <w:b/>
            <w:bCs/>
            <w:color w:val="0000EE"/>
            <w:u w:color="0000EE"/>
            <w:lang w:val="el" w:eastAsia="el"/>
          </w:rPr>
          <w:t>Τροποποίηση 3336/2005, Άρθρο 1</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1" w:history="1">
        <w:r>
          <w:rPr>
            <w:rStyle w:val="Hyperlink"/>
            <w:b/>
            <w:bCs/>
            <w:color w:val="0000EE"/>
            <w:u w:color="0000EE"/>
            <w:lang w:val="el" w:eastAsia="el"/>
          </w:rPr>
          <w:t>Τροποποίηση 3336/2005, Άρθρο 1</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30" w:history="1">
        <w:r>
          <w:rPr>
            <w:rStyle w:val="Hyperlink"/>
            <w:b/>
            <w:bCs/>
            <w:color w:val="0000EE"/>
            <w:u w:color="0000EE"/>
            <w:lang w:val="el" w:eastAsia="el"/>
          </w:rPr>
          <w:t>Αφαίρεση 3634/2008, Άρθρο 30</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61" w:history="1">
        <w:r>
          <w:rPr>
            <w:rStyle w:val="Hyperlink"/>
            <w:b/>
            <w:bCs/>
            <w:color w:val="0000EE"/>
            <w:u w:color="0000EE"/>
            <w:lang w:val="el" w:eastAsia="el"/>
          </w:rPr>
          <w:t>Τροποποίηση 4389/2016, Άρθρο 61</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 w:history="1">
        <w:r>
          <w:rPr>
            <w:rStyle w:val="Hyperlink"/>
            <w:b/>
            <w:bCs/>
            <w:color w:val="0000EE"/>
            <w:u w:color="0000EE"/>
            <w:lang w:val="el" w:eastAsia="el"/>
          </w:rPr>
          <w:t>Προσθήκη 3583/2007, Άρθρο 1</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84" w:history="1">
        <w:r>
          <w:rPr>
            <w:rStyle w:val="Hyperlink"/>
            <w:b/>
            <w:bCs/>
            <w:color w:val="0000EE"/>
            <w:u w:color="0000EE"/>
            <w:lang w:val="el" w:eastAsia="el"/>
          </w:rPr>
          <w:t>Τροποποίηση 4261/2014, Άρθρο 184</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5" w:history="1">
        <w:r>
          <w:rPr>
            <w:rStyle w:val="Hyperlink"/>
            <w:b/>
            <w:bCs/>
            <w:color w:val="0000EE"/>
            <w:u w:color="0000EE"/>
            <w:lang w:val="el" w:eastAsia="el"/>
          </w:rPr>
          <w:t>Προσθήκη 3833/2010, Άρθρο 15</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4379/2016, Άρθρο 6</w:t>
      </w:r>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Αφαίρεση 4389/2010, Άρθρο 61</w:t>
      </w:r>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62" w:history="1">
        <w:r>
          <w:rPr>
            <w:rStyle w:val="Hyperlink"/>
            <w:b/>
            <w:bCs/>
            <w:color w:val="0000EE"/>
            <w:u w:color="0000EE"/>
            <w:lang w:val="el" w:eastAsia="el"/>
          </w:rPr>
          <w:t>Τροποποίηση 4583/2018, Άρθρο 62</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62" w:history="1">
        <w:r>
          <w:rPr>
            <w:rStyle w:val="Hyperlink"/>
            <w:b/>
            <w:bCs/>
            <w:color w:val="0000EE"/>
            <w:u w:color="0000EE"/>
            <w:lang w:val="el" w:eastAsia="el"/>
          </w:rPr>
          <w:t>Τροποποίηση 4583/2018, Άρθρο 62</w:t>
        </w:r>
      </w:hyperlink>
    </w:p>
  </w:footnote>
  <w:footnote w:id="10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2" w:anchor="art_1" w:history="1">
        <w:r>
          <w:rPr>
            <w:rStyle w:val="Hyperlink"/>
            <w:b w:val="0"/>
            <w:bCs w:val="0"/>
            <w:i w:val="0"/>
            <w:iCs w:val="0"/>
            <w:smallCaps w:val="0"/>
            <w:color w:val="0000EE"/>
            <w:u w:color="0000EE"/>
            <w:lang w:val="el" w:eastAsia="el"/>
          </w:rPr>
          <w:t>Αφαίρεση 3583/2007, Άρθρο 1</w:t>
        </w:r>
      </w:hyperlink>
    </w:p>
  </w:footnote>
  <w:footnote w:id="10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3" w:anchor="art_1" w:history="1">
        <w:r>
          <w:rPr>
            <w:rStyle w:val="Hyperlink"/>
            <w:b w:val="0"/>
            <w:bCs w:val="0"/>
            <w:i w:val="0"/>
            <w:iCs w:val="0"/>
            <w:smallCaps w:val="0"/>
            <w:color w:val="0000EE"/>
            <w:u w:color="0000EE"/>
            <w:lang w:val="el" w:eastAsia="el"/>
          </w:rPr>
          <w:t>Τροποποίηση 3583/2007, Άρθρο 1</w:t>
        </w:r>
      </w:hyperlink>
    </w:p>
  </w:footnote>
  <w:footnote w:id="10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4" w:anchor="art_15" w:history="1">
        <w:r>
          <w:rPr>
            <w:rStyle w:val="Hyperlink"/>
            <w:b w:val="0"/>
            <w:bCs w:val="0"/>
            <w:i w:val="0"/>
            <w:iCs w:val="0"/>
            <w:smallCaps w:val="0"/>
            <w:color w:val="0000EE"/>
            <w:u w:color="0000EE"/>
            <w:lang w:val="el" w:eastAsia="el"/>
          </w:rPr>
          <w:t>Αφαίρεση 3833/2010, Άρθρο 15</w:t>
        </w:r>
      </w:hyperlink>
    </w:p>
  </w:footnote>
  <w:footnote w:id="107">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5" w:anchor="art_1" w:history="1">
        <w:r>
          <w:rPr>
            <w:rStyle w:val="Hyperlink"/>
            <w:b w:val="0"/>
            <w:bCs w:val="0"/>
            <w:i w:val="0"/>
            <w:iCs w:val="0"/>
            <w:smallCaps w:val="0"/>
            <w:color w:val="0000EE"/>
            <w:u w:color="0000EE"/>
            <w:lang w:val="el" w:eastAsia="el"/>
          </w:rPr>
          <w:t>Τροποποίηση 3583/2007, Άρθρο 1</w:t>
        </w:r>
      </w:hyperlink>
    </w:p>
  </w:footnote>
  <w:footnote w:id="10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6" w:anchor="art_22" w:history="1">
        <w:r>
          <w:rPr>
            <w:rStyle w:val="Hyperlink"/>
            <w:b w:val="0"/>
            <w:bCs w:val="0"/>
            <w:i w:val="0"/>
            <w:iCs w:val="0"/>
            <w:smallCaps w:val="0"/>
            <w:color w:val="0000EE"/>
            <w:u w:color="0000EE"/>
            <w:lang w:val="el" w:eastAsia="el"/>
          </w:rPr>
          <w:t>Αφαίρεση 3634/2008, Άρθρο 22</w:t>
        </w:r>
      </w:hyperlink>
    </w:p>
  </w:footnote>
  <w:footnote w:id="10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7" w:anchor="art_1" w:history="1">
        <w:r>
          <w:rPr>
            <w:rStyle w:val="Hyperlink"/>
            <w:b w:val="0"/>
            <w:bCs w:val="0"/>
            <w:i w:val="0"/>
            <w:iCs w:val="0"/>
            <w:smallCaps w:val="0"/>
            <w:color w:val="0000EE"/>
            <w:u w:color="0000EE"/>
            <w:lang w:val="el" w:eastAsia="el"/>
          </w:rPr>
          <w:t>Αφαίρεση 3583/2007, Άρθρο 1</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10" w:history="1">
        <w:r>
          <w:rPr>
            <w:rStyle w:val="Hyperlink"/>
            <w:b/>
            <w:bCs/>
            <w:color w:val="0000EE"/>
            <w:u w:color="0000EE"/>
            <w:lang w:val="el" w:eastAsia="el"/>
          </w:rPr>
          <w:t>Τροποποίηση 3483/2006, Άρθρο 10</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62" w:history="1">
        <w:r>
          <w:rPr>
            <w:rStyle w:val="Hyperlink"/>
            <w:b/>
            <w:bCs/>
            <w:color w:val="0000EE"/>
            <w:u w:color="0000EE"/>
            <w:lang w:val="el" w:eastAsia="el"/>
          </w:rPr>
          <w:t>Τροποποίηση 4583/2018, Άρθρο 62</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1" w:history="1">
        <w:r>
          <w:rPr>
            <w:rStyle w:val="Hyperlink"/>
            <w:b/>
            <w:bCs/>
            <w:color w:val="0000EE"/>
            <w:u w:color="0000EE"/>
            <w:lang w:val="el" w:eastAsia="el"/>
          </w:rPr>
          <w:t>Προσθήκη 3583/2007, Άρθρο 1</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22" w:history="1">
        <w:r>
          <w:rPr>
            <w:rStyle w:val="Hyperlink"/>
            <w:b/>
            <w:bCs/>
            <w:color w:val="0000EE"/>
            <w:u w:color="0000EE"/>
            <w:lang w:val="el" w:eastAsia="el"/>
          </w:rPr>
          <w:t>Αφαίρεση 3634/2008, Άρθρο 22</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22" w:history="1">
        <w:r>
          <w:rPr>
            <w:rStyle w:val="Hyperlink"/>
            <w:b/>
            <w:bCs/>
            <w:color w:val="0000EE"/>
            <w:u w:color="0000EE"/>
            <w:lang w:val="el" w:eastAsia="el"/>
          </w:rPr>
          <w:t>Προσθήκη 3634/2008, Άρθρο 22</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1" w:history="1">
        <w:r>
          <w:rPr>
            <w:rStyle w:val="Hyperlink"/>
            <w:b/>
            <w:bCs/>
            <w:color w:val="0000EE"/>
            <w:u w:color="0000EE"/>
            <w:lang w:val="el" w:eastAsia="el"/>
          </w:rPr>
          <w:t>Τροποποίηση 4093/2012, Άρθρο 1</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2" w:history="1">
        <w:r>
          <w:rPr>
            <w:rStyle w:val="Hyperlink"/>
            <w:b/>
            <w:bCs/>
            <w:color w:val="0000EE"/>
            <w:u w:color="0000EE"/>
            <w:lang w:val="el" w:eastAsia="el"/>
          </w:rPr>
          <w:t>Τροποποίηση 4336/2015, Άρθρο 2</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2" w:history="1">
        <w:r>
          <w:rPr>
            <w:rStyle w:val="Hyperlink"/>
            <w:b/>
            <w:bCs/>
            <w:color w:val="0000EE"/>
            <w:u w:color="0000EE"/>
            <w:lang w:val="el" w:eastAsia="el"/>
          </w:rPr>
          <w:t>Αφαίρεση 4336/2015, Άρθρο 2</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22" w:history="1">
        <w:r>
          <w:rPr>
            <w:rStyle w:val="Hyperlink"/>
            <w:b/>
            <w:bCs/>
            <w:color w:val="0000EE"/>
            <w:u w:color="0000EE"/>
            <w:lang w:val="el" w:eastAsia="el"/>
          </w:rPr>
          <w:t>Τροποποίηση 3634/2008, Άρθρο 22</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1" w:history="1">
        <w:r>
          <w:rPr>
            <w:rStyle w:val="Hyperlink"/>
            <w:b/>
            <w:bCs/>
            <w:color w:val="0000EE"/>
            <w:u w:color="0000EE"/>
            <w:lang w:val="el" w:eastAsia="el"/>
          </w:rPr>
          <w:t>Τροποποίηση 3336/2005, Άρθρο 1</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115" w:history="1">
        <w:r>
          <w:rPr>
            <w:rStyle w:val="Hyperlink"/>
            <w:b/>
            <w:bCs/>
            <w:color w:val="0000EE"/>
            <w:u w:color="0000EE"/>
            <w:lang w:val="el" w:eastAsia="el"/>
          </w:rPr>
          <w:t>Προσθήκη 4537/2018, Άρθρο 115</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22" w:history="1">
        <w:r>
          <w:rPr>
            <w:rStyle w:val="Hyperlink"/>
            <w:b/>
            <w:bCs/>
            <w:color w:val="0000EE"/>
            <w:u w:color="0000EE"/>
            <w:lang w:val="el" w:eastAsia="el"/>
          </w:rPr>
          <w:t>Τροποποίηση 3634/2008, Άρθρο 22</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1" w:history="1">
        <w:r>
          <w:rPr>
            <w:rStyle w:val="Hyperlink"/>
            <w:b/>
            <w:bCs/>
            <w:color w:val="0000EE"/>
            <w:u w:color="0000EE"/>
            <w:lang w:val="el" w:eastAsia="el"/>
          </w:rPr>
          <w:t>Προσθήκη 3583/2007, Άρθρο 1</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68" w:history="1">
        <w:r>
          <w:rPr>
            <w:rStyle w:val="Hyperlink"/>
            <w:b/>
            <w:bCs/>
            <w:color w:val="0000EE"/>
            <w:u w:color="0000EE"/>
            <w:lang w:val="el" w:eastAsia="el"/>
          </w:rPr>
          <w:t>Τροποποίηση 4472/2017, Άρθρο 68</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14" w:history="1">
        <w:r>
          <w:rPr>
            <w:rStyle w:val="Hyperlink"/>
            <w:b/>
            <w:bCs/>
            <w:color w:val="0000EE"/>
            <w:u w:color="0000EE"/>
            <w:lang w:val="el" w:eastAsia="el"/>
          </w:rPr>
          <w:t>Τροποποίηση 3833/2010, Άρθρο 14</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4" w:history="1">
        <w:r>
          <w:rPr>
            <w:rStyle w:val="Hyperlink"/>
            <w:b/>
            <w:bCs/>
            <w:color w:val="0000EE"/>
            <w:u w:color="0000EE"/>
            <w:lang w:val="el" w:eastAsia="el"/>
          </w:rPr>
          <w:t>Τροποποίηση 3845/2010, Άρθρο 4</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 w:history="1">
        <w:r>
          <w:rPr>
            <w:rStyle w:val="Hyperlink"/>
            <w:b/>
            <w:bCs/>
            <w:color w:val="0000EE"/>
            <w:u w:color="0000EE"/>
            <w:lang w:val="el" w:eastAsia="el"/>
          </w:rPr>
          <w:t>Τροποποίηση 3336/2005, Άρθρο 1</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10" w:history="1">
        <w:r>
          <w:rPr>
            <w:rStyle w:val="Hyperlink"/>
            <w:b/>
            <w:bCs/>
            <w:color w:val="0000EE"/>
            <w:u w:color="0000EE"/>
            <w:lang w:val="el" w:eastAsia="el"/>
          </w:rPr>
          <w:t>Τροποποίηση 3752/2009, Άρθρο 10</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14" w:history="1">
        <w:r>
          <w:rPr>
            <w:rStyle w:val="Hyperlink"/>
            <w:b/>
            <w:bCs/>
            <w:color w:val="0000EE"/>
            <w:u w:color="0000EE"/>
            <w:lang w:val="el" w:eastAsia="el"/>
          </w:rPr>
          <w:t>Τροποποίηση 3833/2010, Άρθρο 14</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4" w:history="1">
        <w:r>
          <w:rPr>
            <w:rStyle w:val="Hyperlink"/>
            <w:b/>
            <w:bCs/>
            <w:color w:val="0000EE"/>
            <w:u w:color="0000EE"/>
            <w:lang w:val="el" w:eastAsia="el"/>
          </w:rPr>
          <w:t>Τροποποίηση 3845/2010, Άρθρο 4</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60" w:history="1">
        <w:r>
          <w:rPr>
            <w:rStyle w:val="Hyperlink"/>
            <w:b/>
            <w:bCs/>
            <w:color w:val="0000EE"/>
            <w:u w:color="0000EE"/>
            <w:lang w:val="el" w:eastAsia="el"/>
          </w:rPr>
          <w:t>Τροποποίηση 4389/2016, Άρθρο 60</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1" w:history="1">
        <w:r>
          <w:rPr>
            <w:rStyle w:val="Hyperlink"/>
            <w:b/>
            <w:bCs/>
            <w:color w:val="0000EE"/>
            <w:u w:color="0000EE"/>
            <w:lang w:val="el" w:eastAsia="el"/>
          </w:rPr>
          <w:t>Προσθήκη 3583/2007, Άρθρο 1</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68" w:history="1">
        <w:r>
          <w:rPr>
            <w:rStyle w:val="Hyperlink"/>
            <w:b/>
            <w:bCs/>
            <w:color w:val="0000EE"/>
            <w:u w:color="0000EE"/>
            <w:lang w:val="el" w:eastAsia="el"/>
          </w:rPr>
          <w:t>Αφαίρεση 4472/2017, Άρθρο 68</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1" w:history="1">
        <w:r>
          <w:rPr>
            <w:rStyle w:val="Hyperlink"/>
            <w:b/>
            <w:bCs/>
            <w:color w:val="0000EE"/>
            <w:u w:color="0000EE"/>
            <w:lang w:val="el" w:eastAsia="el"/>
          </w:rPr>
          <w:t>Προσθήκη 3583/2007, Άρθρο 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68" w:history="1">
        <w:r>
          <w:rPr>
            <w:rStyle w:val="Hyperlink"/>
            <w:b/>
            <w:bCs/>
            <w:color w:val="0000EE"/>
            <w:u w:color="0000EE"/>
            <w:lang w:val="el" w:eastAsia="el"/>
          </w:rPr>
          <w:t>Αφαίρεση 4472/2017, Άρθρο 68</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1" w:history="1">
        <w:r>
          <w:rPr>
            <w:rStyle w:val="Hyperlink"/>
            <w:b/>
            <w:bCs/>
            <w:color w:val="0000EE"/>
            <w:u w:color="0000EE"/>
            <w:lang w:val="el" w:eastAsia="el"/>
          </w:rPr>
          <w:t>Τροποποίηση 3583/2007, Άρθρο 1</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1" w:history="1">
        <w:r>
          <w:rPr>
            <w:rStyle w:val="Hyperlink"/>
            <w:b/>
            <w:bCs/>
            <w:color w:val="0000EE"/>
            <w:u w:color="0000EE"/>
            <w:lang w:val="el" w:eastAsia="el"/>
          </w:rPr>
          <w:t>Τροποποίηση 3583/2007, Άρθρο 1</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68" w:history="1">
        <w:r>
          <w:rPr>
            <w:rStyle w:val="Hyperlink"/>
            <w:b/>
            <w:bCs/>
            <w:color w:val="0000EE"/>
            <w:u w:color="0000EE"/>
            <w:lang w:val="el" w:eastAsia="el"/>
          </w:rPr>
          <w:t>Τροποποίηση 4472/2017, Άρθρο 68</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68" w:history="1">
        <w:r>
          <w:rPr>
            <w:rStyle w:val="Hyperlink"/>
            <w:b/>
            <w:bCs/>
            <w:color w:val="0000EE"/>
            <w:u w:color="0000EE"/>
            <w:lang w:val="el" w:eastAsia="el"/>
          </w:rPr>
          <w:t>Αφαίρεση 4472/2017, Άρθρο 68</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1" w:history="1">
        <w:r>
          <w:rPr>
            <w:rStyle w:val="Hyperlink"/>
            <w:b/>
            <w:bCs/>
            <w:color w:val="0000EE"/>
            <w:u w:color="0000EE"/>
            <w:lang w:val="el" w:eastAsia="el"/>
          </w:rPr>
          <w:t>Προσθήκη 3583/2007, Άρθρο 1</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1" w:history="1">
        <w:r>
          <w:rPr>
            <w:rStyle w:val="Hyperlink"/>
            <w:b/>
            <w:bCs/>
            <w:color w:val="0000EE"/>
            <w:u w:color="0000EE"/>
            <w:lang w:val="el" w:eastAsia="el"/>
          </w:rPr>
          <w:t>Τροποποίηση 3583/2007, Άρθρο 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68" w:history="1">
        <w:r>
          <w:rPr>
            <w:rStyle w:val="Hyperlink"/>
            <w:b/>
            <w:bCs/>
            <w:color w:val="0000EE"/>
            <w:u w:color="0000EE"/>
            <w:lang w:val="el" w:eastAsia="el"/>
          </w:rPr>
          <w:t>Τροποποίηση 4472/2017, Άρθρο 68</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85" w:history="1">
        <w:r>
          <w:rPr>
            <w:rStyle w:val="Hyperlink"/>
            <w:b/>
            <w:bCs/>
            <w:color w:val="0000EE"/>
            <w:u w:color="0000EE"/>
            <w:lang w:val="el" w:eastAsia="el"/>
          </w:rPr>
          <w:t>Τροποποίηση 3842/2010, Άρθρο 85</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10" w:history="1">
        <w:r>
          <w:rPr>
            <w:rStyle w:val="Hyperlink"/>
            <w:b/>
            <w:bCs/>
            <w:color w:val="0000EE"/>
            <w:u w:color="0000EE"/>
            <w:lang w:val="el" w:eastAsia="el"/>
          </w:rPr>
          <w:t>Τροποποίηση 3752/2009, Άρθρο 10</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14" w:history="1">
        <w:r>
          <w:rPr>
            <w:rStyle w:val="Hyperlink"/>
            <w:b/>
            <w:bCs/>
            <w:color w:val="0000EE"/>
            <w:u w:color="0000EE"/>
            <w:lang w:val="el" w:eastAsia="el"/>
          </w:rPr>
          <w:t>Τροποποίηση 3833/2010, Άρθρο 14</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4" w:history="1">
        <w:r>
          <w:rPr>
            <w:rStyle w:val="Hyperlink"/>
            <w:b/>
            <w:bCs/>
            <w:color w:val="0000EE"/>
            <w:u w:color="0000EE"/>
            <w:lang w:val="el" w:eastAsia="el"/>
          </w:rPr>
          <w:t>Τροποποίηση 3845/2010, Άρθρο 4</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60" w:history="1">
        <w:r>
          <w:rPr>
            <w:rStyle w:val="Hyperlink"/>
            <w:b/>
            <w:bCs/>
            <w:color w:val="0000EE"/>
            <w:u w:color="0000EE"/>
            <w:lang w:val="el" w:eastAsia="el"/>
          </w:rPr>
          <w:t>Τροποποίηση 4389/2016, Άρθρο 60</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10" w:history="1">
        <w:r>
          <w:rPr>
            <w:rStyle w:val="Hyperlink"/>
            <w:b/>
            <w:bCs/>
            <w:color w:val="0000EE"/>
            <w:u w:color="0000EE"/>
            <w:lang w:val="el" w:eastAsia="el"/>
          </w:rPr>
          <w:t>Τροποποίηση 3752/2009, Άρθρο 10</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14" w:history="1">
        <w:r>
          <w:rPr>
            <w:rStyle w:val="Hyperlink"/>
            <w:b/>
            <w:bCs/>
            <w:color w:val="0000EE"/>
            <w:u w:color="0000EE"/>
            <w:lang w:val="el" w:eastAsia="el"/>
          </w:rPr>
          <w:t>Τροποποίηση 3833/2010, Άρθρο 14</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4" w:history="1">
        <w:r>
          <w:rPr>
            <w:rStyle w:val="Hyperlink"/>
            <w:b/>
            <w:bCs/>
            <w:color w:val="0000EE"/>
            <w:u w:color="0000EE"/>
            <w:lang w:val="el" w:eastAsia="el"/>
          </w:rPr>
          <w:t>Τροποποίηση 3845/2010, Άρθρο 4</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60" w:history="1">
        <w:r>
          <w:rPr>
            <w:rStyle w:val="Hyperlink"/>
            <w:b/>
            <w:bCs/>
            <w:color w:val="0000EE"/>
            <w:u w:color="0000EE"/>
            <w:lang w:val="el" w:eastAsia="el"/>
          </w:rPr>
          <w:t>Τροποποίηση 4389/2016, Άρθρο 60</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10" w:history="1">
        <w:r>
          <w:rPr>
            <w:rStyle w:val="Hyperlink"/>
            <w:b/>
            <w:bCs/>
            <w:color w:val="0000EE"/>
            <w:u w:color="0000EE"/>
            <w:lang w:val="el" w:eastAsia="el"/>
          </w:rPr>
          <w:t>Τροποποίηση 3752/2009, Άρθρο 10</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14" w:history="1">
        <w:r>
          <w:rPr>
            <w:rStyle w:val="Hyperlink"/>
            <w:b/>
            <w:bCs/>
            <w:color w:val="0000EE"/>
            <w:u w:color="0000EE"/>
            <w:lang w:val="el" w:eastAsia="el"/>
          </w:rPr>
          <w:t>Τροποποίηση 3833/2010, Άρθρο 14</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4" w:history="1">
        <w:r>
          <w:rPr>
            <w:rStyle w:val="Hyperlink"/>
            <w:b/>
            <w:bCs/>
            <w:color w:val="0000EE"/>
            <w:u w:color="0000EE"/>
            <w:lang w:val="el" w:eastAsia="el"/>
          </w:rPr>
          <w:t>Τροποποίηση 3845/2010, Άρθρο 4</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92" w:history="1">
        <w:r>
          <w:rPr>
            <w:rStyle w:val="Hyperlink"/>
            <w:b/>
            <w:bCs/>
            <w:color w:val="0000EE"/>
            <w:u w:color="0000EE"/>
            <w:lang w:val="el" w:eastAsia="el"/>
          </w:rPr>
          <w:t>Τροποποίηση 4583/2018, Άρθρο 92</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92" w:history="1">
        <w:r>
          <w:rPr>
            <w:rStyle w:val="Hyperlink"/>
            <w:b/>
            <w:bCs/>
            <w:color w:val="0000EE"/>
            <w:u w:color="0000EE"/>
            <w:lang w:val="el" w:eastAsia="el"/>
          </w:rPr>
          <w:t>Τροποποίηση 4583/2018, Άρθρο 92</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6" w:history="1">
        <w:r>
          <w:rPr>
            <w:rStyle w:val="Hyperlink"/>
            <w:b/>
            <w:bCs/>
            <w:color w:val="0000EE"/>
            <w:u w:color="0000EE"/>
            <w:lang w:val="el" w:eastAsia="el"/>
          </w:rPr>
          <w:t>Τροποποίηση 3899/2010, Άρθρο 6</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6" w:history="1">
        <w:r>
          <w:rPr>
            <w:rStyle w:val="Hyperlink"/>
            <w:b/>
            <w:bCs/>
            <w:color w:val="0000EE"/>
            <w:u w:color="0000EE"/>
            <w:lang w:val="el" w:eastAsia="el"/>
          </w:rPr>
          <w:t>Τροποποίηση 3899/2010, Άρθρο 6</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2" w:history="1">
        <w:r>
          <w:rPr>
            <w:rStyle w:val="Hyperlink"/>
            <w:b/>
            <w:bCs/>
            <w:color w:val="0000EE"/>
            <w:u w:color="0000EE"/>
            <w:lang w:val="el" w:eastAsia="el"/>
          </w:rPr>
          <w:t>Τροποποίηση 4093/2012, Άρθρο 2</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6" w:history="1">
        <w:r>
          <w:rPr>
            <w:rStyle w:val="Hyperlink"/>
            <w:b/>
            <w:bCs/>
            <w:color w:val="0000EE"/>
            <w:u w:color="0000EE"/>
            <w:lang w:val="el" w:eastAsia="el"/>
          </w:rPr>
          <w:t>Τροποποίηση 3899/2010, Άρθρο 6</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36" w:history="1">
        <w:r>
          <w:rPr>
            <w:rStyle w:val="Hyperlink"/>
            <w:b/>
            <w:bCs/>
            <w:color w:val="0000EE"/>
            <w:u w:color="0000EE"/>
            <w:lang w:val="el" w:eastAsia="el"/>
          </w:rPr>
          <w:t>Τροποποίηση 3986/2011, Άρθρο 36</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1" w:history="1">
        <w:r>
          <w:rPr>
            <w:rStyle w:val="Hyperlink"/>
            <w:b/>
            <w:bCs/>
            <w:color w:val="0000EE"/>
            <w:u w:color="0000EE"/>
            <w:lang w:val="el" w:eastAsia="el"/>
          </w:rPr>
          <w:t>Τροποποίηση 4093/2012, Άρθρο 1</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69" w:history="1">
        <w:r>
          <w:rPr>
            <w:rStyle w:val="Hyperlink"/>
            <w:b/>
            <w:bCs/>
            <w:color w:val="0000EE"/>
            <w:u w:color="0000EE"/>
            <w:lang w:val="el" w:eastAsia="el"/>
          </w:rPr>
          <w:t>Τροποποίηση 4235/2014, Άρθρο 69</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60" w:history="1">
        <w:r>
          <w:rPr>
            <w:rStyle w:val="Hyperlink"/>
            <w:b/>
            <w:bCs/>
            <w:color w:val="0000EE"/>
            <w:u w:color="0000EE"/>
            <w:lang w:val="el" w:eastAsia="el"/>
          </w:rPr>
          <w:t>Τροποποίηση 4389/2016, Άρθρο 60</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60" w:history="1">
        <w:r>
          <w:rPr>
            <w:rStyle w:val="Hyperlink"/>
            <w:b/>
            <w:bCs/>
            <w:color w:val="0000EE"/>
            <w:u w:color="0000EE"/>
            <w:lang w:val="el" w:eastAsia="el"/>
          </w:rPr>
          <w:t>Τροποποίηση 4389/2016, Άρθρο 60</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2" w:history="1">
        <w:r>
          <w:rPr>
            <w:rStyle w:val="Hyperlink"/>
            <w:b/>
            <w:bCs/>
            <w:color w:val="0000EE"/>
            <w:u w:color="0000EE"/>
            <w:lang w:val="el" w:eastAsia="el"/>
          </w:rPr>
          <w:t>Τροποποίηση 4093/2012, Άρθρο 2</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30" w:history="1">
        <w:r>
          <w:rPr>
            <w:rStyle w:val="Hyperlink"/>
            <w:b/>
            <w:bCs/>
            <w:color w:val="0000EE"/>
            <w:u w:color="0000EE"/>
            <w:lang w:val="el" w:eastAsia="el"/>
          </w:rPr>
          <w:t>Προσθήκη 3943/2011, Άρθρο 30</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 w:history="1">
        <w:r>
          <w:rPr>
            <w:rStyle w:val="Hyperlink"/>
            <w:b/>
            <w:bCs/>
            <w:color w:val="0000EE"/>
            <w:u w:color="0000EE"/>
            <w:lang w:val="el" w:eastAsia="el"/>
          </w:rPr>
          <w:t>Προσθήκη 4410/2016, Άρθρο 1</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2" w:history="1">
        <w:r>
          <w:rPr>
            <w:rStyle w:val="Hyperlink"/>
            <w:b/>
            <w:bCs/>
            <w:color w:val="0000EE"/>
            <w:u w:color="0000EE"/>
            <w:lang w:val="el" w:eastAsia="el"/>
          </w:rPr>
          <w:t>Προσθήκη 4410/2016, Άρθρο 2</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3" w:history="1">
        <w:r>
          <w:rPr>
            <w:rStyle w:val="Hyperlink"/>
            <w:b/>
            <w:bCs/>
            <w:color w:val="0000EE"/>
            <w:u w:color="0000EE"/>
            <w:lang w:val="el" w:eastAsia="el"/>
          </w:rPr>
          <w:t>Προσθήκη 4410/2016, Άρθρο 3</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116" w:history="1">
        <w:r>
          <w:rPr>
            <w:rStyle w:val="Hyperlink"/>
            <w:b/>
            <w:bCs/>
            <w:color w:val="0000EE"/>
            <w:u w:color="0000EE"/>
            <w:lang w:val="el" w:eastAsia="el"/>
          </w:rPr>
          <w:t>Τροποποίηση 4537/2018, Άρθρο 116</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116" w:history="1">
        <w:r>
          <w:rPr>
            <w:rStyle w:val="Hyperlink"/>
            <w:b/>
            <w:bCs/>
            <w:color w:val="0000EE"/>
            <w:u w:color="0000EE"/>
            <w:lang w:val="el" w:eastAsia="el"/>
          </w:rPr>
          <w:t>Αφαίρεση 4537/2018, Άρθρο 116</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1" w:history="1">
        <w:r>
          <w:rPr>
            <w:rStyle w:val="Hyperlink"/>
            <w:b/>
            <w:bCs/>
            <w:color w:val="0000EE"/>
            <w:u w:color="0000EE"/>
            <w:lang w:val="el" w:eastAsia="el"/>
          </w:rPr>
          <w:t>Τροποποίηση 3583/2007, Άρθρο 1</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1" w:history="1">
        <w:r>
          <w:rPr>
            <w:rStyle w:val="Hyperlink"/>
            <w:b/>
            <w:bCs/>
            <w:color w:val="0000EE"/>
            <w:u w:color="0000EE"/>
            <w:lang w:val="el" w:eastAsia="el"/>
          </w:rPr>
          <w:t>Τροποποίηση 3583/2007, Άρθρο 1</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6" w:history="1">
        <w:r>
          <w:rPr>
            <w:rStyle w:val="Hyperlink"/>
            <w:b/>
            <w:bCs/>
            <w:color w:val="0000EE"/>
            <w:u w:color="0000EE"/>
            <w:lang w:val="el" w:eastAsia="el"/>
          </w:rPr>
          <w:t>Τροποποίηση 3899/2010, Άρθρο 6</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36" w:history="1">
        <w:r>
          <w:rPr>
            <w:rStyle w:val="Hyperlink"/>
            <w:b/>
            <w:bCs/>
            <w:color w:val="0000EE"/>
            <w:u w:color="0000EE"/>
            <w:lang w:val="el" w:eastAsia="el"/>
          </w:rPr>
          <w:t>Τροποποίηση 3986/2011, Άρθρο 36</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1" w:history="1">
        <w:r>
          <w:rPr>
            <w:rStyle w:val="Hyperlink"/>
            <w:b/>
            <w:bCs/>
            <w:color w:val="0000EE"/>
            <w:u w:color="0000EE"/>
            <w:lang w:val="el" w:eastAsia="el"/>
          </w:rPr>
          <w:t>Τροποποίηση 3583/2007, Άρθρο 1</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1" w:history="1">
        <w:r>
          <w:rPr>
            <w:rStyle w:val="Hyperlink"/>
            <w:b/>
            <w:bCs/>
            <w:color w:val="0000EE"/>
            <w:u w:color="0000EE"/>
            <w:lang w:val="el" w:eastAsia="el"/>
          </w:rPr>
          <w:t>Τροποποίηση 3583/2007, Άρθρο 1</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1" w:history="1">
        <w:r>
          <w:rPr>
            <w:rStyle w:val="Hyperlink"/>
            <w:b/>
            <w:bCs/>
            <w:color w:val="0000EE"/>
            <w:u w:color="0000EE"/>
            <w:lang w:val="el" w:eastAsia="el"/>
          </w:rPr>
          <w:t>Προσθήκη 3583/2007, Άρθρο 1</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5" w:history="1">
        <w:r>
          <w:rPr>
            <w:rStyle w:val="Hyperlink"/>
            <w:b/>
            <w:bCs/>
            <w:color w:val="0000EE"/>
            <w:u w:color="0000EE"/>
            <w:lang w:val="el" w:eastAsia="el"/>
          </w:rPr>
          <w:t>Προσθήκη 4410/2016, Άρθρο 5</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5" w:history="1">
        <w:r>
          <w:rPr>
            <w:rStyle w:val="Hyperlink"/>
            <w:b/>
            <w:bCs/>
            <w:color w:val="0000EE"/>
            <w:u w:color="0000EE"/>
            <w:lang w:val="el" w:eastAsia="el"/>
          </w:rPr>
          <w:t>Προσθήκη 4410/2016, Άρθρο 5</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03" w:history="1">
        <w:r>
          <w:rPr>
            <w:rStyle w:val="Hyperlink"/>
            <w:b/>
            <w:bCs/>
            <w:color w:val="0000EE"/>
            <w:u w:color="0000EE"/>
            <w:lang w:val="el" w:eastAsia="el"/>
          </w:rPr>
          <w:t>Τροποποίηση 4446/2016, Άρθρο 103</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24" w:history="1">
        <w:r>
          <w:rPr>
            <w:rStyle w:val="Hyperlink"/>
            <w:b/>
            <w:bCs/>
            <w:color w:val="0000EE"/>
            <w:u w:color="0000EE"/>
            <w:lang w:val="el" w:eastAsia="el"/>
          </w:rPr>
          <w:t>Τροποποίηση 4514/2018, Άρθρο 124</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15" w:history="1">
        <w:r>
          <w:rPr>
            <w:rStyle w:val="Hyperlink"/>
            <w:b/>
            <w:bCs/>
            <w:color w:val="0000EE"/>
            <w:u w:color="0000EE"/>
            <w:lang w:val="el" w:eastAsia="el"/>
          </w:rPr>
          <w:t>Τροποποίηση 3833/2010, Άρθρο 15</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1" w:history="1">
        <w:r>
          <w:rPr>
            <w:rStyle w:val="Hyperlink"/>
            <w:b/>
            <w:bCs/>
            <w:color w:val="0000EE"/>
            <w:u w:color="0000EE"/>
            <w:lang w:val="el" w:eastAsia="el"/>
          </w:rPr>
          <w:t>Προσθήκη 3583/2007, Άρθρο 1</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28" w:history="1">
        <w:r>
          <w:rPr>
            <w:rStyle w:val="Hyperlink"/>
            <w:b/>
            <w:bCs/>
            <w:color w:val="0000EE"/>
            <w:u w:color="0000EE"/>
            <w:lang w:val="el" w:eastAsia="el"/>
          </w:rPr>
          <w:t>Προσθήκη 3634/2008, Άρθρο 28</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5" w:history="1">
        <w:r>
          <w:rPr>
            <w:rStyle w:val="Hyperlink"/>
            <w:b/>
            <w:bCs/>
            <w:color w:val="0000EE"/>
            <w:u w:color="0000EE"/>
            <w:lang w:val="el" w:eastAsia="el"/>
          </w:rPr>
          <w:t>Τροποποίηση 3899/2010, Άρθρο 5</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28" w:history="1">
        <w:r>
          <w:rPr>
            <w:rStyle w:val="Hyperlink"/>
            <w:b/>
            <w:bCs/>
            <w:color w:val="0000EE"/>
            <w:u w:color="0000EE"/>
            <w:lang w:val="el" w:eastAsia="el"/>
          </w:rPr>
          <w:t>Προσθήκη 3634/2008, Άρθρο 28</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5" w:history="1">
        <w:r>
          <w:rPr>
            <w:rStyle w:val="Hyperlink"/>
            <w:b/>
            <w:bCs/>
            <w:color w:val="0000EE"/>
            <w:u w:color="0000EE"/>
            <w:lang w:val="el" w:eastAsia="el"/>
          </w:rPr>
          <w:t>Αφαίρεση 3899/2010, Άρθρο 5</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15" w:history="1">
        <w:r>
          <w:rPr>
            <w:rStyle w:val="Hyperlink"/>
            <w:b/>
            <w:bCs/>
            <w:color w:val="0000EE"/>
            <w:u w:color="0000EE"/>
            <w:lang w:val="el" w:eastAsia="el"/>
          </w:rPr>
          <w:t>Προσθήκη 3833/2010, Άρθρο 15</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36" w:history="1">
        <w:r>
          <w:rPr>
            <w:rStyle w:val="Hyperlink"/>
            <w:b/>
            <w:bCs/>
            <w:color w:val="0000EE"/>
            <w:u w:color="0000EE"/>
            <w:lang w:val="el" w:eastAsia="el"/>
          </w:rPr>
          <w:t>Τροποποίηση 3986/2011, Άρθρο 36</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115" w:history="1">
        <w:r>
          <w:rPr>
            <w:rStyle w:val="Hyperlink"/>
            <w:b/>
            <w:bCs/>
            <w:color w:val="0000EE"/>
            <w:u w:color="0000EE"/>
            <w:lang w:val="el" w:eastAsia="el"/>
          </w:rPr>
          <w:t>Τροποποίηση 4537/2018, Άρθρο 115</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103" w:history="1">
        <w:r>
          <w:rPr>
            <w:rStyle w:val="Hyperlink"/>
            <w:b/>
            <w:bCs/>
            <w:color w:val="0000EE"/>
            <w:u w:color="0000EE"/>
            <w:lang w:val="el" w:eastAsia="el"/>
          </w:rPr>
          <w:t>Προσθήκη 4446/2016, Άρθρο 103</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124" w:history="1">
        <w:r>
          <w:rPr>
            <w:rStyle w:val="Hyperlink"/>
            <w:b/>
            <w:bCs/>
            <w:color w:val="0000EE"/>
            <w:u w:color="0000EE"/>
            <w:lang w:val="el" w:eastAsia="el"/>
          </w:rPr>
          <w:t>Τροποποίηση 4514/2018, Άρθρο 124</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28" w:history="1">
        <w:r>
          <w:rPr>
            <w:rStyle w:val="Hyperlink"/>
            <w:b/>
            <w:bCs/>
            <w:color w:val="0000EE"/>
            <w:u w:color="0000EE"/>
            <w:lang w:val="el" w:eastAsia="el"/>
          </w:rPr>
          <w:t>Τροποποίηση 3634/2008, Άρθρο 28</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15" w:history="1">
        <w:r>
          <w:rPr>
            <w:rStyle w:val="Hyperlink"/>
            <w:b/>
            <w:bCs/>
            <w:color w:val="0000EE"/>
            <w:u w:color="0000EE"/>
            <w:lang w:val="el" w:eastAsia="el"/>
          </w:rPr>
          <w:t>Τροποποίηση 3833/2010, Άρθρο 15</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103" w:history="1">
        <w:r>
          <w:rPr>
            <w:rStyle w:val="Hyperlink"/>
            <w:b/>
            <w:bCs/>
            <w:color w:val="0000EE"/>
            <w:u w:color="0000EE"/>
            <w:lang w:val="el" w:eastAsia="el"/>
          </w:rPr>
          <w:t>Προσθήκη 4446/2016, Άρθρο 103</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1" w:history="1">
        <w:r>
          <w:rPr>
            <w:rStyle w:val="Hyperlink"/>
            <w:b/>
            <w:bCs/>
            <w:color w:val="0000EE"/>
            <w:u w:color="0000EE"/>
            <w:lang w:val="el" w:eastAsia="el"/>
          </w:rPr>
          <w:t>Τροποποίηση 3583/2007, Άρθρο 1</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85" w:history="1">
        <w:r>
          <w:rPr>
            <w:rStyle w:val="Hyperlink"/>
            <w:b/>
            <w:bCs/>
            <w:color w:val="0000EE"/>
            <w:u w:color="0000EE"/>
            <w:lang w:val="el" w:eastAsia="el"/>
          </w:rPr>
          <w:t>Τροποποίηση 3842/2010, Άρθρο 85</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85" w:history="1">
        <w:r>
          <w:rPr>
            <w:rStyle w:val="Hyperlink"/>
            <w:b/>
            <w:bCs/>
            <w:color w:val="0000EE"/>
            <w:u w:color="0000EE"/>
            <w:lang w:val="el" w:eastAsia="el"/>
          </w:rPr>
          <w:t>Τροποποίηση 3842/2010, Άρθρο 85</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85" w:history="1">
        <w:r>
          <w:rPr>
            <w:rStyle w:val="Hyperlink"/>
            <w:b/>
            <w:bCs/>
            <w:color w:val="0000EE"/>
            <w:u w:color="0000EE"/>
            <w:lang w:val="el" w:eastAsia="el"/>
          </w:rPr>
          <w:t>Τροποποίηση 3842/2010, Άρθρο 85</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85" w:history="1">
        <w:r>
          <w:rPr>
            <w:rStyle w:val="Hyperlink"/>
            <w:b/>
            <w:bCs/>
            <w:color w:val="0000EE"/>
            <w:u w:color="0000EE"/>
            <w:lang w:val="el" w:eastAsia="el"/>
          </w:rPr>
          <w:t>Τροποποίηση 3842/2010, Άρθρο 85</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85" w:history="1">
        <w:r>
          <w:rPr>
            <w:rStyle w:val="Hyperlink"/>
            <w:b/>
            <w:bCs/>
            <w:color w:val="0000EE"/>
            <w:u w:color="0000EE"/>
            <w:lang w:val="el" w:eastAsia="el"/>
          </w:rPr>
          <w:t>Τροποποίηση 3842/2010, Άρθρο 85</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85" w:history="1">
        <w:r>
          <w:rPr>
            <w:rStyle w:val="Hyperlink"/>
            <w:b/>
            <w:bCs/>
            <w:color w:val="0000EE"/>
            <w:u w:color="0000EE"/>
            <w:lang w:val="el" w:eastAsia="el"/>
          </w:rPr>
          <w:t>Τροποποίηση 3842/2010, Άρθρο 85</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 w:history="1">
        <w:r>
          <w:rPr>
            <w:rStyle w:val="Hyperlink"/>
            <w:b/>
            <w:bCs/>
            <w:color w:val="0000EE"/>
            <w:u w:color="0000EE"/>
            <w:lang w:val="el" w:eastAsia="el"/>
          </w:rPr>
          <w:t>Τροποποίηση 3583/2007, Άρθρο 1</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 w:history="1">
        <w:r>
          <w:rPr>
            <w:rStyle w:val="Hyperlink"/>
            <w:b/>
            <w:bCs/>
            <w:color w:val="0000EE"/>
            <w:u w:color="0000EE"/>
            <w:lang w:val="el" w:eastAsia="el"/>
          </w:rPr>
          <w:t>Τροποποίηση 3583/2007, Άρθρο 1</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85" w:history="1">
        <w:r>
          <w:rPr>
            <w:rStyle w:val="Hyperlink"/>
            <w:b/>
            <w:bCs/>
            <w:color w:val="0000EE"/>
            <w:u w:color="0000EE"/>
            <w:lang w:val="el" w:eastAsia="el"/>
          </w:rPr>
          <w:t>Τροποποίηση 3842/2010, Άρθρο 85</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85" w:history="1">
        <w:r>
          <w:rPr>
            <w:rStyle w:val="Hyperlink"/>
            <w:b/>
            <w:bCs/>
            <w:color w:val="0000EE"/>
            <w:u w:color="0000EE"/>
            <w:lang w:val="el" w:eastAsia="el"/>
          </w:rPr>
          <w:t>Τροποποίηση 3842/2010, Άρθρο 85</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85" w:history="1">
        <w:r>
          <w:rPr>
            <w:rStyle w:val="Hyperlink"/>
            <w:b/>
            <w:bCs/>
            <w:color w:val="0000EE"/>
            <w:u w:color="0000EE"/>
            <w:lang w:val="el" w:eastAsia="el"/>
          </w:rPr>
          <w:t>Προσθήκη 3842/2010, Άρθρο 85</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26" w:history="1">
        <w:r>
          <w:rPr>
            <w:rStyle w:val="Hyperlink"/>
            <w:b/>
            <w:bCs/>
            <w:color w:val="0000EE"/>
            <w:u w:color="0000EE"/>
            <w:lang w:val="el" w:eastAsia="el"/>
          </w:rPr>
          <w:t>Τροποποίηση 3943/2011, Άρθρο 26</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110" w:history="1">
        <w:r>
          <w:rPr>
            <w:rStyle w:val="Hyperlink"/>
            <w:b/>
            <w:bCs/>
            <w:color w:val="0000EE"/>
            <w:u w:color="0000EE"/>
            <w:lang w:val="el" w:eastAsia="el"/>
          </w:rPr>
          <w:t>Προσθήκη 4549/2018, Άρθρο 110</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1" w:history="1">
        <w:r>
          <w:rPr>
            <w:rStyle w:val="Hyperlink"/>
            <w:b/>
            <w:bCs/>
            <w:color w:val="0000EE"/>
            <w:u w:color="0000EE"/>
            <w:lang w:val="el" w:eastAsia="el"/>
          </w:rPr>
          <w:t>Προσθήκη 4378/2016, Άρθρο 11</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 w:history="1">
        <w:r>
          <w:rPr>
            <w:rStyle w:val="Hyperlink"/>
            <w:b/>
            <w:bCs/>
            <w:color w:val="0000EE"/>
            <w:u w:color="0000EE"/>
            <w:lang w:val="el" w:eastAsia="el"/>
          </w:rPr>
          <w:t>Αφαίρεση 3583/2007, Άρθρο 1</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60" w:history="1">
        <w:r>
          <w:rPr>
            <w:rStyle w:val="Hyperlink"/>
            <w:b/>
            <w:bCs/>
            <w:color w:val="0000EE"/>
            <w:u w:color="0000EE"/>
            <w:lang w:val="el" w:eastAsia="el"/>
          </w:rPr>
          <w:t>Τροποποίηση 4410/2016, Άρθρο 60</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59" w:history="1">
        <w:r>
          <w:rPr>
            <w:rStyle w:val="Hyperlink"/>
            <w:b/>
            <w:bCs/>
            <w:color w:val="0000EE"/>
            <w:u w:color="0000EE"/>
            <w:lang w:val="el" w:eastAsia="el"/>
          </w:rPr>
          <w:t>Τροποποίηση 4389/2016, Άρθρο 59</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3" w:history="1">
        <w:r>
          <w:rPr>
            <w:rStyle w:val="Hyperlink"/>
            <w:b/>
            <w:bCs/>
            <w:color w:val="0000EE"/>
            <w:u w:color="0000EE"/>
            <w:lang w:val="el" w:eastAsia="el"/>
          </w:rPr>
          <w:t>Τροποποίηση 4254/2014, Άρθρο 3</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59" w:history="1">
        <w:r>
          <w:rPr>
            <w:rStyle w:val="Hyperlink"/>
            <w:b/>
            <w:bCs/>
            <w:color w:val="0000EE"/>
            <w:u w:color="0000EE"/>
            <w:lang w:val="el" w:eastAsia="el"/>
          </w:rPr>
          <w:t>Προσθήκη 4389/2016, Άρθρο 59</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59" w:history="1">
        <w:r>
          <w:rPr>
            <w:rStyle w:val="Hyperlink"/>
            <w:b/>
            <w:bCs/>
            <w:color w:val="0000EE"/>
            <w:u w:color="0000EE"/>
            <w:lang w:val="el" w:eastAsia="el"/>
          </w:rPr>
          <w:t>Τροποποίηση 4389/2016, Άρθρο 59</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63" w:history="1">
        <w:r>
          <w:rPr>
            <w:rStyle w:val="Hyperlink"/>
            <w:b/>
            <w:bCs/>
            <w:color w:val="0000EE"/>
            <w:u w:color="0000EE"/>
            <w:lang w:val="el" w:eastAsia="el"/>
          </w:rPr>
          <w:t>Προσθήκη 4583/2018, Άρθρο 63</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59" w:history="1">
        <w:r>
          <w:rPr>
            <w:rStyle w:val="Hyperlink"/>
            <w:b/>
            <w:bCs/>
            <w:color w:val="0000EE"/>
            <w:u w:color="0000EE"/>
            <w:lang w:val="el" w:eastAsia="el"/>
          </w:rPr>
          <w:t>Τροποποίηση 4389/2016, Άρθρο 59</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60" w:history="1">
        <w:r>
          <w:rPr>
            <w:rStyle w:val="Hyperlink"/>
            <w:b/>
            <w:bCs/>
            <w:color w:val="0000EE"/>
            <w:u w:color="0000EE"/>
            <w:lang w:val="el" w:eastAsia="el"/>
          </w:rPr>
          <w:t>Τροποποίηση 4410/2016, Άρθρο 60</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1" w:history="1">
        <w:r>
          <w:rPr>
            <w:rStyle w:val="Hyperlink"/>
            <w:b/>
            <w:bCs/>
            <w:color w:val="0000EE"/>
            <w:u w:color="0000EE"/>
            <w:lang w:val="el" w:eastAsia="el"/>
          </w:rPr>
          <w:t>Προσθήκη 3583/2007, Άρθρο 1</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1" w:history="1">
        <w:r>
          <w:rPr>
            <w:rStyle w:val="Hyperlink"/>
            <w:b/>
            <w:bCs/>
            <w:color w:val="0000EE"/>
            <w:u w:color="0000EE"/>
            <w:lang w:val="el" w:eastAsia="el"/>
          </w:rPr>
          <w:t>Προσθήκη 3583/2007, Άρθρο 1</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59" w:history="1">
        <w:r>
          <w:rPr>
            <w:rStyle w:val="Hyperlink"/>
            <w:b/>
            <w:bCs/>
            <w:color w:val="0000EE"/>
            <w:u w:color="0000EE"/>
            <w:lang w:val="el" w:eastAsia="el"/>
          </w:rPr>
          <w:t>Τροποποίηση 4389/2016, Άρθρο 59</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117" w:history="1">
        <w:r>
          <w:rPr>
            <w:rStyle w:val="Hyperlink"/>
            <w:b/>
            <w:bCs/>
            <w:color w:val="0000EE"/>
            <w:u w:color="0000EE"/>
            <w:lang w:val="el" w:eastAsia="el"/>
          </w:rPr>
          <w:t>Προσθήκη 4537/2018, Άρθρο 117</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1" w:history="1">
        <w:r>
          <w:rPr>
            <w:rStyle w:val="Hyperlink"/>
            <w:b/>
            <w:bCs/>
            <w:color w:val="0000EE"/>
            <w:u w:color="0000EE"/>
            <w:lang w:val="el" w:eastAsia="el"/>
          </w:rPr>
          <w:t>Προσθήκη 3583/2007, Άρθρο 1</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59" w:history="1">
        <w:r>
          <w:rPr>
            <w:rStyle w:val="Hyperlink"/>
            <w:b/>
            <w:bCs/>
            <w:color w:val="0000EE"/>
            <w:u w:color="0000EE"/>
            <w:lang w:val="el" w:eastAsia="el"/>
          </w:rPr>
          <w:t>Τροποποίηση 4389/2016, Άρθρο 59</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117" w:history="1">
        <w:r>
          <w:rPr>
            <w:rStyle w:val="Hyperlink"/>
            <w:b/>
            <w:bCs/>
            <w:color w:val="0000EE"/>
            <w:u w:color="0000EE"/>
            <w:lang w:val="el" w:eastAsia="el"/>
          </w:rPr>
          <w:t>Τροποποίηση 4537/2018, Άρθρο 117</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11" w:history="1">
        <w:r>
          <w:rPr>
            <w:rStyle w:val="Hyperlink"/>
            <w:b/>
            <w:bCs/>
            <w:color w:val="0000EE"/>
            <w:u w:color="0000EE"/>
            <w:lang w:val="el" w:eastAsia="el"/>
          </w:rPr>
          <w:t>Προσθήκη 4378/2016, Άρθρο 11</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1" w:history="1">
        <w:r>
          <w:rPr>
            <w:rStyle w:val="Hyperlink"/>
            <w:b/>
            <w:bCs/>
            <w:color w:val="0000EE"/>
            <w:u w:color="0000EE"/>
            <w:lang w:val="el" w:eastAsia="el"/>
          </w:rPr>
          <w:t>Τροποποίηση 3583/2007, Άρθρο 1</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26" w:history="1">
        <w:r>
          <w:rPr>
            <w:rStyle w:val="Hyperlink"/>
            <w:b/>
            <w:bCs/>
            <w:color w:val="0000EE"/>
            <w:u w:color="0000EE"/>
            <w:lang w:val="el" w:eastAsia="el"/>
          </w:rPr>
          <w:t>Προσθήκη 3763/2009, Άρθρο 26</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1" w:history="1">
        <w:r>
          <w:rPr>
            <w:rStyle w:val="Hyperlink"/>
            <w:b/>
            <w:bCs/>
            <w:color w:val="0000EE"/>
            <w:u w:color="0000EE"/>
            <w:lang w:val="el" w:eastAsia="el"/>
          </w:rPr>
          <w:t>Τροποποίηση 3583/2007, Άρθρο 1</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1" w:history="1">
        <w:r>
          <w:rPr>
            <w:rStyle w:val="Hyperlink"/>
            <w:b/>
            <w:bCs/>
            <w:color w:val="0000EE"/>
            <w:u w:color="0000EE"/>
            <w:lang w:val="el" w:eastAsia="el"/>
          </w:rPr>
          <w:t>Προσθήκη 3583/2007, Άρθρο 1</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117" w:history="1">
        <w:r>
          <w:rPr>
            <w:rStyle w:val="Hyperlink"/>
            <w:b/>
            <w:bCs/>
            <w:color w:val="0000EE"/>
            <w:u w:color="0000EE"/>
            <w:lang w:val="el" w:eastAsia="el"/>
          </w:rPr>
          <w:t>Προσθήκη 4537/2018, Άρθρο 117</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117" w:history="1">
        <w:r>
          <w:rPr>
            <w:rStyle w:val="Hyperlink"/>
            <w:b/>
            <w:bCs/>
            <w:color w:val="0000EE"/>
            <w:u w:color="0000EE"/>
            <w:lang w:val="el" w:eastAsia="el"/>
          </w:rPr>
          <w:t>Τροποποίηση 4537/2018, Άρθρο 117</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1" w:history="1">
        <w:r>
          <w:rPr>
            <w:rStyle w:val="Hyperlink"/>
            <w:b/>
            <w:bCs/>
            <w:color w:val="0000EE"/>
            <w:u w:color="0000EE"/>
            <w:lang w:val="el" w:eastAsia="el"/>
          </w:rPr>
          <w:t>Τροποποίηση 3583/2007, Άρθρο 1</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29" w:history="1">
        <w:r>
          <w:rPr>
            <w:rStyle w:val="Hyperlink"/>
            <w:b/>
            <w:bCs/>
            <w:color w:val="0000EE"/>
            <w:u w:color="0000EE"/>
            <w:lang w:val="el" w:eastAsia="el"/>
          </w:rPr>
          <w:t>Τροποποίηση 3634/2008, Άρθρο 29</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5" w:history="1">
        <w:r>
          <w:rPr>
            <w:rStyle w:val="Hyperlink"/>
            <w:b/>
            <w:bCs/>
            <w:color w:val="0000EE"/>
            <w:u w:color="0000EE"/>
            <w:lang w:val="el" w:eastAsia="el"/>
          </w:rPr>
          <w:t>Τροποποίηση 4211/2013, Άρθρο 5</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59" w:history="1">
        <w:r>
          <w:rPr>
            <w:rStyle w:val="Hyperlink"/>
            <w:b/>
            <w:bCs/>
            <w:color w:val="0000EE"/>
            <w:u w:color="0000EE"/>
            <w:lang w:val="el" w:eastAsia="el"/>
          </w:rPr>
          <w:t>Τροποποίηση 4389/2016, Άρθρο 59</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1" w:history="1">
        <w:r>
          <w:rPr>
            <w:rStyle w:val="Hyperlink"/>
            <w:b/>
            <w:bCs/>
            <w:color w:val="0000EE"/>
            <w:u w:color="0000EE"/>
            <w:lang w:val="el" w:eastAsia="el"/>
          </w:rPr>
          <w:t>Τροποποίηση 3583/2007, Άρθρο 1</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26" w:history="1">
        <w:r>
          <w:rPr>
            <w:rStyle w:val="Hyperlink"/>
            <w:b/>
            <w:bCs/>
            <w:color w:val="0000EE"/>
            <w:u w:color="0000EE"/>
            <w:lang w:val="el" w:eastAsia="el"/>
          </w:rPr>
          <w:t>Τροποποίηση 3763/2009, Άρθρο 26</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59" w:history="1">
        <w:r>
          <w:rPr>
            <w:rStyle w:val="Hyperlink"/>
            <w:b/>
            <w:bCs/>
            <w:color w:val="0000EE"/>
            <w:u w:color="0000EE"/>
            <w:lang w:val="el" w:eastAsia="el"/>
          </w:rPr>
          <w:t>Αφαίρεση 4389/2016, Άρθρο 59</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1" w:history="1">
        <w:r>
          <w:rPr>
            <w:rStyle w:val="Hyperlink"/>
            <w:b/>
            <w:bCs/>
            <w:color w:val="0000EE"/>
            <w:u w:color="0000EE"/>
            <w:lang w:val="el" w:eastAsia="el"/>
          </w:rPr>
          <w:t>Προσθήκη 3583/2007, Άρθρο 1</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11" w:history="1">
        <w:r>
          <w:rPr>
            <w:rStyle w:val="Hyperlink"/>
            <w:b/>
            <w:bCs/>
            <w:color w:val="0000EE"/>
            <w:u w:color="0000EE"/>
            <w:lang w:val="el" w:eastAsia="el"/>
          </w:rPr>
          <w:t>Προσθήκη 4378/2016, Άρθρο 11</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1" w:history="1">
        <w:r>
          <w:rPr>
            <w:rStyle w:val="Hyperlink"/>
            <w:b/>
            <w:bCs/>
            <w:color w:val="0000EE"/>
            <w:u w:color="0000EE"/>
            <w:lang w:val="el" w:eastAsia="el"/>
          </w:rPr>
          <w:t>Τροποποίηση 3583/2007, Άρθρο 1</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64" w:history="1">
        <w:r>
          <w:rPr>
            <w:rStyle w:val="Hyperlink"/>
            <w:b/>
            <w:bCs/>
            <w:color w:val="0000EE"/>
            <w:u w:color="0000EE"/>
            <w:lang w:val="el" w:eastAsia="el"/>
          </w:rPr>
          <w:t>Τροποποίηση 4583/2018, Άρθρο 64</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64" w:history="1">
        <w:r>
          <w:rPr>
            <w:rStyle w:val="Hyperlink"/>
            <w:b/>
            <w:bCs/>
            <w:color w:val="0000EE"/>
            <w:u w:color="0000EE"/>
            <w:lang w:val="el" w:eastAsia="el"/>
          </w:rPr>
          <w:t>Τροποποίηση 4583/2018, Άρθρο 64</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64" w:history="1">
        <w:r>
          <w:rPr>
            <w:rStyle w:val="Hyperlink"/>
            <w:b/>
            <w:bCs/>
            <w:color w:val="0000EE"/>
            <w:u w:color="0000EE"/>
            <w:lang w:val="el" w:eastAsia="el"/>
          </w:rPr>
          <w:t>Τροποποίηση 4583/2018, Άρθρο 64</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1" w:history="1">
        <w:r>
          <w:rPr>
            <w:rStyle w:val="Hyperlink"/>
            <w:b/>
            <w:bCs/>
            <w:color w:val="0000EE"/>
            <w:u w:color="0000EE"/>
            <w:lang w:val="el" w:eastAsia="el"/>
          </w:rPr>
          <w:t>Προσθήκη 3583/2007, Άρθρο 1</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1" w:history="1">
        <w:r>
          <w:rPr>
            <w:rStyle w:val="Hyperlink"/>
            <w:b/>
            <w:bCs/>
            <w:color w:val="0000EE"/>
            <w:u w:color="0000EE"/>
            <w:lang w:val="el" w:eastAsia="el"/>
          </w:rPr>
          <w:t>Προσθήκη 3583/2007, Άρθρο 1</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1" w:history="1">
        <w:r>
          <w:rPr>
            <w:rStyle w:val="Hyperlink"/>
            <w:b/>
            <w:bCs/>
            <w:color w:val="0000EE"/>
            <w:u w:color="0000EE"/>
            <w:lang w:val="el" w:eastAsia="el"/>
          </w:rPr>
          <w:t>Προσθήκη 3583/2007, Άρθρο 1</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62" w:history="1">
        <w:r>
          <w:rPr>
            <w:rStyle w:val="Hyperlink"/>
            <w:b/>
            <w:bCs/>
            <w:color w:val="0000EE"/>
            <w:u w:color="0000EE"/>
            <w:lang w:val="el" w:eastAsia="el"/>
          </w:rPr>
          <w:t>Προσθήκη 4370/2016, Άρθρο 62</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1" w:history="1">
        <w:r>
          <w:rPr>
            <w:rStyle w:val="Hyperlink"/>
            <w:b/>
            <w:bCs/>
            <w:color w:val="0000EE"/>
            <w:u w:color="0000EE"/>
            <w:lang w:val="el" w:eastAsia="el"/>
          </w:rPr>
          <w:t>Τροποποίηση 3583/2007, Άρθρο 1</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65" w:history="1">
        <w:r>
          <w:rPr>
            <w:rStyle w:val="Hyperlink"/>
            <w:b/>
            <w:bCs/>
            <w:color w:val="0000EE"/>
            <w:u w:color="0000EE"/>
            <w:lang w:val="el" w:eastAsia="el"/>
          </w:rPr>
          <w:t>Προσθήκη 4583/2018, Άρθρο 65</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1" w:history="1">
        <w:r>
          <w:rPr>
            <w:rStyle w:val="Hyperlink"/>
            <w:b/>
            <w:bCs/>
            <w:color w:val="0000EE"/>
            <w:u w:color="0000EE"/>
            <w:lang w:val="el" w:eastAsia="el"/>
          </w:rPr>
          <w:t>Τροποποίηση 3583/2007, Άρθρο 1</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3" w:history="1">
        <w:r>
          <w:rPr>
            <w:rStyle w:val="Hyperlink"/>
            <w:b/>
            <w:bCs/>
            <w:color w:val="0000EE"/>
            <w:u w:color="0000EE"/>
            <w:lang w:val="el" w:eastAsia="el"/>
          </w:rPr>
          <w:t>Τροποποίηση 4254/2014, Άρθρο 3</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65" w:history="1">
        <w:r>
          <w:rPr>
            <w:rStyle w:val="Hyperlink"/>
            <w:b/>
            <w:bCs/>
            <w:color w:val="0000EE"/>
            <w:u w:color="0000EE"/>
            <w:lang w:val="el" w:eastAsia="el"/>
          </w:rPr>
          <w:t>Προσθήκη 4583/2018, Άρθρο 65</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113" w:history="1">
        <w:r>
          <w:rPr>
            <w:rStyle w:val="Hyperlink"/>
            <w:b/>
            <w:bCs/>
            <w:color w:val="0000EE"/>
            <w:u w:color="0000EE"/>
            <w:lang w:val="el" w:eastAsia="el"/>
          </w:rPr>
          <w:t>Τροποποίηση 4514/2018, Άρθρο 113</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113" w:history="1">
        <w:r>
          <w:rPr>
            <w:rStyle w:val="Hyperlink"/>
            <w:b/>
            <w:bCs/>
            <w:color w:val="0000EE"/>
            <w:u w:color="0000EE"/>
            <w:lang w:val="el" w:eastAsia="el"/>
          </w:rPr>
          <w:t>Προσθήκη 4514/2018, Άρθρο 113</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24" w:history="1">
        <w:r>
          <w:rPr>
            <w:rStyle w:val="Hyperlink"/>
            <w:b/>
            <w:bCs/>
            <w:color w:val="0000EE"/>
            <w:u w:color="0000EE"/>
            <w:lang w:val="el" w:eastAsia="el"/>
          </w:rPr>
          <w:t>Τροποποίηση 3610/2007, Άρθρο 24</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16" w:history="1">
        <w:r>
          <w:rPr>
            <w:rStyle w:val="Hyperlink"/>
            <w:b/>
            <w:bCs/>
            <w:color w:val="0000EE"/>
            <w:u w:color="0000EE"/>
            <w:lang w:val="el" w:eastAsia="el"/>
          </w:rPr>
          <w:t>Τροποποίηση 3259/2004, Άρθρο 16</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9" w:history="1">
        <w:r>
          <w:rPr>
            <w:rStyle w:val="Hyperlink"/>
            <w:b/>
            <w:bCs/>
            <w:color w:val="0000EE"/>
            <w:u w:color="0000EE"/>
            <w:lang w:val="el" w:eastAsia="el"/>
          </w:rPr>
          <w:t>Προσθήκη 3790/2009, Άρθρο 9</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13" w:history="1">
        <w:r>
          <w:rPr>
            <w:rStyle w:val="Hyperlink"/>
            <w:b/>
            <w:bCs/>
            <w:color w:val="0000EE"/>
            <w:u w:color="0000EE"/>
            <w:lang w:val="el" w:eastAsia="el"/>
          </w:rPr>
          <w:t>Προσθήκη 4138/2013, Άρθρο 13</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27" w:history="1">
        <w:r>
          <w:rPr>
            <w:rStyle w:val="Hyperlink"/>
            <w:b/>
            <w:bCs/>
            <w:color w:val="0000EE"/>
            <w:u w:color="0000EE"/>
            <w:lang w:val="el" w:eastAsia="el"/>
          </w:rPr>
          <w:t>Τροποποίηση 4238/2014, Άρθρο 27</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3" w:history="1">
        <w:r>
          <w:rPr>
            <w:rStyle w:val="Hyperlink"/>
            <w:b/>
            <w:bCs/>
            <w:color w:val="0000EE"/>
            <w:u w:color="0000EE"/>
            <w:lang w:val="el" w:eastAsia="el"/>
          </w:rPr>
          <w:t>Τροποποίηση 4254/2014, Άρθρο 3</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55" w:history="1">
        <w:r>
          <w:rPr>
            <w:rStyle w:val="Hyperlink"/>
            <w:b/>
            <w:bCs/>
            <w:color w:val="0000EE"/>
            <w:u w:color="0000EE"/>
            <w:lang w:val="el" w:eastAsia="el"/>
          </w:rPr>
          <w:t>Τροποποίηση 4410/2016, Άρθρο 55</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143" w:history="1">
        <w:r>
          <w:rPr>
            <w:rStyle w:val="Hyperlink"/>
            <w:b/>
            <w:bCs/>
            <w:color w:val="0000EE"/>
            <w:u w:color="0000EE"/>
            <w:lang w:val="el" w:eastAsia="el"/>
          </w:rPr>
          <w:t>Τροποποίηση 4537/2018, Άρθρο 143</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143" w:history="1">
        <w:r>
          <w:rPr>
            <w:rStyle w:val="Hyperlink"/>
            <w:b/>
            <w:bCs/>
            <w:color w:val="0000EE"/>
            <w:u w:color="0000EE"/>
            <w:lang w:val="el" w:eastAsia="el"/>
          </w:rPr>
          <w:t>Τροποποίηση 4537/2018, Άρθρο 143</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3" w:history="1">
        <w:r>
          <w:rPr>
            <w:rStyle w:val="Hyperlink"/>
            <w:b/>
            <w:bCs/>
            <w:color w:val="0000EE"/>
            <w:u w:color="0000EE"/>
            <w:lang w:val="el" w:eastAsia="el"/>
          </w:rPr>
          <w:t>Τροποποίηση 4254/2014, Άρθρο 3</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113" w:history="1">
        <w:r>
          <w:rPr>
            <w:rStyle w:val="Hyperlink"/>
            <w:b/>
            <w:bCs/>
            <w:color w:val="0000EE"/>
            <w:u w:color="0000EE"/>
            <w:lang w:val="el" w:eastAsia="el"/>
          </w:rPr>
          <w:t>Τροποποίηση 4514/2018, Άρθρο 113</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1" w:history="1">
        <w:r>
          <w:rPr>
            <w:rStyle w:val="Hyperlink"/>
            <w:b/>
            <w:bCs/>
            <w:color w:val="0000EE"/>
            <w:u w:color="0000EE"/>
            <w:lang w:val="el" w:eastAsia="el"/>
          </w:rPr>
          <w:t>Τροποποίηση 3583/2007, Άρθρο 1</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7" w:history="1">
        <w:r>
          <w:rPr>
            <w:rStyle w:val="Hyperlink"/>
            <w:b/>
            <w:bCs/>
            <w:color w:val="0000EE"/>
            <w:u w:color="0000EE"/>
            <w:lang w:val="el" w:eastAsia="el"/>
          </w:rPr>
          <w:t>Τροποποίηση 3453/2006, Άρθρο 7</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3" w:history="1">
        <w:r>
          <w:rPr>
            <w:rStyle w:val="Hyperlink"/>
            <w:b/>
            <w:bCs/>
            <w:color w:val="0000EE"/>
            <w:u w:color="0000EE"/>
            <w:lang w:val="el" w:eastAsia="el"/>
          </w:rPr>
          <w:t>Τροποποίηση 4254/2014, Άρθρο 3</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11" w:history="1">
        <w:r>
          <w:rPr>
            <w:rStyle w:val="Hyperlink"/>
            <w:b/>
            <w:bCs/>
            <w:color w:val="0000EE"/>
            <w:u w:color="0000EE"/>
            <w:lang w:val="el" w:eastAsia="el"/>
          </w:rPr>
          <w:t>Προσθήκη 4378/2016, Άρθρο 11</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1" w:history="1">
        <w:r>
          <w:rPr>
            <w:rStyle w:val="Hyperlink"/>
            <w:b/>
            <w:bCs/>
            <w:color w:val="0000EE"/>
            <w:u w:color="0000EE"/>
            <w:lang w:val="el" w:eastAsia="el"/>
          </w:rPr>
          <w:t>Τροποποίηση 3583/2007, Άρθρο 1</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3" w:history="1">
        <w:r>
          <w:rPr>
            <w:rStyle w:val="Hyperlink"/>
            <w:b/>
            <w:bCs/>
            <w:color w:val="0000EE"/>
            <w:u w:color="0000EE"/>
            <w:lang w:val="el" w:eastAsia="el"/>
          </w:rPr>
          <w:t>Τροποποίηση 4254/2014, Άρθρο 3</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1" w:history="1">
        <w:r>
          <w:rPr>
            <w:rStyle w:val="Hyperlink"/>
            <w:b/>
            <w:bCs/>
            <w:color w:val="0000EE"/>
            <w:u w:color="0000EE"/>
            <w:lang w:val="el" w:eastAsia="el"/>
          </w:rPr>
          <w:t>Τροποποίηση 3583/2007, Άρθρο 1</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1" w:history="1">
        <w:r>
          <w:rPr>
            <w:rStyle w:val="Hyperlink"/>
            <w:b/>
            <w:bCs/>
            <w:color w:val="0000EE"/>
            <w:u w:color="0000EE"/>
            <w:lang w:val="el" w:eastAsia="el"/>
          </w:rPr>
          <w:t>Τροποποίηση 3583/2007, Άρθρο 1</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59" w:history="1">
        <w:r>
          <w:rPr>
            <w:rStyle w:val="Hyperlink"/>
            <w:b/>
            <w:bCs/>
            <w:color w:val="0000EE"/>
            <w:u w:color="0000EE"/>
            <w:lang w:val="el" w:eastAsia="el"/>
          </w:rPr>
          <w:t>Προσθήκη 4389/2016, Άρθρο 59</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1" w:history="1">
        <w:r>
          <w:rPr>
            <w:rStyle w:val="Hyperlink"/>
            <w:b/>
            <w:bCs/>
            <w:color w:val="0000EE"/>
            <w:u w:color="0000EE"/>
            <w:lang w:val="el" w:eastAsia="el"/>
          </w:rPr>
          <w:t>Τροποποίηση 3583/2007, Άρθρο 1</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1" w:history="1">
        <w:r>
          <w:rPr>
            <w:rStyle w:val="Hyperlink"/>
            <w:b/>
            <w:bCs/>
            <w:color w:val="0000EE"/>
            <w:u w:color="0000EE"/>
            <w:lang w:val="el" w:eastAsia="el"/>
          </w:rPr>
          <w:t>Τροποποίηση 3583/2007, Άρθρο 1</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1" w:history="1">
        <w:r>
          <w:rPr>
            <w:rStyle w:val="Hyperlink"/>
            <w:b/>
            <w:bCs/>
            <w:color w:val="0000EE"/>
            <w:u w:color="0000EE"/>
            <w:lang w:val="el" w:eastAsia="el"/>
          </w:rPr>
          <w:t>Προσθήκη 3583/2007, Άρθρο 1</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1" w:history="1">
        <w:r>
          <w:rPr>
            <w:rStyle w:val="Hyperlink"/>
            <w:b/>
            <w:bCs/>
            <w:color w:val="0000EE"/>
            <w:u w:color="0000EE"/>
            <w:lang w:val="el" w:eastAsia="el"/>
          </w:rPr>
          <w:t>Τροποποίηση 3583/2007, Άρθρο 1</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1" w:history="1">
        <w:r>
          <w:rPr>
            <w:rStyle w:val="Hyperlink"/>
            <w:b/>
            <w:bCs/>
            <w:color w:val="0000EE"/>
            <w:u w:color="0000EE"/>
            <w:lang w:val="el" w:eastAsia="el"/>
          </w:rPr>
          <w:t>Τροποποίηση 3583/2007, Άρθρο 1</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1" w:history="1">
        <w:r>
          <w:rPr>
            <w:rStyle w:val="Hyperlink"/>
            <w:b/>
            <w:bCs/>
            <w:color w:val="0000EE"/>
            <w:u w:color="0000EE"/>
            <w:lang w:val="el" w:eastAsia="el"/>
          </w:rPr>
          <w:t>Τροποποίηση 3583/2007, Άρθρο 1</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1" w:history="1">
        <w:r>
          <w:rPr>
            <w:rStyle w:val="Hyperlink"/>
            <w:b/>
            <w:bCs/>
            <w:color w:val="0000EE"/>
            <w:u w:color="0000EE"/>
            <w:lang w:val="el" w:eastAsia="el"/>
          </w:rPr>
          <w:t>Προσθήκη 3583/2007, Άρθρο 1</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1" w:history="1">
        <w:r>
          <w:rPr>
            <w:rStyle w:val="Hyperlink"/>
            <w:b/>
            <w:bCs/>
            <w:color w:val="0000EE"/>
            <w:u w:color="0000EE"/>
            <w:lang w:val="el" w:eastAsia="el"/>
          </w:rPr>
          <w:t>Προσθήκη 3583/2007, Άρθρο 1</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24" w:history="1">
        <w:r>
          <w:rPr>
            <w:rStyle w:val="Hyperlink"/>
            <w:b/>
            <w:bCs/>
            <w:color w:val="0000EE"/>
            <w:u w:color="0000EE"/>
            <w:lang w:val="el" w:eastAsia="el"/>
          </w:rPr>
          <w:t>Προσθήκη 3610/2007, Άρθρο 24</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5" w:history="1">
        <w:r>
          <w:rPr>
            <w:rStyle w:val="Hyperlink"/>
            <w:b/>
            <w:bCs/>
            <w:color w:val="0000EE"/>
            <w:u w:color="0000EE"/>
            <w:lang w:val="el" w:eastAsia="el"/>
          </w:rPr>
          <w:t>Προσθήκη 3899/2010, Άρθρο 5</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320" w:history="1">
        <w:r>
          <w:rPr>
            <w:rStyle w:val="Hyperlink"/>
            <w:b/>
            <w:bCs/>
            <w:color w:val="0000EE"/>
            <w:u w:color="0000EE"/>
            <w:lang w:val="el" w:eastAsia="el"/>
          </w:rPr>
          <w:t>Τροποποίηση 4072/2012, Άρθρο 320</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39" w:history="1">
        <w:r>
          <w:rPr>
            <w:rStyle w:val="Hyperlink"/>
            <w:b/>
            <w:bCs/>
            <w:color w:val="0000EE"/>
            <w:u w:color="0000EE"/>
            <w:lang w:val="el" w:eastAsia="el"/>
          </w:rPr>
          <w:t>Τροποποίηση 4141/2013, Άρθρο 39</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66" w:history="1">
        <w:r>
          <w:rPr>
            <w:rStyle w:val="Hyperlink"/>
            <w:b/>
            <w:bCs/>
            <w:color w:val="0000EE"/>
            <w:u w:color="0000EE"/>
            <w:lang w:val="el" w:eastAsia="el"/>
          </w:rPr>
          <w:t>Προσθήκη 4583/2018, Άρθρο 66</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10" w:history="1">
        <w:r>
          <w:rPr>
            <w:rStyle w:val="Hyperlink"/>
            <w:b/>
            <w:bCs/>
            <w:color w:val="0000EE"/>
            <w:u w:color="0000EE"/>
            <w:lang w:val="el" w:eastAsia="el"/>
          </w:rPr>
          <w:t>Τροποποίηση 4410/2016, Άρθρο 10</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1" w:history="1">
        <w:r>
          <w:rPr>
            <w:rStyle w:val="Hyperlink"/>
            <w:b/>
            <w:bCs/>
            <w:color w:val="0000EE"/>
            <w:u w:color="0000EE"/>
            <w:lang w:val="el" w:eastAsia="el"/>
          </w:rPr>
          <w:t>Προσθήκη 3583/2007, Άρθρο 1</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1" w:history="1">
        <w:r>
          <w:rPr>
            <w:rStyle w:val="Hyperlink"/>
            <w:b/>
            <w:bCs/>
            <w:color w:val="0000EE"/>
            <w:u w:color="0000EE"/>
            <w:lang w:val="el" w:eastAsia="el"/>
          </w:rPr>
          <w:t>Τροποποίηση 3583/2007, Άρθρο 1</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1" w:history="1">
        <w:r>
          <w:rPr>
            <w:rStyle w:val="Hyperlink"/>
            <w:b/>
            <w:bCs/>
            <w:color w:val="0000EE"/>
            <w:u w:color="0000EE"/>
            <w:lang w:val="el" w:eastAsia="el"/>
          </w:rPr>
          <w:t>Τροποποίηση 3583/2007, Άρθρο 1</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6" w:history="1">
        <w:r>
          <w:rPr>
            <w:rStyle w:val="Hyperlink"/>
            <w:b/>
            <w:bCs/>
            <w:color w:val="0000EE"/>
            <w:u w:color="0000EE"/>
            <w:lang w:val="el" w:eastAsia="el"/>
          </w:rPr>
          <w:t>Προσθήκη 3583/2007, Άρθρο 6</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3618/2019, Άρθρο 26</w:t>
      </w:r>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22" w:history="1">
        <w:r>
          <w:rPr>
            <w:rStyle w:val="Hyperlink"/>
            <w:b/>
            <w:bCs/>
            <w:color w:val="0000EE"/>
            <w:u w:color="0000EE"/>
            <w:lang w:val="el" w:eastAsia="el"/>
          </w:rPr>
          <w:t>Τροποποίηση 4469/2017, Άρθρο 22</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1" w:history="1">
        <w:r>
          <w:rPr>
            <w:rStyle w:val="Hyperlink"/>
            <w:b/>
            <w:bCs/>
            <w:color w:val="0000EE"/>
            <w:u w:color="0000EE"/>
            <w:lang w:val="el" w:eastAsia="el"/>
          </w:rPr>
          <w:t>Αφαίρεση 3583/2007, Άρθρο 1</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3659/2008, Άρθρο 38</w:t>
      </w:r>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1" w:history="1">
        <w:r>
          <w:rPr>
            <w:rStyle w:val="Hyperlink"/>
            <w:b/>
            <w:bCs/>
            <w:color w:val="0000EE"/>
            <w:u w:color="0000EE"/>
            <w:lang w:val="el" w:eastAsia="el"/>
          </w:rPr>
          <w:t>Τροποποίηση 3583/2007, Άρθρο 1</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1" w:history="1">
        <w:r>
          <w:rPr>
            <w:rStyle w:val="Hyperlink"/>
            <w:b/>
            <w:bCs/>
            <w:color w:val="0000EE"/>
            <w:u w:color="0000EE"/>
            <w:lang w:val="el" w:eastAsia="el"/>
          </w:rPr>
          <w:t>Προσθήκη 3583/2007, Άρθρο 1</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1" w:history="1">
        <w:r>
          <w:rPr>
            <w:rStyle w:val="Hyperlink"/>
            <w:b/>
            <w:bCs/>
            <w:color w:val="0000EE"/>
            <w:u w:color="0000EE"/>
            <w:lang w:val="el" w:eastAsia="el"/>
          </w:rPr>
          <w:t>Αφαίρεση 3583/2007, Άρθρο 1</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1" w:history="1">
        <w:r>
          <w:rPr>
            <w:rStyle w:val="Hyperlink"/>
            <w:b/>
            <w:bCs/>
            <w:color w:val="0000EE"/>
            <w:u w:color="0000EE"/>
            <w:lang w:val="el" w:eastAsia="el"/>
          </w:rPr>
          <w:t>Προσθήκη 3610/2007, Άρθρο 1</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4474/2007, Άρθρο 9</w:t>
      </w:r>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1" w:history="1">
        <w:r>
          <w:rPr>
            <w:rStyle w:val="Hyperlink"/>
            <w:b/>
            <w:bCs/>
            <w:color w:val="0000EE"/>
            <w:u w:color="0000EE"/>
            <w:lang w:val="el" w:eastAsia="el"/>
          </w:rPr>
          <w:t>Τροποποίηση 3583/2007, Άρθρο 1</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1" w:history="1">
        <w:r>
          <w:rPr>
            <w:rStyle w:val="Hyperlink"/>
            <w:b/>
            <w:bCs/>
            <w:color w:val="0000EE"/>
            <w:u w:color="0000EE"/>
            <w:lang w:val="el" w:eastAsia="el"/>
          </w:rPr>
          <w:t>Τροποποίηση 3583/2007, Άρθρο 1</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3472/2005, Άρθρο 15</w:t>
      </w:r>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45" w:history="1">
        <w:r>
          <w:rPr>
            <w:rStyle w:val="Hyperlink"/>
            <w:b/>
            <w:bCs/>
            <w:color w:val="0000EE"/>
            <w:u w:color="0000EE"/>
            <w:lang w:val="el" w:eastAsia="el"/>
          </w:rPr>
          <w:t>Αφαίρεση 2992/2002, Άρθρο 45</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3" w:history="1">
        <w:r>
          <w:rPr>
            <w:rStyle w:val="Hyperlink"/>
            <w:b/>
            <w:bCs/>
            <w:color w:val="0000EE"/>
            <w:u w:color="0000EE"/>
            <w:lang w:val="el" w:eastAsia="el"/>
          </w:rPr>
          <w:t>Τροποποίηση 4254/2014, Άρθρο 3</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8" w:history="1">
        <w:r>
          <w:rPr>
            <w:rStyle w:val="Hyperlink"/>
            <w:b/>
            <w:bCs/>
            <w:color w:val="0000EE"/>
            <w:u w:color="0000EE"/>
            <w:lang w:val="el" w:eastAsia="el"/>
          </w:rPr>
          <w:t>Τροποποίηση 4474/2017, Άρθρο 8</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16" w:history="1">
        <w:r>
          <w:rPr>
            <w:rStyle w:val="Hyperlink"/>
            <w:b/>
            <w:bCs/>
            <w:color w:val="0000EE"/>
            <w:u w:color="0000EE"/>
            <w:lang w:val="el" w:eastAsia="el"/>
          </w:rPr>
          <w:t>Προσθήκη 3259/2004, Άρθρο 16</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1" w:history="1">
        <w:r>
          <w:rPr>
            <w:rStyle w:val="Hyperlink"/>
            <w:b/>
            <w:bCs/>
            <w:color w:val="0000EE"/>
            <w:u w:color="0000EE"/>
            <w:lang w:val="el" w:eastAsia="el"/>
          </w:rPr>
          <w:t>Τροποποίηση 3583/2007, Άρθρο 1</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36" w:history="1">
        <w:r>
          <w:rPr>
            <w:rStyle w:val="Hyperlink"/>
            <w:b/>
            <w:bCs/>
            <w:color w:val="0000EE"/>
            <w:u w:color="0000EE"/>
            <w:lang w:val="el" w:eastAsia="el"/>
          </w:rPr>
          <w:t>Τροποποίηση 3986/2011, Άρθρο 36</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1" w:history="1">
        <w:r>
          <w:rPr>
            <w:rStyle w:val="Hyperlink"/>
            <w:b/>
            <w:bCs/>
            <w:color w:val="0000EE"/>
            <w:u w:color="0000EE"/>
            <w:lang w:val="el" w:eastAsia="el"/>
          </w:rPr>
          <w:t>Τροποποίηση 3583/2007, Άρθρο 1</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1" w:history="1">
        <w:r>
          <w:rPr>
            <w:rStyle w:val="Hyperlink"/>
            <w:b/>
            <w:bCs/>
            <w:color w:val="0000EE"/>
            <w:u w:color="0000EE"/>
            <w:lang w:val="el" w:eastAsia="el"/>
          </w:rPr>
          <w:t>Προσθήκη 3336/2005, Άρθρο 1</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1" w:history="1">
        <w:r>
          <w:rPr>
            <w:rStyle w:val="Hyperlink"/>
            <w:b/>
            <w:bCs/>
            <w:color w:val="0000EE"/>
            <w:u w:color="0000EE"/>
            <w:lang w:val="el" w:eastAsia="el"/>
          </w:rPr>
          <w:t>Προσθήκη 3583/2007, Άρθρο 1</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84" w:history="1">
        <w:r>
          <w:rPr>
            <w:rStyle w:val="Hyperlink"/>
            <w:b/>
            <w:bCs/>
            <w:color w:val="0000EE"/>
            <w:u w:color="0000EE"/>
            <w:lang w:val="el" w:eastAsia="el"/>
          </w:rPr>
          <w:t>Προσθήκη 4623/2019, Άρθρο 84</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84" w:history="1">
        <w:r>
          <w:rPr>
            <w:rStyle w:val="Hyperlink"/>
            <w:b/>
            <w:bCs/>
            <w:color w:val="0000EE"/>
            <w:u w:color="0000EE"/>
            <w:lang w:val="el" w:eastAsia="el"/>
          </w:rPr>
          <w:t>Προσθήκη 4623/2019, Άρθρο 84</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07/06/28/3583" TargetMode="External" /><Relationship Id="rId100" Type="http://schemas.openxmlformats.org/officeDocument/2006/relationships/hyperlink" Target="http://data.aade.gr/eli/pri/law/2007/06/28/3583" TargetMode="External" /><Relationship Id="rId101" Type="http://schemas.openxmlformats.org/officeDocument/2006/relationships/hyperlink" Target="http://data.aade.gr/eli/pri/law/2008/01/29/3634" TargetMode="External" /><Relationship Id="rId102" Type="http://schemas.openxmlformats.org/officeDocument/2006/relationships/hyperlink" Target="http://data.aade.gr/eli/pri/law/2008/01/29/3634" TargetMode="External" /><Relationship Id="rId103" Type="http://schemas.openxmlformats.org/officeDocument/2006/relationships/hyperlink" Target="http://data.aade.gr/eli/pri/law/2012/11/12/4093" TargetMode="External" /><Relationship Id="rId104" Type="http://schemas.openxmlformats.org/officeDocument/2006/relationships/hyperlink" Target="http://data.aade.gr/eli/pri/law/2015/08/14/4336" TargetMode="External" /><Relationship Id="rId105" Type="http://schemas.openxmlformats.org/officeDocument/2006/relationships/hyperlink" Target="http://data.aade.gr/eli/pri/law/2015/08/14/4336" TargetMode="External" /><Relationship Id="rId106" Type="http://schemas.openxmlformats.org/officeDocument/2006/relationships/hyperlink" Target="http://data.aade.gr/eli/pri/law/2008/01/29/3634" TargetMode="External" /><Relationship Id="rId107" Type="http://schemas.openxmlformats.org/officeDocument/2006/relationships/hyperlink" Target="http://data.aade.gr/eli/pri/law/2005/04/20/3336" TargetMode="External" /><Relationship Id="rId108" Type="http://schemas.openxmlformats.org/officeDocument/2006/relationships/hyperlink" Target="http://data.aade.gr/eli/pri/law/2018/05/15/4537" TargetMode="External" /><Relationship Id="rId109" Type="http://schemas.openxmlformats.org/officeDocument/2006/relationships/hyperlink" Target="http://data.aade.gr/eli/pri/law/2008/01/29/3634" TargetMode="External" /><Relationship Id="rId11" Type="http://schemas.openxmlformats.org/officeDocument/2006/relationships/hyperlink" Target="http://data.aade.gr/eli/pri/law/2013/03/07/4132" TargetMode="External" /><Relationship Id="rId110" Type="http://schemas.openxmlformats.org/officeDocument/2006/relationships/hyperlink" Target="http://data.aade.gr/eli/pri/law/2007/06/28/3583" TargetMode="External" /><Relationship Id="rId111" Type="http://schemas.openxmlformats.org/officeDocument/2006/relationships/hyperlink" Target="http://data.aade.gr/eli/pri/law/2017/05/19/4472" TargetMode="External" /><Relationship Id="rId112" Type="http://schemas.openxmlformats.org/officeDocument/2006/relationships/hyperlink" Target="http://data.aade.gr/eli/pri/law/2010/03/15/3833" TargetMode="External" /><Relationship Id="rId113" Type="http://schemas.openxmlformats.org/officeDocument/2006/relationships/hyperlink" Target="http://data.aade.gr/eli/pri/law/2010/05/06/3845" TargetMode="External" /><Relationship Id="rId114" Type="http://schemas.openxmlformats.org/officeDocument/2006/relationships/hyperlink" Target="http://data.aade.gr/eli/pri/law/2005/04/20/3336" TargetMode="External" /><Relationship Id="rId115" Type="http://schemas.openxmlformats.org/officeDocument/2006/relationships/hyperlink" Target="http://data.aade.gr/eli/pri/law/2009/03/04/3752" TargetMode="External" /><Relationship Id="rId116" Type="http://schemas.openxmlformats.org/officeDocument/2006/relationships/hyperlink" Target="http://data.aade.gr/eli/pri/law/2010/03/15/3833" TargetMode="External" /><Relationship Id="rId117" Type="http://schemas.openxmlformats.org/officeDocument/2006/relationships/hyperlink" Target="http://data.aade.gr/eli/pri/law/2010/05/06/3845" TargetMode="External" /><Relationship Id="rId118" Type="http://schemas.openxmlformats.org/officeDocument/2006/relationships/hyperlink" Target="http://data.aade.gr/eli/pri/law/2016/05/27/4389" TargetMode="External" /><Relationship Id="rId119" Type="http://schemas.openxmlformats.org/officeDocument/2006/relationships/hyperlink" Target="http://data.aade.gr/eli/pri/law/2007/06/28/3583" TargetMode="External" /><Relationship Id="rId12" Type="http://schemas.openxmlformats.org/officeDocument/2006/relationships/hyperlink" Target="http://data.aade.gr/eli/pri/law/2016/08/03/4410" TargetMode="External" /><Relationship Id="rId120" Type="http://schemas.openxmlformats.org/officeDocument/2006/relationships/hyperlink" Target="http://data.aade.gr/eli/pri/law/2017/05/19/4472" TargetMode="External" /><Relationship Id="rId121" Type="http://schemas.openxmlformats.org/officeDocument/2006/relationships/hyperlink" Target="http://data.aade.gr/eli/pri/law/2007/06/28/3583" TargetMode="External" /><Relationship Id="rId122" Type="http://schemas.openxmlformats.org/officeDocument/2006/relationships/hyperlink" Target="http://data.aade.gr/eli/pri/law/2017/05/19/4472" TargetMode="External" /><Relationship Id="rId123" Type="http://schemas.openxmlformats.org/officeDocument/2006/relationships/hyperlink" Target="http://data.aade.gr/eli/pri/law/2007/06/28/3583" TargetMode="External" /><Relationship Id="rId124" Type="http://schemas.openxmlformats.org/officeDocument/2006/relationships/hyperlink" Target="http://data.aade.gr/eli/pri/law/2007/06/28/3583" TargetMode="External" /><Relationship Id="rId125" Type="http://schemas.openxmlformats.org/officeDocument/2006/relationships/hyperlink" Target="http://data.aade.gr/eli/pri/law/2017/05/19/4472" TargetMode="External" /><Relationship Id="rId126" Type="http://schemas.openxmlformats.org/officeDocument/2006/relationships/hyperlink" Target="http://data.aade.gr/eli/pri/law/2017/05/19/4472" TargetMode="External" /><Relationship Id="rId127" Type="http://schemas.openxmlformats.org/officeDocument/2006/relationships/hyperlink" Target="http://data.aade.gr/eli/pri/law/2007/06/28/3583" TargetMode="External" /><Relationship Id="rId128" Type="http://schemas.openxmlformats.org/officeDocument/2006/relationships/hyperlink" Target="http://data.aade.gr/eli/pri/law/2007/06/28/3583" TargetMode="External" /><Relationship Id="rId129" Type="http://schemas.openxmlformats.org/officeDocument/2006/relationships/hyperlink" Target="http://data.aade.gr/eli/pri/law/2017/05/19/4472" TargetMode="External" /><Relationship Id="rId13" Type="http://schemas.openxmlformats.org/officeDocument/2006/relationships/hyperlink" Target="http://data.aade.gr/eli/pri/law/2007/06/28/3583" TargetMode="External" /><Relationship Id="rId130" Type="http://schemas.openxmlformats.org/officeDocument/2006/relationships/hyperlink" Target="http://data.aade.gr/eli/pri/law/2010/04/23/3842" TargetMode="External" /><Relationship Id="rId131" Type="http://schemas.openxmlformats.org/officeDocument/2006/relationships/hyperlink" Target="http://data.aade.gr/eli/pri/law/2009/03/04/3752" TargetMode="External" /><Relationship Id="rId132" Type="http://schemas.openxmlformats.org/officeDocument/2006/relationships/hyperlink" Target="http://data.aade.gr/eli/pri/law/2010/03/15/3833" TargetMode="External" /><Relationship Id="rId133" Type="http://schemas.openxmlformats.org/officeDocument/2006/relationships/hyperlink" Target="http://data.aade.gr/eli/pri/law/2010/05/06/3845" TargetMode="External" /><Relationship Id="rId134" Type="http://schemas.openxmlformats.org/officeDocument/2006/relationships/hyperlink" Target="http://data.aade.gr/eli/pri/law/2016/05/27/4389" TargetMode="External" /><Relationship Id="rId135" Type="http://schemas.openxmlformats.org/officeDocument/2006/relationships/hyperlink" Target="http://data.aade.gr/eli/pri/law/2009/03/04/3752" TargetMode="External" /><Relationship Id="rId136" Type="http://schemas.openxmlformats.org/officeDocument/2006/relationships/hyperlink" Target="http://data.aade.gr/eli/pri/law/2010/03/15/3833" TargetMode="External" /><Relationship Id="rId137" Type="http://schemas.openxmlformats.org/officeDocument/2006/relationships/hyperlink" Target="http://data.aade.gr/eli/pri/law/2010/05/06/3845" TargetMode="External" /><Relationship Id="rId138" Type="http://schemas.openxmlformats.org/officeDocument/2006/relationships/hyperlink" Target="http://data.aade.gr/eli/pri/law/2016/05/27/4389" TargetMode="External" /><Relationship Id="rId139" Type="http://schemas.openxmlformats.org/officeDocument/2006/relationships/hyperlink" Target="http://data.aade.gr/eli/pri/law/2009/03/04/3752" TargetMode="External" /><Relationship Id="rId14" Type="http://schemas.openxmlformats.org/officeDocument/2006/relationships/hyperlink" Target="http://data.aade.gr/eli/pri/law/2007/06/28/3583" TargetMode="External" /><Relationship Id="rId140" Type="http://schemas.openxmlformats.org/officeDocument/2006/relationships/hyperlink" Target="http://data.aade.gr/eli/pri/law/2010/03/15/3833" TargetMode="External" /><Relationship Id="rId141" Type="http://schemas.openxmlformats.org/officeDocument/2006/relationships/hyperlink" Target="http://data.aade.gr/eli/pri/law/2010/05/06/3845" TargetMode="External" /><Relationship Id="rId142" Type="http://schemas.openxmlformats.org/officeDocument/2006/relationships/hyperlink" Target="http://data.aade.gr/eli/pri/law/2018/12/18/4583" TargetMode="External" /><Relationship Id="rId143" Type="http://schemas.openxmlformats.org/officeDocument/2006/relationships/hyperlink" Target="http://data.aade.gr/eli/pri/law/2018/12/18/4583" TargetMode="External" /><Relationship Id="rId144" Type="http://schemas.openxmlformats.org/officeDocument/2006/relationships/hyperlink" Target="http://data.aade.gr/eli/pri/law/2010/12/17/3899" TargetMode="External" /><Relationship Id="rId145" Type="http://schemas.openxmlformats.org/officeDocument/2006/relationships/hyperlink" Target="http://data.aade.gr/eli/pri/law/2010/12/17/3899" TargetMode="External" /><Relationship Id="rId146" Type="http://schemas.openxmlformats.org/officeDocument/2006/relationships/hyperlink" Target="http://data.aade.gr/eli/pri/law/2012/11/12/4093" TargetMode="External" /><Relationship Id="rId147" Type="http://schemas.openxmlformats.org/officeDocument/2006/relationships/hyperlink" Target="http://data.aade.gr/eli/pri/law/2010/12/17/3899" TargetMode="External" /><Relationship Id="rId148" Type="http://schemas.openxmlformats.org/officeDocument/2006/relationships/hyperlink" Target="http://data.aade.gr/eli/pri/law/2011/07/01/3986" TargetMode="External" /><Relationship Id="rId149" Type="http://schemas.openxmlformats.org/officeDocument/2006/relationships/hyperlink" Target="http://data.aade.gr/eli/pri/law/2012/11/12/4093" TargetMode="External" /><Relationship Id="rId15" Type="http://schemas.openxmlformats.org/officeDocument/2006/relationships/hyperlink" Target="http://data.aade.gr/eli/pri/law/2007/06/28/3583" TargetMode="External" /><Relationship Id="rId150" Type="http://schemas.openxmlformats.org/officeDocument/2006/relationships/hyperlink" Target="http://data.aade.gr/eli/pri/law/2014/02/11/4235" TargetMode="External" /><Relationship Id="rId151" Type="http://schemas.openxmlformats.org/officeDocument/2006/relationships/hyperlink" Target="http://data.aade.gr/eli/pri/law/2016/05/27/4389" TargetMode="External" /><Relationship Id="rId152" Type="http://schemas.openxmlformats.org/officeDocument/2006/relationships/hyperlink" Target="http://data.aade.gr/eli/pri/law/2016/05/27/4389" TargetMode="External" /><Relationship Id="rId153" Type="http://schemas.openxmlformats.org/officeDocument/2006/relationships/hyperlink" Target="http://data.aade.gr/eli/pri/law/2012/11/12/4093" TargetMode="External" /><Relationship Id="rId154" Type="http://schemas.openxmlformats.org/officeDocument/2006/relationships/hyperlink" Target="http://data.aade.gr/eli/pri/law/2011/03/31/3943" TargetMode="External" /><Relationship Id="rId155" Type="http://schemas.openxmlformats.org/officeDocument/2006/relationships/hyperlink" Target="http://data.aade.gr/eli/pri/law/2016/08/03/4410" TargetMode="External" /><Relationship Id="rId156" Type="http://schemas.openxmlformats.org/officeDocument/2006/relationships/hyperlink" Target="http://data.aade.gr/eli/pri/law/2016/08/03/4410" TargetMode="External" /><Relationship Id="rId157" Type="http://schemas.openxmlformats.org/officeDocument/2006/relationships/hyperlink" Target="http://data.aade.gr/eli/pri/law/2016/08/03/4410" TargetMode="External" /><Relationship Id="rId158" Type="http://schemas.openxmlformats.org/officeDocument/2006/relationships/hyperlink" Target="http://data.aade.gr/eli/pri/law/2018/05/15/4537" TargetMode="External" /><Relationship Id="rId159" Type="http://schemas.openxmlformats.org/officeDocument/2006/relationships/hyperlink" Target="http://data.aade.gr/eli/pri/law/2018/05/15/4537" TargetMode="External" /><Relationship Id="rId16" Type="http://schemas.openxmlformats.org/officeDocument/2006/relationships/hyperlink" Target="http://data.aade.gr/eli/pri/law/2013/11/28/4211" TargetMode="External" /><Relationship Id="rId160" Type="http://schemas.openxmlformats.org/officeDocument/2006/relationships/hyperlink" Target="http://data.aade.gr/eli/pri/law/2007/06/28/3583" TargetMode="External" /><Relationship Id="rId161" Type="http://schemas.openxmlformats.org/officeDocument/2006/relationships/hyperlink" Target="http://data.aade.gr/eli/pri/law/2007/06/28/3583" TargetMode="External" /><Relationship Id="rId162" Type="http://schemas.openxmlformats.org/officeDocument/2006/relationships/hyperlink" Target="http://data.aade.gr/eli/pri/law/2010/12/17/3899" TargetMode="External" /><Relationship Id="rId163" Type="http://schemas.openxmlformats.org/officeDocument/2006/relationships/hyperlink" Target="http://data.aade.gr/eli/pri/law/2011/07/01/3986" TargetMode="External" /><Relationship Id="rId164" Type="http://schemas.openxmlformats.org/officeDocument/2006/relationships/hyperlink" Target="http://data.aade.gr/eli/pri/law/2007/06/28/3583" TargetMode="External" /><Relationship Id="rId165" Type="http://schemas.openxmlformats.org/officeDocument/2006/relationships/hyperlink" Target="http://data.aade.gr/eli/pri/law/2007/06/28/3583" TargetMode="External" /><Relationship Id="rId166" Type="http://schemas.openxmlformats.org/officeDocument/2006/relationships/hyperlink" Target="http://data.aade.gr/eli/pri/law/2007/06/28/3583" TargetMode="External" /><Relationship Id="rId167" Type="http://schemas.openxmlformats.org/officeDocument/2006/relationships/hyperlink" Target="http://data.aade.gr/eli/pri/law/2016/08/03/4410" TargetMode="External" /><Relationship Id="rId168" Type="http://schemas.openxmlformats.org/officeDocument/2006/relationships/hyperlink" Target="http://data.aade.gr/eli/pri/law/2016/08/03/4410" TargetMode="External" /><Relationship Id="rId169" Type="http://schemas.openxmlformats.org/officeDocument/2006/relationships/hyperlink" Target="http://data.aade.gr/eli/pri/law/2016/12/22/4446" TargetMode="External" /><Relationship Id="rId17" Type="http://schemas.openxmlformats.org/officeDocument/2006/relationships/hyperlink" Target="http://data.aade.gr/eli/pri/law/2007/06/28/3583" TargetMode="External" /><Relationship Id="rId170" Type="http://schemas.openxmlformats.org/officeDocument/2006/relationships/hyperlink" Target="http://data.aade.gr/eli/pri/law/2018/01/30/4514" TargetMode="External" /><Relationship Id="rId171" Type="http://schemas.openxmlformats.org/officeDocument/2006/relationships/hyperlink" Target="http://data.aade.gr/eli/pri/law/2010/03/15/3833" TargetMode="External" /><Relationship Id="rId172" Type="http://schemas.openxmlformats.org/officeDocument/2006/relationships/hyperlink" Target="http://data.aade.gr/eli/pri/law/2007/06/28/3583" TargetMode="External" /><Relationship Id="rId173" Type="http://schemas.openxmlformats.org/officeDocument/2006/relationships/hyperlink" Target="http://data.aade.gr/eli/pri/law/2008/01/29/3634" TargetMode="External" /><Relationship Id="rId174" Type="http://schemas.openxmlformats.org/officeDocument/2006/relationships/hyperlink" Target="http://data.aade.gr/eli/pri/law/2010/12/17/3899" TargetMode="External" /><Relationship Id="rId175" Type="http://schemas.openxmlformats.org/officeDocument/2006/relationships/hyperlink" Target="http://data.aade.gr/eli/pri/law/2008/01/29/3634" TargetMode="External" /><Relationship Id="rId176" Type="http://schemas.openxmlformats.org/officeDocument/2006/relationships/hyperlink" Target="http://data.aade.gr/eli/pri/law/2010/12/17/3899" TargetMode="External" /><Relationship Id="rId177" Type="http://schemas.openxmlformats.org/officeDocument/2006/relationships/hyperlink" Target="http://data.aade.gr/eli/pri/law/2010/03/15/3833" TargetMode="External" /><Relationship Id="rId178" Type="http://schemas.openxmlformats.org/officeDocument/2006/relationships/hyperlink" Target="http://data.aade.gr/eli/pri/law/2011/07/01/3986" TargetMode="External" /><Relationship Id="rId179" Type="http://schemas.openxmlformats.org/officeDocument/2006/relationships/hyperlink" Target="http://data.aade.gr/eli/pri/law/2018/05/15/4537" TargetMode="External" /><Relationship Id="rId18" Type="http://schemas.openxmlformats.org/officeDocument/2006/relationships/hyperlink" Target="http://data.aade.gr/eli/pri/law/2007/06/28/3583" TargetMode="External" /><Relationship Id="rId180" Type="http://schemas.openxmlformats.org/officeDocument/2006/relationships/hyperlink" Target="http://data.aade.gr/eli/pri/law/2016/12/22/4446" TargetMode="External" /><Relationship Id="rId181" Type="http://schemas.openxmlformats.org/officeDocument/2006/relationships/hyperlink" Target="http://data.aade.gr/eli/pri/law/2018/01/30/4514" TargetMode="External" /><Relationship Id="rId182" Type="http://schemas.openxmlformats.org/officeDocument/2006/relationships/hyperlink" Target="http://data.aade.gr/eli/pri/law/2008/01/29/3634" TargetMode="External" /><Relationship Id="rId183" Type="http://schemas.openxmlformats.org/officeDocument/2006/relationships/hyperlink" Target="http://data.aade.gr/eli/pri/law/2010/03/15/3833" TargetMode="External" /><Relationship Id="rId184" Type="http://schemas.openxmlformats.org/officeDocument/2006/relationships/hyperlink" Target="http://data.aade.gr/eli/pri/law/2016/12/22/4446" TargetMode="External" /><Relationship Id="rId185" Type="http://schemas.openxmlformats.org/officeDocument/2006/relationships/hyperlink" Target="http://data.aade.gr/eli/pri/law/2007/06/28/3583" TargetMode="External" /><Relationship Id="rId186" Type="http://schemas.openxmlformats.org/officeDocument/2006/relationships/hyperlink" Target="http://data.aade.gr/eli/pri/law/2010/04/23/3842" TargetMode="External" /><Relationship Id="rId187" Type="http://schemas.openxmlformats.org/officeDocument/2006/relationships/hyperlink" Target="http://data.aade.gr/eli/pri/law/2010/04/23/3842" TargetMode="External" /><Relationship Id="rId188" Type="http://schemas.openxmlformats.org/officeDocument/2006/relationships/hyperlink" Target="http://data.aade.gr/eli/pri/law/2010/04/23/3842" TargetMode="External" /><Relationship Id="rId189" Type="http://schemas.openxmlformats.org/officeDocument/2006/relationships/hyperlink" Target="http://data.aade.gr/eli/pri/law/2010/04/23/3842" TargetMode="External" /><Relationship Id="rId19" Type="http://schemas.openxmlformats.org/officeDocument/2006/relationships/hyperlink" Target="http://data.aade.gr/eli/pri/law/2012/04/11/4072" TargetMode="External" /><Relationship Id="rId190" Type="http://schemas.openxmlformats.org/officeDocument/2006/relationships/hyperlink" Target="http://data.aade.gr/eli/pri/law/2010/04/23/3842" TargetMode="External" /><Relationship Id="rId191" Type="http://schemas.openxmlformats.org/officeDocument/2006/relationships/hyperlink" Target="http://data.aade.gr/eli/pri/law/2010/04/23/3842" TargetMode="External" /><Relationship Id="rId192" Type="http://schemas.openxmlformats.org/officeDocument/2006/relationships/hyperlink" Target="http://data.aade.gr/eli/pri/law/2007/06/28/3583" TargetMode="External" /><Relationship Id="rId193" Type="http://schemas.openxmlformats.org/officeDocument/2006/relationships/hyperlink" Target="http://data.aade.gr/eli/pri/law/2007/06/28/3583" TargetMode="External" /><Relationship Id="rId194" Type="http://schemas.openxmlformats.org/officeDocument/2006/relationships/hyperlink" Target="http://data.aade.gr/eli/pri/law/2010/04/23/3842" TargetMode="External" /><Relationship Id="rId195" Type="http://schemas.openxmlformats.org/officeDocument/2006/relationships/hyperlink" Target="http://data.aade.gr/eli/pri/law/2010/04/23/3842" TargetMode="External" /><Relationship Id="rId196" Type="http://schemas.openxmlformats.org/officeDocument/2006/relationships/hyperlink" Target="http://data.aade.gr/eli/pri/law/2010/04/23/3842" TargetMode="External" /><Relationship Id="rId197" Type="http://schemas.openxmlformats.org/officeDocument/2006/relationships/hyperlink" Target="http://data.aade.gr/eli/pri/law/2011/03/31/3943" TargetMode="External" /><Relationship Id="rId198" Type="http://schemas.openxmlformats.org/officeDocument/2006/relationships/hyperlink" Target="http://data.aade.gr/eli/pri/law/2018/06/14/4549" TargetMode="External" /><Relationship Id="rId199" Type="http://schemas.openxmlformats.org/officeDocument/2006/relationships/hyperlink" Target="http://data.aade.gr/eli/pri/law/2016/04/05/4378" TargetMode="External" /><Relationship Id="rId2" Type="http://schemas.openxmlformats.org/officeDocument/2006/relationships/hyperlink" Target="http://data.aade.gr/eli/pri/law/2007/11/22/3610" TargetMode="External" /><Relationship Id="rId20" Type="http://schemas.openxmlformats.org/officeDocument/2006/relationships/hyperlink" Target="http://data.aade.gr/eli/pri/law/2016/12/22/4446" TargetMode="External" /><Relationship Id="rId200" Type="http://schemas.openxmlformats.org/officeDocument/2006/relationships/hyperlink" Target="http://data.aade.gr/eli/pri/law/2007/06/28/3583" TargetMode="External" /><Relationship Id="rId201" Type="http://schemas.openxmlformats.org/officeDocument/2006/relationships/hyperlink" Target="http://data.aade.gr/eli/pri/law/2016/08/03/4410" TargetMode="External" /><Relationship Id="rId202" Type="http://schemas.openxmlformats.org/officeDocument/2006/relationships/hyperlink" Target="http://data.aade.gr/eli/pri/law/2016/05/27/4389" TargetMode="External" /><Relationship Id="rId203" Type="http://schemas.openxmlformats.org/officeDocument/2006/relationships/hyperlink" Target="http://data.aade.gr/eli/pri/law/2014/04/07/4254" TargetMode="External" /><Relationship Id="rId204" Type="http://schemas.openxmlformats.org/officeDocument/2006/relationships/hyperlink" Target="http://data.aade.gr/eli/pri/law/2016/05/27/4389" TargetMode="External" /><Relationship Id="rId205" Type="http://schemas.openxmlformats.org/officeDocument/2006/relationships/hyperlink" Target="http://data.aade.gr/eli/pri/law/2016/05/27/4389" TargetMode="External" /><Relationship Id="rId206" Type="http://schemas.openxmlformats.org/officeDocument/2006/relationships/hyperlink" Target="http://data.aade.gr/eli/pri/law/2018/12/18/4583" TargetMode="External" /><Relationship Id="rId207" Type="http://schemas.openxmlformats.org/officeDocument/2006/relationships/hyperlink" Target="http://data.aade.gr/eli/pri/law/2016/05/27/4389" TargetMode="External" /><Relationship Id="rId208" Type="http://schemas.openxmlformats.org/officeDocument/2006/relationships/hyperlink" Target="http://data.aade.gr/eli/pri/law/2016/08/03/4410" TargetMode="External" /><Relationship Id="rId209" Type="http://schemas.openxmlformats.org/officeDocument/2006/relationships/hyperlink" Target="http://data.aade.gr/eli/pri/law/2007/06/28/3583" TargetMode="External" /><Relationship Id="rId21" Type="http://schemas.openxmlformats.org/officeDocument/2006/relationships/hyperlink" Target="http://data.aade.gr/eli/pri/law/2007/06/28/3583" TargetMode="External" /><Relationship Id="rId210" Type="http://schemas.openxmlformats.org/officeDocument/2006/relationships/hyperlink" Target="http://data.aade.gr/eli/pri/law/2007/06/28/3583" TargetMode="External" /><Relationship Id="rId211" Type="http://schemas.openxmlformats.org/officeDocument/2006/relationships/hyperlink" Target="http://data.aade.gr/eli/pri/law/2016/05/27/4389" TargetMode="External" /><Relationship Id="rId212" Type="http://schemas.openxmlformats.org/officeDocument/2006/relationships/hyperlink" Target="http://data.aade.gr/eli/pri/law/2018/05/15/4537" TargetMode="External" /><Relationship Id="rId213" Type="http://schemas.openxmlformats.org/officeDocument/2006/relationships/hyperlink" Target="http://data.aade.gr/eli/pri/law/2007/06/28/3583" TargetMode="External" /><Relationship Id="rId214" Type="http://schemas.openxmlformats.org/officeDocument/2006/relationships/hyperlink" Target="http://data.aade.gr/eli/pri/law/2016/05/27/4389" TargetMode="External" /><Relationship Id="rId215" Type="http://schemas.openxmlformats.org/officeDocument/2006/relationships/hyperlink" Target="http://data.aade.gr/eli/pri/law/2018/05/15/4537" TargetMode="External" /><Relationship Id="rId216" Type="http://schemas.openxmlformats.org/officeDocument/2006/relationships/hyperlink" Target="http://data.aade.gr/eli/pri/law/2016/04/05/4378" TargetMode="External" /><Relationship Id="rId217" Type="http://schemas.openxmlformats.org/officeDocument/2006/relationships/hyperlink" Target="http://data.aade.gr/eli/pri/law/2007/06/28/3583" TargetMode="External" /><Relationship Id="rId218" Type="http://schemas.openxmlformats.org/officeDocument/2006/relationships/hyperlink" Target="http://data.aade.gr/eli/pri/law/2009/05/27/3763" TargetMode="External" /><Relationship Id="rId219" Type="http://schemas.openxmlformats.org/officeDocument/2006/relationships/hyperlink" Target="http://data.aade.gr/eli/pri/law/2007/06/28/3583" TargetMode="External" /><Relationship Id="rId22" Type="http://schemas.openxmlformats.org/officeDocument/2006/relationships/hyperlink" Target="http://data.aade.gr/eli/pri/law/2007/06/28/3583" TargetMode="External" /><Relationship Id="rId220" Type="http://schemas.openxmlformats.org/officeDocument/2006/relationships/hyperlink" Target="http://data.aade.gr/eli/pri/law/2007/06/28/3583" TargetMode="External" /><Relationship Id="rId221" Type="http://schemas.openxmlformats.org/officeDocument/2006/relationships/hyperlink" Target="http://data.aade.gr/eli/pri/law/2018/05/15/4537" TargetMode="External" /><Relationship Id="rId222" Type="http://schemas.openxmlformats.org/officeDocument/2006/relationships/hyperlink" Target="http://data.aade.gr/eli/pri/law/2018/05/15/4537" TargetMode="External" /><Relationship Id="rId223" Type="http://schemas.openxmlformats.org/officeDocument/2006/relationships/hyperlink" Target="http://data.aade.gr/eli/pri/law/2007/06/28/3583" TargetMode="External" /><Relationship Id="rId224" Type="http://schemas.openxmlformats.org/officeDocument/2006/relationships/hyperlink" Target="http://data.aade.gr/eli/pri/law/2008/01/29/3634" TargetMode="External" /><Relationship Id="rId225" Type="http://schemas.openxmlformats.org/officeDocument/2006/relationships/hyperlink" Target="http://data.aade.gr/eli/pri/law/2013/11/28/4211" TargetMode="External" /><Relationship Id="rId226" Type="http://schemas.openxmlformats.org/officeDocument/2006/relationships/hyperlink" Target="http://data.aade.gr/eli/pri/law/2016/05/27/4389" TargetMode="External" /><Relationship Id="rId227" Type="http://schemas.openxmlformats.org/officeDocument/2006/relationships/hyperlink" Target="http://data.aade.gr/eli/pri/law/2007/06/28/3583" TargetMode="External" /><Relationship Id="rId228" Type="http://schemas.openxmlformats.org/officeDocument/2006/relationships/hyperlink" Target="http://data.aade.gr/eli/pri/law/2009/05/27/3763" TargetMode="External" /><Relationship Id="rId229" Type="http://schemas.openxmlformats.org/officeDocument/2006/relationships/hyperlink" Target="http://data.aade.gr/eli/pri/law/2016/05/27/4389" TargetMode="External" /><Relationship Id="rId23" Type="http://schemas.openxmlformats.org/officeDocument/2006/relationships/hyperlink" Target="http://data.aade.gr/eli/pri/law/2007/06/28/3583" TargetMode="External" /><Relationship Id="rId230" Type="http://schemas.openxmlformats.org/officeDocument/2006/relationships/hyperlink" Target="http://data.aade.gr/eli/pri/law/2007/06/28/3583" TargetMode="External" /><Relationship Id="rId231" Type="http://schemas.openxmlformats.org/officeDocument/2006/relationships/hyperlink" Target="http://data.aade.gr/eli/pri/law/2016/04/05/4378" TargetMode="External" /><Relationship Id="rId232" Type="http://schemas.openxmlformats.org/officeDocument/2006/relationships/hyperlink" Target="http://data.aade.gr/eli/pri/law/2007/06/28/3583" TargetMode="External" /><Relationship Id="rId233" Type="http://schemas.openxmlformats.org/officeDocument/2006/relationships/hyperlink" Target="http://data.aade.gr/eli/pri/law/2018/12/18/4583" TargetMode="External" /><Relationship Id="rId234" Type="http://schemas.openxmlformats.org/officeDocument/2006/relationships/hyperlink" Target="http://data.aade.gr/eli/pri/law/2018/12/18/4583" TargetMode="External" /><Relationship Id="rId235" Type="http://schemas.openxmlformats.org/officeDocument/2006/relationships/hyperlink" Target="http://data.aade.gr/eli/pri/law/2018/12/18/4583" TargetMode="External" /><Relationship Id="rId236" Type="http://schemas.openxmlformats.org/officeDocument/2006/relationships/hyperlink" Target="http://data.aade.gr/eli/pri/law/2007/06/28/3583" TargetMode="External" /><Relationship Id="rId237" Type="http://schemas.openxmlformats.org/officeDocument/2006/relationships/hyperlink" Target="http://data.aade.gr/eli/pri/law/2007/06/28/3583" TargetMode="External" /><Relationship Id="rId238" Type="http://schemas.openxmlformats.org/officeDocument/2006/relationships/hyperlink" Target="http://data.aade.gr/eli/pri/law/2007/06/28/3583" TargetMode="External" /><Relationship Id="rId239" Type="http://schemas.openxmlformats.org/officeDocument/2006/relationships/hyperlink" Target="http://data.aade.gr/eli/pri/law/2016/03/07/4370" TargetMode="External" /><Relationship Id="rId24" Type="http://schemas.openxmlformats.org/officeDocument/2006/relationships/hyperlink" Target="http://data.aade.gr/eli/pri/law/2007/06/28/3583" TargetMode="External" /><Relationship Id="rId240" Type="http://schemas.openxmlformats.org/officeDocument/2006/relationships/hyperlink" Target="http://data.aade.gr/eli/pri/law/2007/06/28/3583" TargetMode="External" /><Relationship Id="rId241" Type="http://schemas.openxmlformats.org/officeDocument/2006/relationships/hyperlink" Target="http://data.aade.gr/eli/pri/law/2018/12/18/4583" TargetMode="External" /><Relationship Id="rId242" Type="http://schemas.openxmlformats.org/officeDocument/2006/relationships/hyperlink" Target="http://data.aade.gr/eli/pri/law/2007/06/28/3583" TargetMode="External" /><Relationship Id="rId243" Type="http://schemas.openxmlformats.org/officeDocument/2006/relationships/hyperlink" Target="http://data.aade.gr/eli/pri/law/2014/04/07/4254" TargetMode="External" /><Relationship Id="rId244" Type="http://schemas.openxmlformats.org/officeDocument/2006/relationships/hyperlink" Target="http://data.aade.gr/eli/pri/law/2018/12/18/4583" TargetMode="External" /><Relationship Id="rId245" Type="http://schemas.openxmlformats.org/officeDocument/2006/relationships/hyperlink" Target="http://data.aade.gr/eli/pri/law/2018/01/30/4514" TargetMode="External" /><Relationship Id="rId246" Type="http://schemas.openxmlformats.org/officeDocument/2006/relationships/hyperlink" Target="http://data.aade.gr/eli/pri/law/2018/01/30/4514" TargetMode="External" /><Relationship Id="rId247" Type="http://schemas.openxmlformats.org/officeDocument/2006/relationships/hyperlink" Target="http://data.aade.gr/eli/pri/law/2007/11/22/3610" TargetMode="External" /><Relationship Id="rId248" Type="http://schemas.openxmlformats.org/officeDocument/2006/relationships/hyperlink" Target="http://data.aade.gr/eli/pri/law/2004/08/04/3259" TargetMode="External" /><Relationship Id="rId249" Type="http://schemas.openxmlformats.org/officeDocument/2006/relationships/hyperlink" Target="http://data.aade.gr/eli/pri/law/2009/08/07/3790" TargetMode="External" /><Relationship Id="rId25" Type="http://schemas.openxmlformats.org/officeDocument/2006/relationships/hyperlink" Target="http://data.aade.gr/eli/pri/law/2007/06/28/3583" TargetMode="External" /><Relationship Id="rId250" Type="http://schemas.openxmlformats.org/officeDocument/2006/relationships/hyperlink" Target="http://data.aade.gr/eli/pri/law/2013/03/19/4138" TargetMode="External" /><Relationship Id="rId251" Type="http://schemas.openxmlformats.org/officeDocument/2006/relationships/hyperlink" Target="http://data.aade.gr/eli/pri/law/2014/02/17/4238" TargetMode="External" /><Relationship Id="rId252" Type="http://schemas.openxmlformats.org/officeDocument/2006/relationships/hyperlink" Target="http://data.aade.gr/eli/pri/law/2014/04/07/4254" TargetMode="External" /><Relationship Id="rId253" Type="http://schemas.openxmlformats.org/officeDocument/2006/relationships/hyperlink" Target="http://data.aade.gr/eli/pri/law/2016/08/03/4410" TargetMode="External" /><Relationship Id="rId254" Type="http://schemas.openxmlformats.org/officeDocument/2006/relationships/hyperlink" Target="http://data.aade.gr/eli/pri/law/2018/05/15/4537" TargetMode="External" /><Relationship Id="rId255" Type="http://schemas.openxmlformats.org/officeDocument/2006/relationships/hyperlink" Target="http://data.aade.gr/eli/pri/law/2018/05/15/4537" TargetMode="External" /><Relationship Id="rId256" Type="http://schemas.openxmlformats.org/officeDocument/2006/relationships/hyperlink" Target="http://data.aade.gr/eli/pri/law/2014/04/07/4254" TargetMode="External" /><Relationship Id="rId257" Type="http://schemas.openxmlformats.org/officeDocument/2006/relationships/hyperlink" Target="http://data.aade.gr/eli/pri/law/2018/01/30/4514" TargetMode="External" /><Relationship Id="rId258" Type="http://schemas.openxmlformats.org/officeDocument/2006/relationships/hyperlink" Target="http://data.aade.gr/eli/pri/law/2007/06/28/3583" TargetMode="External" /><Relationship Id="rId259" Type="http://schemas.openxmlformats.org/officeDocument/2006/relationships/hyperlink" Target="http://data.aade.gr/eli/pri/law/2006/04/07/3453" TargetMode="External" /><Relationship Id="rId26" Type="http://schemas.openxmlformats.org/officeDocument/2006/relationships/hyperlink" Target="http://data.aade.gr/eli/pri/law/2007/06/28/3583" TargetMode="External" /><Relationship Id="rId260" Type="http://schemas.openxmlformats.org/officeDocument/2006/relationships/hyperlink" Target="http://data.aade.gr/eli/pri/law/2014/04/07/4254" TargetMode="External" /><Relationship Id="rId261" Type="http://schemas.openxmlformats.org/officeDocument/2006/relationships/hyperlink" Target="http://data.aade.gr/eli/pri/law/2016/04/05/4378" TargetMode="External" /><Relationship Id="rId262" Type="http://schemas.openxmlformats.org/officeDocument/2006/relationships/hyperlink" Target="http://data.aade.gr/eli/pri/law/2007/06/28/3583" TargetMode="External" /><Relationship Id="rId263" Type="http://schemas.openxmlformats.org/officeDocument/2006/relationships/hyperlink" Target="http://data.aade.gr/eli/pri/law/2014/04/07/4254" TargetMode="External" /><Relationship Id="rId264" Type="http://schemas.openxmlformats.org/officeDocument/2006/relationships/hyperlink" Target="http://data.aade.gr/eli/pri/law/2007/06/28/3583" TargetMode="External" /><Relationship Id="rId265" Type="http://schemas.openxmlformats.org/officeDocument/2006/relationships/hyperlink" Target="http://data.aade.gr/eli/pri/law/2007/06/28/3583" TargetMode="External" /><Relationship Id="rId266" Type="http://schemas.openxmlformats.org/officeDocument/2006/relationships/hyperlink" Target="http://data.aade.gr/eli/pri/law/2016/05/27/4389" TargetMode="External" /><Relationship Id="rId267" Type="http://schemas.openxmlformats.org/officeDocument/2006/relationships/hyperlink" Target="http://data.aade.gr/eli/pri/law/2007/06/28/3583" TargetMode="External" /><Relationship Id="rId268" Type="http://schemas.openxmlformats.org/officeDocument/2006/relationships/hyperlink" Target="http://data.aade.gr/eli/pri/law/2007/06/28/3583" TargetMode="External" /><Relationship Id="rId269" Type="http://schemas.openxmlformats.org/officeDocument/2006/relationships/hyperlink" Target="http://data.aade.gr/eli/pri/law/2007/06/28/3583" TargetMode="External" /><Relationship Id="rId27" Type="http://schemas.openxmlformats.org/officeDocument/2006/relationships/hyperlink" Target="http://data.aade.gr/eli/pri/law/2005/04/20/3336" TargetMode="External" /><Relationship Id="rId270" Type="http://schemas.openxmlformats.org/officeDocument/2006/relationships/hyperlink" Target="http://data.aade.gr/eli/pri/law/2007/06/28/3583" TargetMode="External" /><Relationship Id="rId271" Type="http://schemas.openxmlformats.org/officeDocument/2006/relationships/hyperlink" Target="http://data.aade.gr/eli/pri/law/2007/06/28/3583" TargetMode="External" /><Relationship Id="rId272" Type="http://schemas.openxmlformats.org/officeDocument/2006/relationships/hyperlink" Target="http://data.aade.gr/eli/pri/law/2007/06/28/3583" TargetMode="External" /><Relationship Id="rId273" Type="http://schemas.openxmlformats.org/officeDocument/2006/relationships/hyperlink" Target="http://data.aade.gr/eli/pri/law/2007/06/28/3583" TargetMode="External" /><Relationship Id="rId274" Type="http://schemas.openxmlformats.org/officeDocument/2006/relationships/hyperlink" Target="http://data.aade.gr/eli/pri/law/2007/06/28/3583" TargetMode="External" /><Relationship Id="rId275" Type="http://schemas.openxmlformats.org/officeDocument/2006/relationships/hyperlink" Target="http://data.aade.gr/eli/pri/law/2007/11/22/3610" TargetMode="External" /><Relationship Id="rId276" Type="http://schemas.openxmlformats.org/officeDocument/2006/relationships/hyperlink" Target="http://data.aade.gr/eli/pri/law/2010/12/17/3899" TargetMode="External" /><Relationship Id="rId277" Type="http://schemas.openxmlformats.org/officeDocument/2006/relationships/hyperlink" Target="http://data.aade.gr/eli/pri/law/2012/04/11/4072" TargetMode="External" /><Relationship Id="rId278" Type="http://schemas.openxmlformats.org/officeDocument/2006/relationships/hyperlink" Target="http://data.aade.gr/eli/pri/law/2013/04/05/4141" TargetMode="External" /><Relationship Id="rId279" Type="http://schemas.openxmlformats.org/officeDocument/2006/relationships/hyperlink" Target="http://data.aade.gr/eli/pri/law/2018/12/18/4583" TargetMode="External" /><Relationship Id="rId28" Type="http://schemas.openxmlformats.org/officeDocument/2006/relationships/hyperlink" Target="http://data.aade.gr/eli/pri/law/2016/08/03/4410" TargetMode="External" /><Relationship Id="rId280" Type="http://schemas.openxmlformats.org/officeDocument/2006/relationships/hyperlink" Target="http://data.aade.gr/eli/pri/law/2016/08/03/4410" TargetMode="External" /><Relationship Id="rId281" Type="http://schemas.openxmlformats.org/officeDocument/2006/relationships/hyperlink" Target="http://data.aade.gr/eli/pri/law/2007/06/28/3583" TargetMode="External" /><Relationship Id="rId282" Type="http://schemas.openxmlformats.org/officeDocument/2006/relationships/hyperlink" Target="http://data.aade.gr/eli/pri/law/2007/06/28/3583" TargetMode="External" /><Relationship Id="rId283" Type="http://schemas.openxmlformats.org/officeDocument/2006/relationships/hyperlink" Target="http://data.aade.gr/eli/pri/law/2007/06/28/3583" TargetMode="External" /><Relationship Id="rId284" Type="http://schemas.openxmlformats.org/officeDocument/2006/relationships/hyperlink" Target="http://data.aade.gr/eli/pri/law/2007/06/28/3583" TargetMode="External" /><Relationship Id="rId285" Type="http://schemas.openxmlformats.org/officeDocument/2006/relationships/hyperlink" Target="http://data.aade.gr/eli/pri/law/2017/05/03/4469" TargetMode="External" /><Relationship Id="rId286" Type="http://schemas.openxmlformats.org/officeDocument/2006/relationships/hyperlink" Target="http://data.aade.gr/eli/pri/law/2007/06/28/3583" TargetMode="External" /><Relationship Id="rId287" Type="http://schemas.openxmlformats.org/officeDocument/2006/relationships/hyperlink" Target="http://data.aade.gr/eli/pri/law/2007/06/28/3583" TargetMode="External" /><Relationship Id="rId288" Type="http://schemas.openxmlformats.org/officeDocument/2006/relationships/hyperlink" Target="http://data.aade.gr/eli/pri/law/2007/06/28/3583" TargetMode="External" /><Relationship Id="rId289" Type="http://schemas.openxmlformats.org/officeDocument/2006/relationships/hyperlink" Target="http://data.aade.gr/eli/pri/law/2007/06/28/3583" TargetMode="External" /><Relationship Id="rId29" Type="http://schemas.openxmlformats.org/officeDocument/2006/relationships/hyperlink" Target="http://data.aade.gr/eli/pri/law/2016/08/03/4410" TargetMode="External" /><Relationship Id="rId290" Type="http://schemas.openxmlformats.org/officeDocument/2006/relationships/hyperlink" Target="http://data.aade.gr/eli/pri/law/2007/11/22/3610" TargetMode="External" /><Relationship Id="rId291" Type="http://schemas.openxmlformats.org/officeDocument/2006/relationships/hyperlink" Target="http://data.aade.gr/eli/pri/law/2007/06/28/3583" TargetMode="External" /><Relationship Id="rId292" Type="http://schemas.openxmlformats.org/officeDocument/2006/relationships/hyperlink" Target="http://data.aade.gr/eli/pri/law/2007/06/28/3583" TargetMode="External" /><Relationship Id="rId293" Type="http://schemas.openxmlformats.org/officeDocument/2006/relationships/hyperlink" Target="http://data.aade.gr/eli/pri/law/2002/03/20/2992" TargetMode="External" /><Relationship Id="rId294" Type="http://schemas.openxmlformats.org/officeDocument/2006/relationships/hyperlink" Target="http://data.aade.gr/eli/pri/law/2014/04/07/4254" TargetMode="External" /><Relationship Id="rId295" Type="http://schemas.openxmlformats.org/officeDocument/2006/relationships/hyperlink" Target="http://data.aade.gr/eli/pri/law/2017/06/07/4474" TargetMode="External" /><Relationship Id="rId296" Type="http://schemas.openxmlformats.org/officeDocument/2006/relationships/hyperlink" Target="http://data.aade.gr/eli/pri/law/2004/08/04/3259" TargetMode="External" /><Relationship Id="rId297" Type="http://schemas.openxmlformats.org/officeDocument/2006/relationships/hyperlink" Target="http://data.aade.gr/eli/pri/law/2007/06/28/3583" TargetMode="External" /><Relationship Id="rId298" Type="http://schemas.openxmlformats.org/officeDocument/2006/relationships/hyperlink" Target="http://data.aade.gr/eli/pri/law/2011/07/01/3986" TargetMode="External" /><Relationship Id="rId299" Type="http://schemas.openxmlformats.org/officeDocument/2006/relationships/hyperlink" Target="http://data.aade.gr/eli/pri/law/2007/06/28/3583" TargetMode="External" /><Relationship Id="rId3" Type="http://schemas.openxmlformats.org/officeDocument/2006/relationships/hyperlink" Target="http://data.aade.gr/eli/pri/law/2007/06/28/3583" TargetMode="External" /><Relationship Id="rId30" Type="http://schemas.openxmlformats.org/officeDocument/2006/relationships/hyperlink" Target="http://data.aade.gr/eli/pri/law/2010/04/23/3842" TargetMode="External" /><Relationship Id="rId300" Type="http://schemas.openxmlformats.org/officeDocument/2006/relationships/hyperlink" Target="http://data.aade.gr/eli/pri/law/2005/04/20/3336" TargetMode="External" /><Relationship Id="rId301" Type="http://schemas.openxmlformats.org/officeDocument/2006/relationships/hyperlink" Target="http://data.aade.gr/eli/pri/law/2007/06/28/3583" TargetMode="External" /><Relationship Id="rId302" Type="http://schemas.openxmlformats.org/officeDocument/2006/relationships/hyperlink" Target="http://data.aade.gr/eli/pri/law/2019/08/09/4623" TargetMode="External" /><Relationship Id="rId303" Type="http://schemas.openxmlformats.org/officeDocument/2006/relationships/hyperlink" Target="http://data.aade.gr/eli/pri/law/2019/08/09/4623" TargetMode="External" /><Relationship Id="rId304" Type="http://schemas.openxmlformats.org/officeDocument/2006/relationships/hyperlink" Target="http://data.aade.gr/eli/pri/law/2005/04/20/3336" TargetMode="External" /><Relationship Id="rId31" Type="http://schemas.openxmlformats.org/officeDocument/2006/relationships/hyperlink" Target="http://data.aade.gr/eli/pri/law/2010/04/23/3842" TargetMode="External" /><Relationship Id="rId32" Type="http://schemas.openxmlformats.org/officeDocument/2006/relationships/hyperlink" Target="http://data.aade.gr/eli/pri/law/2007/06/28/3583" TargetMode="External" /><Relationship Id="rId33" Type="http://schemas.openxmlformats.org/officeDocument/2006/relationships/hyperlink" Target="http://data.aade.gr/eli/pri/law/2010/04/23/3842" TargetMode="External" /><Relationship Id="rId34" Type="http://schemas.openxmlformats.org/officeDocument/2006/relationships/hyperlink" Target="http://data.aade.gr/eli/pri/law/2010/04/23/3842" TargetMode="External" /><Relationship Id="rId35" Type="http://schemas.openxmlformats.org/officeDocument/2006/relationships/hyperlink" Target="http://data.aade.gr/eli/pri/law/2010/04/23/3842"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6/08/03/4410"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2/04/11/4072" TargetMode="External" /><Relationship Id="rId4" Type="http://schemas.openxmlformats.org/officeDocument/2006/relationships/hyperlink" Target="http://data.aade.gr/eli/pri/law/2007/06/28/3583" TargetMode="External" /><Relationship Id="rId40" Type="http://schemas.openxmlformats.org/officeDocument/2006/relationships/hyperlink" Target="http://data.aade.gr/eli/pri/law/2013/11/28/4211" TargetMode="External" /><Relationship Id="rId41" Type="http://schemas.openxmlformats.org/officeDocument/2006/relationships/hyperlink" Target="http://data.aade.gr/eli/pri/law/2010/04/23/3842" TargetMode="External" /><Relationship Id="rId42" Type="http://schemas.openxmlformats.org/officeDocument/2006/relationships/hyperlink" Target="http://data.aade.gr/eli/pri/law/2010/04/23/3842" TargetMode="External" /><Relationship Id="rId43" Type="http://schemas.openxmlformats.org/officeDocument/2006/relationships/hyperlink" Target="http://data.aade.gr/eli/pri/law/2010/04/23/3842" TargetMode="External" /><Relationship Id="rId44" Type="http://schemas.openxmlformats.org/officeDocument/2006/relationships/hyperlink" Target="http://data.aade.gr/eli/pri/law/2010/04/23/3842" TargetMode="External" /><Relationship Id="rId45" Type="http://schemas.openxmlformats.org/officeDocument/2006/relationships/hyperlink" Target="http://data.aade.gr/eli/pri/law/2010/04/23/3842" TargetMode="External" /><Relationship Id="rId46" Type="http://schemas.openxmlformats.org/officeDocument/2006/relationships/hyperlink" Target="http://data.aade.gr/eli/pri/law/2010/04/23/3842" TargetMode="External" /><Relationship Id="rId47" Type="http://schemas.openxmlformats.org/officeDocument/2006/relationships/hyperlink" Target="http://data.aade.gr/eli/pri/law/2010/04/23/3842" TargetMode="External" /><Relationship Id="rId48" Type="http://schemas.openxmlformats.org/officeDocument/2006/relationships/hyperlink" Target="http://data.aade.gr/eli/pri/law/2007/06/28/3583" TargetMode="External" /><Relationship Id="rId49" Type="http://schemas.openxmlformats.org/officeDocument/2006/relationships/hyperlink" Target="http://data.aade.gr/eli/pri/law/2010/04/23/3842" TargetMode="External" /><Relationship Id="rId5" Type="http://schemas.openxmlformats.org/officeDocument/2006/relationships/hyperlink" Target="http://data.aade.gr/eli/pri/law/2013/11/28/4211" TargetMode="External" /><Relationship Id="rId50" Type="http://schemas.openxmlformats.org/officeDocument/2006/relationships/hyperlink" Target="http://data.aade.gr/eli/pri/law/2007/06/28/3583" TargetMode="External" /><Relationship Id="rId51" Type="http://schemas.openxmlformats.org/officeDocument/2006/relationships/hyperlink" Target="http://data.aade.gr/eli/pri/law/2007/06/28/3583" TargetMode="External" /><Relationship Id="rId52" Type="http://schemas.openxmlformats.org/officeDocument/2006/relationships/hyperlink" Target="http://data.aade.gr/eli/pri/law/2005/04/20/3336" TargetMode="External" /><Relationship Id="rId53" Type="http://schemas.openxmlformats.org/officeDocument/2006/relationships/hyperlink" Target="http://data.aade.gr/eli/pri/law/2018/12/18/4583" TargetMode="External" /><Relationship Id="rId54" Type="http://schemas.openxmlformats.org/officeDocument/2006/relationships/hyperlink" Target="http://data.aade.gr/eli/pri/law/2005/04/20/3336" TargetMode="External" /><Relationship Id="rId55" Type="http://schemas.openxmlformats.org/officeDocument/2006/relationships/hyperlink" Target="http://data.aade.gr/eli/pri/law/2010/05/06/3845" TargetMode="External" /><Relationship Id="rId56" Type="http://schemas.openxmlformats.org/officeDocument/2006/relationships/hyperlink" Target="http://data.aade.gr/eli/pri/law/2010/03/15/3833" TargetMode="External" /><Relationship Id="rId57" Type="http://schemas.openxmlformats.org/officeDocument/2006/relationships/hyperlink" Target="http://data.aade.gr/eli/pri/law/2010/12/17/3899" TargetMode="External" /><Relationship Id="rId58" Type="http://schemas.openxmlformats.org/officeDocument/2006/relationships/hyperlink" Target="http://data.aade.gr/eli/pri/law/2011/07/01/3986" TargetMode="External" /><Relationship Id="rId59" Type="http://schemas.openxmlformats.org/officeDocument/2006/relationships/hyperlink" Target="http://data.aade.gr/eli/pri/law/2012/11/08/4092" TargetMode="External" /><Relationship Id="rId6" Type="http://schemas.openxmlformats.org/officeDocument/2006/relationships/hyperlink" Target="http://data.aade.gr/eli/pri/law/2007/06/28/3583" TargetMode="External" /><Relationship Id="rId60" Type="http://schemas.openxmlformats.org/officeDocument/2006/relationships/hyperlink" Target="http://data.aade.gr/eli/pri/law/2012/11/12/4093" TargetMode="External" /><Relationship Id="rId61" Type="http://schemas.openxmlformats.org/officeDocument/2006/relationships/hyperlink" Target="http://data.aade.gr/eli/pri/law/2016/05/27/4389" TargetMode="External" /><Relationship Id="rId62" Type="http://schemas.openxmlformats.org/officeDocument/2006/relationships/hyperlink" Target="http://data.aade.gr/eli/pri/law/2016/05/27/4389" TargetMode="External" /><Relationship Id="rId63" Type="http://schemas.openxmlformats.org/officeDocument/2006/relationships/hyperlink" Target="http://data.aade.gr/eli/pri/law/2009/07/21/3775" TargetMode="External" /><Relationship Id="rId64" Type="http://schemas.openxmlformats.org/officeDocument/2006/relationships/hyperlink" Target="http://data.aade.gr/eli/pri/law/2009/07/21/3775" TargetMode="External" /><Relationship Id="rId65" Type="http://schemas.openxmlformats.org/officeDocument/2006/relationships/hyperlink" Target="http://data.aade.gr/eli/pri/law/2018/12/18/4583" TargetMode="External" /><Relationship Id="rId66" Type="http://schemas.openxmlformats.org/officeDocument/2006/relationships/hyperlink" Target="http://data.aade.gr/eli/pri/law/2018/12/18/4583" TargetMode="External" /><Relationship Id="rId67" Type="http://schemas.openxmlformats.org/officeDocument/2006/relationships/hyperlink" Target="http://data.aade.gr/eli/pri/law/2006/08/07/3483" TargetMode="External" /><Relationship Id="rId68" Type="http://schemas.openxmlformats.org/officeDocument/2006/relationships/hyperlink" Target="http://data.aade.gr/eli/pri/law/2010/12/17/3899" TargetMode="External" /><Relationship Id="rId69" Type="http://schemas.openxmlformats.org/officeDocument/2006/relationships/hyperlink" Target="http://data.aade.gr/eli/pri/law/2008/01/29/3634" TargetMode="External" /><Relationship Id="rId7" Type="http://schemas.openxmlformats.org/officeDocument/2006/relationships/hyperlink" Target="http://data.aade.gr/eli/pri/law/2007/06/28/3583" TargetMode="External" /><Relationship Id="rId70" Type="http://schemas.openxmlformats.org/officeDocument/2006/relationships/hyperlink" Target="http://data.aade.gr/eli/pri/law/2011/07/01/3986" TargetMode="External" /><Relationship Id="rId71" Type="http://schemas.openxmlformats.org/officeDocument/2006/relationships/hyperlink" Target="http://data.aade.gr/eli/pri/law/2011/07/01/3986" TargetMode="External" /><Relationship Id="rId72" Type="http://schemas.openxmlformats.org/officeDocument/2006/relationships/hyperlink" Target="http://data.aade.gr/eli/pri/law/2011/10/27/4024" TargetMode="External" /><Relationship Id="rId73" Type="http://schemas.openxmlformats.org/officeDocument/2006/relationships/hyperlink" Target="http://data.aade.gr/eli/pri/law/2014/10/07/4301" TargetMode="External" /><Relationship Id="rId74" Type="http://schemas.openxmlformats.org/officeDocument/2006/relationships/hyperlink" Target="http://data.aade.gr/eli/pri/law/2016/05/27/4389" TargetMode="External" /><Relationship Id="rId75" Type="http://schemas.openxmlformats.org/officeDocument/2006/relationships/hyperlink" Target="http://data.aade.gr/eli/pri/law/2005/04/20/3336" TargetMode="External" /><Relationship Id="rId76" Type="http://schemas.openxmlformats.org/officeDocument/2006/relationships/hyperlink" Target="http://data.aade.gr/eli/pri/law/2010/03/15/3833" TargetMode="External" /><Relationship Id="rId77" Type="http://schemas.openxmlformats.org/officeDocument/2006/relationships/hyperlink" Target="http://data.aade.gr/eli/pri/law/2011/07/01/3986" TargetMode="External" /><Relationship Id="rId78" Type="http://schemas.openxmlformats.org/officeDocument/2006/relationships/hyperlink" Target="http://data.aade.gr/eli/pri/law/2019/04/24/4607" TargetMode="External" /><Relationship Id="rId79" Type="http://schemas.openxmlformats.org/officeDocument/2006/relationships/hyperlink" Target="http://data.aade.gr/eli/pri/law/2018/01/30/4514"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05/04/20/3336" TargetMode="External" /><Relationship Id="rId81" Type="http://schemas.openxmlformats.org/officeDocument/2006/relationships/hyperlink" Target="http://data.aade.gr/eli/pri/law/2005/04/20/3336" TargetMode="External" /><Relationship Id="rId82" Type="http://schemas.openxmlformats.org/officeDocument/2006/relationships/hyperlink" Target="http://data.aade.gr/eli/pri/law/2010/04/23/3842" TargetMode="External" /><Relationship Id="rId83" Type="http://schemas.openxmlformats.org/officeDocument/2006/relationships/hyperlink" Target="http://data.aade.gr/eli/pri/law/2005/04/20/3336" TargetMode="External" /><Relationship Id="rId84" Type="http://schemas.openxmlformats.org/officeDocument/2006/relationships/hyperlink" Target="http://data.aade.gr/eli/pri/law/2005/04/20/3336" TargetMode="External" /><Relationship Id="rId85" Type="http://schemas.openxmlformats.org/officeDocument/2006/relationships/hyperlink" Target="http://data.aade.gr/eli/pri/law/2008/01/29/3634" TargetMode="External" /><Relationship Id="rId86" Type="http://schemas.openxmlformats.org/officeDocument/2006/relationships/hyperlink" Target="http://data.aade.gr/eli/pri/law/2016/05/27/4389" TargetMode="External" /><Relationship Id="rId87" Type="http://schemas.openxmlformats.org/officeDocument/2006/relationships/hyperlink" Target="http://data.aade.gr/eli/pri/law/2007/06/28/3583" TargetMode="External" /><Relationship Id="rId88" Type="http://schemas.openxmlformats.org/officeDocument/2006/relationships/hyperlink" Target="http://data.aade.gr/eli/pri/law/2014/05/05/4261" TargetMode="External" /><Relationship Id="rId89" Type="http://schemas.openxmlformats.org/officeDocument/2006/relationships/hyperlink" Target="http://data.aade.gr/eli/pri/law/2010/03/15/3833"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18/12/18/4583" TargetMode="External" /><Relationship Id="rId91" Type="http://schemas.openxmlformats.org/officeDocument/2006/relationships/hyperlink" Target="http://data.aade.gr/eli/pri/law/2018/12/18/4583" TargetMode="External" /><Relationship Id="rId92" Type="http://schemas.openxmlformats.org/officeDocument/2006/relationships/hyperlink" Target="http://data.aade.gr/eli/pri/law/2007/06/28/3583" TargetMode="External" /><Relationship Id="rId93" Type="http://schemas.openxmlformats.org/officeDocument/2006/relationships/hyperlink" Target="http://data.aade.gr/eli/pri/law/2007/06/28/3583" TargetMode="External" /><Relationship Id="rId94" Type="http://schemas.openxmlformats.org/officeDocument/2006/relationships/hyperlink" Target="http://data.aade.gr/eli/pri/law/2010/03/15/3833" TargetMode="External" /><Relationship Id="rId95" Type="http://schemas.openxmlformats.org/officeDocument/2006/relationships/hyperlink" Target="http://data.aade.gr/eli/pri/law/2007/06/28/3583" TargetMode="External" /><Relationship Id="rId96" Type="http://schemas.openxmlformats.org/officeDocument/2006/relationships/hyperlink" Target="http://data.aade.gr/eli/pri/law/2008/01/29/3634" TargetMode="External" /><Relationship Id="rId97" Type="http://schemas.openxmlformats.org/officeDocument/2006/relationships/hyperlink" Target="http://data.aade.gr/eli/pri/law/2007/06/28/3583" TargetMode="External" /><Relationship Id="rId98" Type="http://schemas.openxmlformats.org/officeDocument/2006/relationships/hyperlink" Target="http://data.aade.gr/eli/pri/law/2006/08/07/3483" TargetMode="External" /><Relationship Id="rId99" Type="http://schemas.openxmlformats.org/officeDocument/2006/relationships/hyperlink" Target="http://data.aade.gr/eli/pri/law/2018/12/18/458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