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rStyle w:val="Hyperlink"/>
          <w:b/>
          <w:bCs/>
          <w:color w:val="000000"/>
          <w:sz w:val="20"/>
          <w:szCs w:val="20"/>
          <w:u w:val="none" w:color="0000EE"/>
          <w:vertAlign w:val="superscript"/>
          <w:lang w:val="el" w:eastAsia="el"/>
        </w:rPr>
        <w:footnoteReference w:id="13"/>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250.000.000 ευρώ. Κατά τα πέντε (5) πρώτα έτη ένταξης στο καθεστώς αναστολής καταβολής του ΦΠΑ κατά την εισαγωγή, το ανωτέρω όριο προσδιορίζεται σε 100.000.000 ευρώ ετησίως.</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Ένωσης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b/>
          <w:bCs/>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b/>
          <w:bCs/>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b/>
          <w:bCs/>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b/>
          <w:bCs/>
          <w:lang w:val="el" w:eastAsia="el"/>
        </w:rPr>
        <w:t>(αα) η άδεια της ανωτέρω περίπτωσης δ` ανακαλείται,</w:t>
      </w:r>
    </w:p>
    <w:p>
      <w:pPr>
        <w:spacing w:before="240" w:after="240"/>
        <w:rPr>
          <w:lang w:val="el" w:eastAsia="el"/>
        </w:rPr>
      </w:pPr>
      <w:r>
        <w:rPr>
          <w:b/>
          <w:bCs/>
          <w:lang w:val="el" w:eastAsia="el"/>
        </w:rPr>
        <w:t>(ββ)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Ειδικά για τις αποθήκες τελωνειακής αποταμίευσης στις οποίες κατέχονται ενεργειακά προϊόντα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 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9"/>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
      </w:r>
      <w:r>
        <w:rPr>
          <w:rStyle w:val="Hyperlink"/>
          <w:b/>
          <w:bCs/>
          <w:color w:val="000000"/>
          <w:sz w:val="20"/>
          <w:szCs w:val="20"/>
          <w:u w:val="none" w:color="0000EE"/>
          <w:vertAlign w:val="superscript"/>
          <w:lang w:val="el" w:eastAsia="el"/>
        </w:rPr>
        <w:footnoteReference w:id="21"/>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α) Επιχειρήσεις ναυπήγησης και επισκευής πλοίων δύνανται να λειτουργούν ως Ελεύθερα Τελωνειακά Συγκροτήματα με τους όρους και προϋποθέσεις που καθορίζονται με απόφαση του Γενικού Γραμματέα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Γενικού Γραμματέα Δημοσίων Εσόδων καθορίζεται η διαδικασία για την τροποποίηση και επέκταση των λειτουργούντων στην Ελλάδα Ελεύθερων Τελωνειακών Συγκροτημάτων, Ελεύθερων Τελωνειακών Χώρων και Χώρων Τελωνειακής Επίβλεψης.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5"/>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8"/>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9"/>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0"/>
      </w:r>
      <w:r>
        <w:rPr>
          <w:rStyle w:val="Hyperlink"/>
          <w:b/>
          <w:bCs/>
          <w:color w:val="000000"/>
          <w:sz w:val="20"/>
          <w:szCs w:val="20"/>
          <w:u w:val="none" w:color="0000EE"/>
          <w:vertAlign w:val="superscript"/>
          <w:lang w:val="el" w:eastAsia="el"/>
        </w:rPr>
        <w:footnoteReference w:id="31"/>
      </w:r>
      <w:r>
        <w:rPr>
          <w:b/>
          <w:bCs/>
          <w:lang w:val="el" w:eastAsia="el"/>
        </w:rPr>
        <w:t xml:space="preserve">Άρθρο 53Α </w:t>
      </w:r>
    </w:p>
    <w:p>
      <w:pPr>
        <w:pStyle w:val="Heading6"/>
        <w:spacing w:before="240" w:after="240"/>
        <w:rPr>
          <w:lang w:val="el" w:eastAsia="el"/>
        </w:rPr>
      </w:pPr>
      <w:r>
        <w:rPr>
          <w:b/>
          <w:bCs/>
          <w:lang w:val="el" w:eastAsia="el"/>
        </w:rPr>
        <w:t>Επιβολή Φόρου Κατανάλωσης-Βάση Υπολογισμού και Συντελεστές Φόρου-Βεβαίωση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Επιβάλλεται φόρος κατανάλωσης στα εισαγόμενα από τρίτες χώρες, προερχόμενα από άλλα Κράτη-Μέλη της Ευρωπαϊκής Ένωσης ή εγχωρίως παραγόμενα προϊόντα,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υγρά αναπλήρωσης, τα οποία περιέχονται στα ηλεκτρονικά τσιγάρα του κωδικού Συνδυασμένης Ονοματολογίας 85437090 ή σε ειδικούς περιέκτες επανα- πλήρωσης ή φιαλίδια μίας χρήσης που προορίζονται να ενσωματωθούν σε συσκευές ηλεκτρονικού τσιγάρου, τα οποία κατατάσσονται στον κωδικό Σ.Ο. 38249092. Οι συσκευές ηλεκτρονικού τσιγάρου του κωδικού Σ.Ο. 85437090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καβουρδισμένο καφέ των κωδικών Σ.Ο. 0901 21 00 και 0901 22 00.</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μη καβουρδισμένο καφέ των κωδικών Σ.Ο. 0901 11 00 και 0901 12 00.</w:t>
      </w:r>
    </w:p>
    <w:p>
      <w:pPr>
        <w:pStyle w:val="StructureList1"/>
        <w:spacing w:before="120" w:after="0"/>
        <w:rPr>
          <w:lang w:val="el" w:eastAsia="el"/>
        </w:rPr>
      </w:pPr>
      <w:r>
        <w:rPr>
          <w:b/>
          <w:bCs/>
          <w:lang w:val="el" w:eastAsia="el"/>
        </w:rPr>
        <w:t>δ)</w:t>
      </w:r>
      <w:r>
        <w:rPr>
          <w:b/>
          <w:bCs/>
          <w:lang w:val="en" w:eastAsia="en"/>
        </w:rPr>
        <w:tab/>
      </w:r>
      <w:r>
        <w:rPr>
          <w:b/>
          <w:bCs/>
          <w:lang w:val="el" w:eastAsia="el"/>
        </w:rPr>
        <w:t>Στο στιγμιαίο καφέ του κωδικού Σ.Ο. ΕΧ 2101 11 00.</w:t>
      </w:r>
    </w:p>
    <w:p>
      <w:pPr>
        <w:pStyle w:val="StructureList1"/>
        <w:spacing w:before="120" w:after="0"/>
        <w:rPr>
          <w:lang w:val="el" w:eastAsia="el"/>
        </w:rPr>
      </w:pPr>
      <w:r>
        <w:rPr>
          <w:b/>
          <w:bCs/>
          <w:lang w:val="el" w:eastAsia="el"/>
        </w:rPr>
        <w:t>ε)</w:t>
      </w:r>
      <w:r>
        <w:rPr>
          <w:b/>
          <w:bCs/>
          <w:lang w:val="en" w:eastAsia="en"/>
        </w:rPr>
        <w:tab/>
      </w:r>
      <w:r>
        <w:rPr>
          <w:b/>
          <w:bCs/>
          <w:lang w:val="el" w:eastAsia="el"/>
        </w:rPr>
        <w:t>Στα παρασκευάσματα με βάση τα εκχυλίσματα, αποστάγματα ή συμπυκνώματα του καφέ ή με βάση τον καφέ των κωδικών Σ.Ο. EX 2101 12 92 και 2101 12 98.</w:t>
      </w:r>
    </w:p>
    <w:p>
      <w:pPr>
        <w:pStyle w:val="StructureList1"/>
        <w:spacing w:before="120" w:after="0"/>
        <w:rPr>
          <w:lang w:val="el" w:eastAsia="el"/>
        </w:rPr>
      </w:pPr>
      <w:r>
        <w:rPr>
          <w:b/>
          <w:bCs/>
          <w:lang w:val="el" w:eastAsia="el"/>
        </w:rPr>
        <w:t>στ)</w:t>
      </w:r>
      <w:r>
        <w:rPr>
          <w:b/>
          <w:bCs/>
          <w:lang w:val="en" w:eastAsia="en"/>
        </w:rPr>
        <w:tab/>
      </w:r>
      <w:r>
        <w:rPr>
          <w:b/>
          <w:bCs/>
          <w:lang w:val="el" w:eastAsia="el"/>
        </w:rPr>
        <w:t>στο μείγμα καπνού που περιέχεται στο ηλεκτρικά θερμαινόμενο προϊόν καπνού.</w:t>
      </w:r>
    </w:p>
    <w:p>
      <w:pPr>
        <w:pStyle w:val="MainText"/>
        <w:spacing w:before="120" w:after="0"/>
        <w:rPr>
          <w:lang w:val="el" w:eastAsia="el"/>
        </w:rPr>
      </w:pPr>
      <w:r>
        <w:rPr>
          <w:b/>
          <w:bCs/>
          <w:lang w:val="el" w:eastAsia="el"/>
        </w:rPr>
        <w:t>2.</w:t>
      </w:r>
      <w:r>
        <w:rPr>
          <w:b/>
          <w:bCs/>
          <w:lang w:val="el" w:eastAsia="el"/>
        </w:rPr>
        <w:t xml:space="preserve"> Οι συντελεστές φόρου κατανάλωσης που επιβάλλονται στα προϊόντα της παραγράφου 1 του παρόντος άρθρου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της περίπτωσης α`, δέκα λεπτά (0,10) ανά χιλιοστόλιτρο (ml)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προϊόντα της περίπτωσης β`, τρία (3) ευρώ ανά κιλό καθαρού βάρους.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προϊόντα της περίπτωσης γ`, δύο (2) ευρώ ανά κιλό καθαρού βάρους.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προϊόντα της περίπτωσης δ`, τέσσερα (4) ευρώ ανά κιλό καθαρού βάρους.</w:t>
      </w:r>
    </w:p>
    <w:p>
      <w:pPr>
        <w:pStyle w:val="StructureList1"/>
        <w:spacing w:before="120" w:after="0"/>
        <w:rPr>
          <w:lang w:val="el" w:eastAsia="el"/>
        </w:rPr>
      </w:pPr>
      <w:r>
        <w:rPr>
          <w:b/>
          <w:bCs/>
          <w:lang w:val="el" w:eastAsia="el"/>
        </w:rPr>
        <w:t>ε)</w:t>
      </w:r>
      <w:r>
        <w:rPr>
          <w:b/>
          <w:bCs/>
          <w:lang w:val="en" w:eastAsia="en"/>
        </w:rPr>
        <w:tab/>
      </w:r>
      <w:r>
        <w:rPr>
          <w:b/>
          <w:bCs/>
          <w:lang w:val="el" w:eastAsia="el"/>
        </w:rPr>
        <w:t>Γ ια τα προϊόντα της περίπτωσης ε`,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προϊόντα της περίπτωσης στ`, εκατόν πενήντα έξι ευρώ και εβδομήντα λεπτά (156,70 ευρώ) ανά χιλιόγραμμο καθαρού βάρους μείγματος καπνού του προϊόντος.</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επαναπληρώσιμα με περιέκτες μίας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b/>
          <w:bCs/>
          <w:lang w:val="el" w:eastAsia="el"/>
        </w:rPr>
        <w:t>γ)</w:t>
      </w:r>
      <w:r>
        <w:rPr>
          <w:b/>
          <w:bCs/>
          <w:lang w:val="en" w:eastAsia="en"/>
        </w:rPr>
        <w:tab/>
      </w:r>
      <w:r>
        <w:rPr>
          <w:b/>
          <w:bCs/>
          <w:lang w:val="el" w:eastAsia="el"/>
        </w:rPr>
        <w:t>Ως «παραγωγή καφέ», δεν νοείται η φρύξη (καβούρντισμα), η άλεση και η συσκευασία του τελικού προϊόντος.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Ως «εγκεκριμένος αποθηκευτής προϊόντων φόρου κατανάλωσης»: το φυσικό ή νομικό πρόσωπο που πα- 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b/>
          <w:bCs/>
          <w:lang w:val="el" w:eastAsia="el"/>
        </w:rPr>
        <w:t>ε)</w:t>
      </w:r>
      <w:r>
        <w:rPr>
          <w:b/>
          <w:bCs/>
          <w:lang w:val="en" w:eastAsia="en"/>
        </w:rPr>
        <w:tab/>
      </w:r>
      <w:r>
        <w:rPr>
          <w:b/>
          <w:bCs/>
          <w:lang w:val="el" w:eastAsia="el"/>
        </w:rPr>
        <w:t>ως «ηλεκτρικά θερμαινόμενο προϊόν καπνού»: το προϊόν καπνού σε μορφή κυλίνδρου που αποτελείται από κοινό φίλτρο, φίλτρο αναδιπλωμένης πολυμερικής μεμβράνης, κοίλο κύλινδρο και μικρή στήλη που περιέχει αναδιπλωμένο φύλλο αναγεννημένου καπνού με τρόπο ώστε να σχηματίζονται πρισματοειδείς αυλοί κατά μήκος του, συσκευασμένο σε τσιγαρόχαρτο, το οποίο προορίζεται για κάπνισμα με τη χρήση μιας ειδικής συσκευής θέρμανσης από την οποία παράγεται αερόλυμα (καπνός).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StructureList1"/>
        <w:spacing w:before="120" w:after="0"/>
        <w:rPr>
          <w:lang w:val="el" w:eastAsia="el"/>
        </w:rPr>
      </w:pPr>
      <w:r>
        <w:rPr>
          <w:b/>
          <w:bCs/>
          <w:lang w:val="el" w:eastAsia="el"/>
        </w:rPr>
        <w:t>ιβ)</w:t>
      </w:r>
      <w:r>
        <w:rPr>
          <w:b/>
          <w:bCs/>
          <w:lang w:val="en" w:eastAsia="en"/>
        </w:rPr>
        <w:tab/>
      </w:r>
      <w:r>
        <w:rPr>
          <w:b/>
          <w:bCs/>
          <w:lang w:val="el" w:eastAsia="el"/>
        </w:rPr>
        <w:t>«Σημείο Κατανάλωσης φυσικού αερίου»: Η εγκατάσταση καταναλωτή φυσικού αερίου στην οποία παραδίδεται φυσικό αέριο για τελική χρήση.</w:t>
      </w:r>
    </w:p>
    <w:p>
      <w:pPr>
        <w:pStyle w:val="StructureList1"/>
        <w:spacing w:before="120" w:after="0"/>
        <w:rPr>
          <w:lang w:val="el" w:eastAsia="el"/>
        </w:rPr>
      </w:pPr>
      <w:r>
        <w:rPr>
          <w:b/>
          <w:bCs/>
          <w:lang w:val="el" w:eastAsia="el"/>
        </w:rPr>
        <w:t>ιγ)</w:t>
      </w:r>
      <w:r>
        <w:rPr>
          <w:b/>
          <w:bCs/>
          <w:lang w:val="en" w:eastAsia="en"/>
        </w:rPr>
        <w:tab/>
      </w:r>
      <w:r>
        <w:rPr>
          <w:b/>
          <w:bCs/>
          <w:lang w:val="el" w:eastAsia="el"/>
        </w:rPr>
        <w:t>«Διανομέας ή Αναδιανομέας φυσικού αερίου» είναι:</w:t>
      </w:r>
    </w:p>
    <w:p>
      <w:pPr>
        <w:spacing w:before="240" w:after="240"/>
        <w:rPr>
          <w:lang w:val="el" w:eastAsia="el"/>
        </w:rPr>
      </w:pPr>
      <w:r>
        <w:rPr>
          <w:b/>
          <w:bCs/>
          <w:lang w:val="el" w:eastAsia="el"/>
        </w:rPr>
        <w:t>αα. ο Προμηθευτής φυσικού αερίου, κατά την έννοια της περίπτωσης κβ΄ της παρ. 2 του άρθρου 2 του ν. 4001/ 2011 (Α΄ 179), για την ποσότητα φυσικού αερίου που προμηθεύει σε Σημείο Κατανάλωσης φυσικού αερίου,</w:t>
      </w:r>
    </w:p>
    <w:p>
      <w:pPr>
        <w:spacing w:before="240" w:after="240"/>
        <w:rPr>
          <w:lang w:val="el" w:eastAsia="el"/>
        </w:rPr>
      </w:pPr>
      <w:r>
        <w:rPr>
          <w:b/>
          <w:bCs/>
          <w:lang w:val="el" w:eastAsia="el"/>
        </w:rPr>
        <w:t>ββ. ο Τελικός Πελάτης φυσικού αερίου, κατά την έννοια της περίπτωσης ιστ΄ της παρ. 1 του άρθρου 2 του ν. 4001/2011, για την ποσότητα που καταναλώνει και την οποία προμηθεύεται αποκλειστικά για δική του χρήση σε σημείο διαφορετικό από το Σημείο Κατανάλωσης φυσικού αερίου.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rStyle w:val="Hyperlink"/>
          <w:b/>
          <w:bCs/>
          <w:color w:val="000000"/>
          <w:sz w:val="20"/>
          <w:szCs w:val="20"/>
          <w:u w:val="none" w:color="0000EE"/>
          <w:vertAlign w:val="superscript"/>
          <w:lang w:val="el" w:eastAsia="el"/>
        </w:rPr>
        <w:footnoteReference w:id="35"/>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7"/>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9"/>
      </w:r>
      <w:r>
        <w:rPr>
          <w:b/>
          <w:bCs/>
          <w:lang w:val="el" w:eastAsia="el"/>
        </w:rPr>
        <w:t>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1"/>
      </w:r>
      <w:r>
        <w:rPr>
          <w:rStyle w:val="Hyperlink"/>
          <w:b/>
          <w:bCs/>
          <w:color w:val="000000"/>
          <w:sz w:val="20"/>
          <w:szCs w:val="20"/>
          <w:u w:val="none" w:color="0000EE"/>
          <w:vertAlign w:val="superscript"/>
          <w:lang w:val="el" w:eastAsia="el"/>
        </w:rPr>
        <w:footnoteReference w:id="42"/>
      </w:r>
      <w:r>
        <w:rPr>
          <w:b/>
          <w:bCs/>
          <w:lang w:val="el" w:eastAsia="el"/>
        </w:rPr>
        <w:t>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spacing w:before="240" w:after="240"/>
        <w:rPr>
          <w:lang w:val="el" w:eastAsia="el"/>
        </w:rPr>
      </w:pPr>
      <w:r>
        <w:rPr>
          <w:b/>
          <w:bCs/>
          <w:lang w:val="el" w:eastAsia="el"/>
        </w:rPr>
        <w:t>Ειδικά για τις φορολογικές αποθήκες ενεργειακών προϊόντων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Ανάπτυξης, Ανταγωνιστικότητας και Ναυτιλίας και Υποδομών, Μεταφορών και Δικτύων καθορίζονται οι προδιαγραφές και ρυθμίζονται τα θέματα εγκατάστασης των συστημάτων ελέγχου εισροών-εκροών,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3"/>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44"/>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45"/>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6"/>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7"/>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8"/>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9"/>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2"/>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3"/>
      </w:r>
      <w:r>
        <w:rPr>
          <w:rStyle w:val="Hyperlink"/>
          <w:b/>
          <w:bCs/>
          <w:color w:val="000000"/>
          <w:sz w:val="20"/>
          <w:szCs w:val="20"/>
          <w:u w:val="none" w:color="0000EE"/>
          <w:vertAlign w:val="superscript"/>
          <w:lang w:val="el" w:eastAsia="el"/>
        </w:rPr>
        <w:footnoteReference w:id="54"/>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12 έως 2710 19 68, 2710 20 έως 2710 20 39 και 2710 20 90 (μόνο για προϊόντα των οποίων λιγότερο από το ενενήντα τοις εκατό (90%)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Εντούτοις, για τα προϊόντα που υπάγονται στους κωδικούς της Σ.Ο. 2710 12 21,2710 12 25, 2710 19 29 και 2710 20 90 (μόνο για προϊόντα των οποίων λιγότερο από το ενενήντα τοις εκατό (90 %)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spacing w:before="240" w:after="240"/>
        <w:rPr>
          <w:lang w:val="el" w:eastAsia="el"/>
        </w:rPr>
      </w:pPr>
      <w:r>
        <w:rPr>
          <w:b/>
          <w:bCs/>
          <w:lang w:val="el" w:eastAsia="el"/>
        </w:rPr>
        <w:t>4 Οι τίτλοι και κωδικοί αριθμοί της Σ.Ο. που περιλαμβάνονται στο άρθρο αυτό, αναφέρονται στο κείμενο της Σ.Ο. του Εκτελεστικού Κανονισμού (ΕΕ) 2017/1925 της Επιτροπής, της 12ης Οκτωβρίου 2017 (ΕΕ L282/1 της 31.10.2017), που τροποποιεί το Παράρτημα Ι του Κανονισμού (ΕΟΚ) 2658/87 του Συμβουλίου της 23ης Ιουλίου 1987 για τη δασμολογική και στατιστική ονοματολογία και το κοινό δασμολόγιο (EE L 256/1 της 7.9.1987).</w:t>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57"/>
      </w:r>
      <w:r>
        <w:rPr>
          <w:rStyle w:val="Hyperlink"/>
          <w:b/>
          <w:bCs/>
          <w:color w:val="000000"/>
          <w:sz w:val="20"/>
          <w:szCs w:val="20"/>
          <w:u w:val="none" w:color="0000EE"/>
          <w:vertAlign w:val="superscript"/>
          <w:lang w:val="el" w:eastAsia="el"/>
        </w:rPr>
        <w:footnoteReference w:id="58"/>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r>
        <w:rPr>
          <w:rStyle w:val="Hyperlink"/>
          <w:b/>
          <w:bCs/>
          <w:color w:val="000000"/>
          <w:sz w:val="20"/>
          <w:szCs w:val="20"/>
          <w:u w:val="none" w:color="0000EE"/>
          <w:vertAlign w:val="superscript"/>
          <w:lang w:val="el" w:eastAsia="el"/>
        </w:rPr>
        <w:footnoteReference w:id="65"/>
      </w:r>
      <w:r>
        <w:rPr>
          <w:rStyle w:val="Hyperlink"/>
          <w:b/>
          <w:bCs/>
          <w:color w:val="000000"/>
          <w:sz w:val="20"/>
          <w:szCs w:val="20"/>
          <w:u w:val="none" w:color="0000EE"/>
          <w:vertAlign w:val="superscript"/>
          <w:lang w:val="el" w:eastAsia="el"/>
        </w:rPr>
        <w:footnoteReference w:id="66"/>
      </w:r>
      <w:r>
        <w:rPr>
          <w:rStyle w:val="Hyperlink"/>
          <w:b/>
          <w:bCs/>
          <w:color w:val="000000"/>
          <w:sz w:val="20"/>
          <w:szCs w:val="20"/>
          <w:u w:val="none" w:color="0000EE"/>
          <w:vertAlign w:val="superscript"/>
          <w:lang w:val="el" w:eastAsia="el"/>
        </w:rPr>
        <w:footnoteReference w:id="67"/>
      </w:r>
      <w:r>
        <w:rPr>
          <w:rStyle w:val="Hyperlink"/>
          <w:b/>
          <w:bCs/>
          <w:color w:val="000000"/>
          <w:sz w:val="20"/>
          <w:szCs w:val="20"/>
          <w:u w:val="none" w:color="0000EE"/>
          <w:vertAlign w:val="superscript"/>
          <w:lang w:val="el" w:eastAsia="el"/>
        </w:rPr>
        <w:footnoteReference w:id="68"/>
      </w:r>
      <w:r>
        <w:rPr>
          <w:rStyle w:val="Hyperlink"/>
          <w:b/>
          <w:bCs/>
          <w:color w:val="000000"/>
          <w:sz w:val="20"/>
          <w:szCs w:val="20"/>
          <w:u w:val="none" w:color="0000EE"/>
          <w:vertAlign w:val="superscript"/>
          <w:lang w:val="el" w:eastAsia="el"/>
        </w:rPr>
        <w:footnoteReference w:id="6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0"/>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95</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95, αλλά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12 51 και 2710 12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62 έως 2710 19 68 και 2710 20 31 έως 2710 20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1"/>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Άλλα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2"/>
            </w:r>
            <w:r>
              <w:rPr>
                <w:b w:val="0"/>
                <w:bCs w:val="0"/>
                <w:i w:val="0"/>
                <w:iCs w:val="0"/>
                <w:smallCaps w:val="0"/>
                <w:color w:val="000000"/>
                <w:lang w:val="el" w:eastAsia="el"/>
              </w:rPr>
              <w:t xml:space="preserve"> Κστ) Βιοντίζελ και μείνματα αυτού, όπως ορίζονται με την ΚΥΑ (Α.Χ.Σ.) 52/2016, που χρησιμοποιούνται ως καύσιμα κινητήρων, είτε αυτούσια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3826 00 10 3826 00 90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73"/>
      </w:r>
      <w:r>
        <w:rPr>
          <w:rStyle w:val="Hyperlink"/>
          <w:b/>
          <w:bCs/>
          <w:color w:val="000000"/>
          <w:sz w:val="20"/>
          <w:szCs w:val="20"/>
          <w:u w:val="none" w:color="0000EE"/>
          <w:vertAlign w:val="superscript"/>
          <w:lang w:val="el" w:eastAsia="el"/>
        </w:rPr>
        <w:footnoteReference w:id="74"/>
      </w:r>
      <w:r>
        <w:rPr>
          <w:rStyle w:val="Hyperlink"/>
          <w:b/>
          <w:bCs/>
          <w:color w:val="000000"/>
          <w:sz w:val="20"/>
          <w:szCs w:val="20"/>
          <w:u w:val="none" w:color="0000EE"/>
          <w:vertAlign w:val="superscript"/>
          <w:lang w:val="el" w:eastAsia="el"/>
        </w:rPr>
        <w:footnoteReference w:id="75"/>
      </w:r>
      <w:r>
        <w:rPr>
          <w:rStyle w:val="Hyperlink"/>
          <w:b/>
          <w:bCs/>
          <w:color w:val="000000"/>
          <w:sz w:val="20"/>
          <w:szCs w:val="20"/>
          <w:u w:val="none" w:color="0000EE"/>
          <w:vertAlign w:val="superscript"/>
          <w:lang w:val="el" w:eastAsia="el"/>
        </w:rPr>
        <w:footnoteReference w:id="76"/>
      </w:r>
      <w:r>
        <w:rPr>
          <w:rStyle w:val="Hyperlink"/>
          <w:b/>
          <w:bCs/>
          <w:color w:val="000000"/>
          <w:sz w:val="20"/>
          <w:szCs w:val="20"/>
          <w:u w:val="none" w:color="0000EE"/>
          <w:vertAlign w:val="superscript"/>
          <w:lang w:val="el" w:eastAsia="el"/>
        </w:rPr>
        <w:footnoteReference w:id="77"/>
      </w:r>
      <w:r>
        <w:rPr>
          <w:rStyle w:val="Hyperlink"/>
          <w:b/>
          <w:bCs/>
          <w:color w:val="000000"/>
          <w:sz w:val="20"/>
          <w:szCs w:val="20"/>
          <w:u w:val="none" w:color="0000EE"/>
          <w:vertAlign w:val="superscript"/>
          <w:lang w:val="el" w:eastAsia="el"/>
        </w:rPr>
        <w:footnoteReference w:id="78"/>
      </w:r>
      <w:r>
        <w:rPr>
          <w:rStyle w:val="Hyperlink"/>
          <w:b/>
          <w:bCs/>
          <w:color w:val="000000"/>
          <w:sz w:val="20"/>
          <w:szCs w:val="20"/>
          <w:u w:val="none" w:color="0000EE"/>
          <w:vertAlign w:val="superscript"/>
          <w:lang w:val="el" w:eastAsia="el"/>
        </w:rPr>
        <w:footnoteReference w:id="79"/>
      </w: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82"/>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83"/>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84"/>
      </w:r>
      <w:r>
        <w:rPr>
          <w:rStyle w:val="Hyperlink"/>
          <w:b/>
          <w:bCs/>
          <w:color w:val="000000"/>
          <w:sz w:val="20"/>
          <w:szCs w:val="20"/>
          <w:u w:val="none" w:color="0000EE"/>
          <w:vertAlign w:val="superscript"/>
          <w:lang w:val="el" w:eastAsia="el"/>
        </w:rPr>
        <w:footnoteReference w:id="85"/>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και Ενέργειας προσδιορίζονται τα στοιχεία που διαβιβάζονται στις αρμόδιες Ελεγκτικές Τελωνειακές Υπηρεσίες, καθώς και η συχνότητα και ο τρόπος διαβίβασής τους, στο πλαίσιο επιβολής Ειδικού Φόρου Κατανάλωσης (Ε.Φ.Κ.) στο φυσικό αέριο..</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86"/>
      </w:r>
      <w:r>
        <w:rPr>
          <w:b/>
          <w:bCs/>
          <w:lang w:val="el" w:eastAsia="el"/>
        </w:rPr>
        <w:t>Εκτός από τις διατάξεις του παρόντος Κώδικα που καθορίζουν τη γενεσιουργό αιτία και τους όρους καταβολής του φόρου, ο Ειδικός Φόρος Κατανάλωσης (Ε.Φ.Κ.) επί των ενεργειακών προϊόντων καθίσταται απαιτητός και κατά την επέλευση μίας εκ των γενεσιουργών αιτιών που αναφέρονται στις παραγράφους 4, 5 και 6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87"/>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88"/>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89"/>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91"/>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92"/>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43, 2710 19 46 και 2710 20 11, 2710 20 15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43, 2710 19 46 και 2710 20 11, 2710 20 15, καθώς και το φωτιστικό πετρέλαιο (κηροζίνη), το ελαφρύ πετρέλαιο (WHITE SPIRIT) και τα άλλα ελαφρά λάδια των περιπτώσεων ιβ΄, κδ΄ και κε΄, αντιστοίχως,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93"/>
      </w:r>
      <w:r>
        <w:rPr>
          <w:rStyle w:val="Hyperlink"/>
          <w:b/>
          <w:bCs/>
          <w:color w:val="000000"/>
          <w:sz w:val="20"/>
          <w:szCs w:val="20"/>
          <w:u w:val="none" w:color="0000EE"/>
          <w:vertAlign w:val="superscript"/>
          <w:lang w:val="el" w:eastAsia="el"/>
        </w:rPr>
        <w:footnoteReference w:id="94"/>
      </w:r>
      <w:r>
        <w:rPr>
          <w:b/>
          <w:bCs/>
          <w:lang w:val="el" w:eastAsia="el"/>
        </w:rPr>
        <w:t>Ο λιθάνθρακας, λιγνίτης και οπτάνθρακας (κοκ) της Σ.Ο. 2701, 2702 και 2704 και το φυσικό αέριο της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95"/>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96"/>
      </w:r>
      <w:r>
        <w:rPr>
          <w:rStyle w:val="Hyperlink"/>
          <w:b/>
          <w:bCs/>
          <w:color w:val="000000"/>
          <w:sz w:val="20"/>
          <w:szCs w:val="20"/>
          <w:u w:val="none" w:color="0000EE"/>
          <w:vertAlign w:val="superscript"/>
          <w:lang w:val="el" w:eastAsia="el"/>
        </w:rPr>
        <w:footnoteReference w:id="97"/>
      </w:r>
      <w:r>
        <w:rPr>
          <w:b/>
          <w:bCs/>
          <w:lang w:val="el" w:eastAsia="el"/>
        </w:rPr>
        <w:t xml:space="preserve"> Ο λιθάνθρακας, λιγνίτης και οπτάνθρακας (κοκ) του κωδικού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98"/>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spacing w:before="240" w:after="240"/>
        <w:rPr>
          <w:lang w:val="el" w:eastAsia="el"/>
        </w:rPr>
      </w:pPr>
      <w:r>
        <w:rPr>
          <w:rStyle w:val="Hyperlink"/>
          <w:b/>
          <w:bCs/>
          <w:color w:val="000000"/>
          <w:sz w:val="20"/>
          <w:szCs w:val="20"/>
          <w:u w:val="none" w:color="0000EE"/>
          <w:vertAlign w:val="superscript"/>
          <w:lang w:val="el" w:eastAsia="el"/>
        </w:rPr>
        <w:footnoteReference w:id="99"/>
      </w:r>
      <w:r>
        <w:rPr>
          <w:rStyle w:val="Hyperlink"/>
          <w:b/>
          <w:bCs/>
          <w:color w:val="000000"/>
          <w:sz w:val="20"/>
          <w:szCs w:val="20"/>
          <w:u w:val="none" w:color="0000EE"/>
          <w:vertAlign w:val="superscript"/>
          <w:lang w:val="el" w:eastAsia="el"/>
        </w:rPr>
        <w:footnoteReference w:id="100"/>
      </w:r>
      <w:r>
        <w:rPr>
          <w:b/>
          <w:bCs/>
          <w:lang w:val="el" w:eastAsia="el"/>
        </w:rPr>
        <w:t>ιβ)...</w:t>
      </w:r>
    </w:p>
    <w:p>
      <w:pPr>
        <w:spacing w:before="240" w:after="240"/>
        <w:rPr>
          <w:lang w:val="el" w:eastAsia="el"/>
        </w:rPr>
      </w:pPr>
      <w:r>
        <w:rPr>
          <w:b/>
          <w:bCs/>
          <w:lang w:val="el" w:eastAsia="el"/>
        </w:rPr>
        <w:t>Με κοινή απόφαση των Υπουργών Οικονομικών και Περιβάλλοντος και Ενέργειας καθορίζονται οι ειδικότεροι όροι, οι προϋποθέσεις, οι διαδικασίες, οι απαιτούμενοι έλεγχοι, καθώς και κάθε άλλη αναγκαία λεπτομέρεια για την απαλλαγή από τον ειδικό φόρο κατανάλωσης του φυσικού αερίου, σύμφωνα με την περίπτωση αυτή.</w:t>
      </w:r>
    </w:p>
    <w:p>
      <w:pPr>
        <w:spacing w:before="240" w:after="240"/>
        <w:rPr>
          <w:lang w:val="el" w:eastAsia="el"/>
        </w:rPr>
      </w:pPr>
      <w:r>
        <w:rPr>
          <w:b/>
          <w:bCs/>
          <w:lang w:val="el" w:eastAsia="el"/>
        </w:rPr>
        <w:t>Εξαιρούνται της απαλλαγής οι επιχειρήσεις με ληξιπρόθεσμες οφειλές προς τους φορείς κοινωνικής ασφάλισης και τους εργαζομένους.</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rStyle w:val="Hyperlink"/>
          <w:b/>
          <w:bCs/>
          <w:color w:val="000000"/>
          <w:sz w:val="20"/>
          <w:szCs w:val="20"/>
          <w:u w:val="none" w:color="0000EE"/>
          <w:vertAlign w:val="superscript"/>
          <w:lang w:val="el" w:eastAsia="el"/>
        </w:rPr>
        <w:footnoteReference w:id="10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8"/>
        <w:gridCol w:w="1629"/>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και δασικών συνεταιρισμών άρθρου 5 του ν.827/1978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και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104"/>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5"/>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6"/>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7"/>
            </w:r>
            <w:r>
              <w:rPr>
                <w:rStyle w:val="Hyperlink"/>
                <w:b w:val="0"/>
                <w:bCs w:val="0"/>
                <w:i w:val="0"/>
                <w:iCs w:val="0"/>
                <w:smallCaps w:val="0"/>
                <w:color w:val="000000"/>
                <w:sz w:val="20"/>
                <w:szCs w:val="20"/>
                <w:u w:val="none" w:color="0000EE"/>
                <w:vertAlign w:val="superscript"/>
                <w:lang w:val="el" w:eastAsia="el"/>
              </w:rPr>
              <w:footnoteReference w:id="108"/>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9"/>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0"/>
      </w:r>
      <w:r>
        <w:rPr>
          <w:rStyle w:val="Hyperlink"/>
          <w:b/>
          <w:bCs/>
          <w:color w:val="000000"/>
          <w:sz w:val="20"/>
          <w:szCs w:val="20"/>
          <w:u w:val="none" w:color="0000EE"/>
          <w:vertAlign w:val="superscript"/>
          <w:lang w:val="el" w:eastAsia="el"/>
        </w:rPr>
        <w:footnoteReference w:id="111"/>
      </w:r>
      <w:r>
        <w:rPr>
          <w:b/>
          <w:bCs/>
          <w:lang w:val="el" w:eastAsia="el"/>
        </w:rPr>
        <w:t>Για το πετρέλαιο εσωτερικής καύσης (DIESEL) των κωδικών της Σ.Ο. 2710 19 43 και 2710 20 11 της περίπτωσης στ΄ της παραγράφου 1 του Άρθρου 73,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εκατόν εικοσιπέντε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12"/>
      </w:r>
      <w:r>
        <w:rPr>
          <w:rStyle w:val="Hyperlink"/>
          <w:b/>
          <w:bCs/>
          <w:color w:val="000000"/>
          <w:sz w:val="20"/>
          <w:szCs w:val="20"/>
          <w:u w:val="none" w:color="0000EE"/>
          <w:vertAlign w:val="superscript"/>
          <w:lang w:val="el" w:eastAsia="el"/>
        </w:rPr>
        <w:footnoteReference w:id="113"/>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14"/>
      </w: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rStyle w:val="Hyperlink"/>
          <w:b/>
          <w:bCs/>
          <w:color w:val="000000"/>
          <w:sz w:val="20"/>
          <w:szCs w:val="20"/>
          <w:u w:val="none" w:color="0000EE"/>
          <w:vertAlign w:val="superscript"/>
          <w:lang w:val="el" w:eastAsia="el"/>
        </w:rPr>
        <w:footnoteReference w:id="117"/>
      </w: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8"/>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119"/>
      </w:r>
    </w:p>
    <w:p>
      <w:pPr>
        <w:spacing w:before="240" w:after="240"/>
        <w:rPr>
          <w:lang w:val="el" w:eastAsia="el"/>
        </w:rPr>
      </w:pPr>
      <w:r>
        <w:rPr>
          <w:rStyle w:val="Hyperlink"/>
          <w:b/>
          <w:bCs/>
          <w:color w:val="000000"/>
          <w:sz w:val="20"/>
          <w:szCs w:val="20"/>
          <w:u w:val="none" w:color="0000EE"/>
          <w:vertAlign w:val="superscript"/>
          <w:lang w:val="el" w:eastAsia="el"/>
        </w:rPr>
        <w:footnoteReference w:id="120"/>
      </w:r>
      <w:r>
        <w:rPr>
          <w:b/>
          <w:bCs/>
          <w:lang w:val="el" w:eastAsia="el"/>
        </w:rPr>
        <w:t>Με κοινή απόφαση του Υπουργού Περιβάλλοντος και Ενέργειας και του Διοικητή της Ανεξάρτητης Αρχής Δημοσίων Εσόδων (Α.Α.Δ.Ε.) καθορίζονται οι όροι, οι προϋποθέσεις, οι απαιτούμενοι έλεγχοι, καθώς και κάθε άλλη αναγκαία λεπτομέρεια για την απαλλαγή από τον Ε.Φ.Κ. του φυσικού αερίου που χρησιμοποιείται για την παραγωγή ηλεκτρικής ενέργειας, σύμφωνα με τις διατάξεις της περίπτωσης ζ` της παραγράφου 1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3"/>
      </w:r>
      <w:r>
        <w:rPr>
          <w:rStyle w:val="Hyperlink"/>
          <w:b/>
          <w:bCs/>
          <w:color w:val="000000"/>
          <w:sz w:val="20"/>
          <w:szCs w:val="20"/>
          <w:u w:val="none" w:color="0000EE"/>
          <w:vertAlign w:val="superscript"/>
          <w:lang w:val="el" w:eastAsia="el"/>
        </w:rPr>
        <w:footnoteReference w:id="124"/>
      </w: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25"/>
      </w: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8"/>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Οι όροι και οι προϋποθέσεις εφαρμογής των διατάξεων της παρούσας παραγράφου καθορίζονται με απόφαση του Γενικού Γραμματέα 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b/>
          <w:bCs/>
          <w:lang w:val="el" w:eastAsia="el"/>
        </w:rPr>
        <w:t>...</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9"/>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0"/>
      </w: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41"/>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2"/>
      </w:r>
      <w:r>
        <w:rPr>
          <w:b/>
          <w:bCs/>
          <w:lang w:val="el" w:eastAsia="el"/>
        </w:rPr>
        <w:t>...</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3"/>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44"/>
      </w:r>
      <w:r>
        <w:rPr>
          <w:rStyle w:val="Hyperlink"/>
          <w:b/>
          <w:bCs/>
          <w:color w:val="000000"/>
          <w:sz w:val="20"/>
          <w:szCs w:val="20"/>
          <w:u w:val="none" w:color="0000EE"/>
          <w:vertAlign w:val="superscript"/>
          <w:lang w:val="el" w:eastAsia="el"/>
        </w:rPr>
        <w:footnoteReference w:id="145"/>
      </w:r>
      <w:r>
        <w:rPr>
          <w:b/>
          <w:bCs/>
          <w:lang w:val="el" w:eastAsia="el"/>
        </w:rPr>
        <w:t>. Με αποφάσεις του Υπουργού Οικονομικών καθορίζονται οι ποσότητες, οι όροι και οι διατυπώσεις των απαλλαγών από τον ειδικό φόρο κατανάλωσης αιθυλικής αλκοόλης των παραγράφων 1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6"/>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7"/>
      </w: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rStyle w:val="Hyperlink"/>
          <w:b/>
          <w:bCs/>
          <w:color w:val="000000"/>
          <w:sz w:val="20"/>
          <w:szCs w:val="20"/>
          <w:u w:val="none" w:color="0000EE"/>
          <w:vertAlign w:val="superscript"/>
          <w:lang w:val="el" w:eastAsia="el"/>
        </w:rPr>
        <w:footnoteReference w:id="150"/>
      </w:r>
      <w:r>
        <w:rPr>
          <w:rStyle w:val="Hyperlink"/>
          <w:b/>
          <w:bCs/>
          <w:color w:val="000000"/>
          <w:sz w:val="20"/>
          <w:szCs w:val="20"/>
          <w:u w:val="none" w:color="0000EE"/>
          <w:vertAlign w:val="superscript"/>
          <w:lang w:val="el" w:eastAsia="el"/>
        </w:rPr>
        <w:footnoteReference w:id="151"/>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2"/>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55"/>
      </w:r>
      <w:r>
        <w:rPr>
          <w:rStyle w:val="Hyperlink"/>
          <w:b/>
          <w:bCs/>
          <w:color w:val="000000"/>
          <w:sz w:val="20"/>
          <w:szCs w:val="20"/>
          <w:u w:val="none" w:color="0000EE"/>
          <w:vertAlign w:val="superscript"/>
          <w:lang w:val="el" w:eastAsia="el"/>
        </w:rPr>
        <w:footnoteReference w:id="156"/>
      </w:r>
      <w:r>
        <w:rPr>
          <w:rStyle w:val="Hyperlink"/>
          <w:b/>
          <w:bCs/>
          <w:color w:val="000000"/>
          <w:sz w:val="20"/>
          <w:szCs w:val="20"/>
          <w:u w:val="none" w:color="0000EE"/>
          <w:vertAlign w:val="superscript"/>
          <w:lang w:val="el" w:eastAsia="el"/>
        </w:rPr>
        <w:footnoteReference w:id="157"/>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58"/>
      </w:r>
      <w:r>
        <w:rPr>
          <w:rStyle w:val="Hyperlink"/>
          <w:b/>
          <w:bCs/>
          <w:color w:val="000000"/>
          <w:sz w:val="20"/>
          <w:szCs w:val="20"/>
          <w:u w:val="none" w:color="0000EE"/>
          <w:vertAlign w:val="superscript"/>
          <w:lang w:val="el" w:eastAsia="el"/>
        </w:rPr>
        <w:footnoteReference w:id="159"/>
      </w:r>
      <w:r>
        <w:rPr>
          <w:rStyle w:val="Hyperlink"/>
          <w:b/>
          <w:bCs/>
          <w:color w:val="000000"/>
          <w:sz w:val="20"/>
          <w:szCs w:val="20"/>
          <w:u w:val="none" w:color="0000EE"/>
          <w:vertAlign w:val="superscript"/>
          <w:lang w:val="el" w:eastAsia="el"/>
        </w:rPr>
        <w:footnoteReference w:id="160"/>
      </w:r>
      <w:r>
        <w:rPr>
          <w:rStyle w:val="Hyperlink"/>
          <w:b/>
          <w:bCs/>
          <w:color w:val="000000"/>
          <w:sz w:val="20"/>
          <w:szCs w:val="20"/>
          <w:u w:val="none" w:color="0000EE"/>
          <w:vertAlign w:val="superscript"/>
          <w:lang w:val="el" w:eastAsia="el"/>
        </w:rPr>
        <w:footnoteReference w:id="161"/>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2"/>
      </w: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90,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3"/>
      </w: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 συντελεστής του Ε.Φ.Κ. που επιβάλλεται στα προϊόντα του άρθρου 92 ορίζεται σε είκοσι (20) ευρώ ανά εκατόλιτρο τελικού προϊόντος.</w:t>
      </w:r>
    </w:p>
    <w:p>
      <w:pPr>
        <w:pStyle w:val="MainText"/>
        <w:spacing w:before="120" w:after="0"/>
        <w:rPr>
          <w:lang w:val="el" w:eastAsia="el"/>
        </w:rPr>
      </w:pPr>
      <w:r>
        <w:rPr>
          <w:b/>
          <w:bCs/>
          <w:lang w:val="el" w:eastAsia="el"/>
        </w:rPr>
        <w:t>2.</w:t>
      </w:r>
      <w:r>
        <w:rPr>
          <w:b/>
          <w:bCs/>
          <w:lang w:val="el" w:eastAsia="el"/>
        </w:rPr>
        <w:t xml:space="preserve"> Απαλλάσσονται του Ε.Φ.Κ. τα προϊόντα του άρθρου 92, όταν χρησιμοποιούνται για την παραγωγή ξυδιού, σύμφωνα με τον ορισμό του κωδικού Σ.Ο. 22.09.</w:t>
      </w:r>
    </w:p>
    <w:p>
      <w:pPr>
        <w:spacing w:before="240" w:after="240"/>
        <w:rPr>
          <w:lang w:val="el" w:eastAsia="el"/>
        </w:rPr>
      </w:pPr>
      <w:r>
        <w:rPr>
          <w:b/>
          <w:bCs/>
          <w:lang w:val="el" w:eastAsia="el"/>
        </w:rPr>
        <w:t>Με απόφαση του Υπουργού Οικονομικών καθορίζονται οι όροι, οι διαδικασίες, καθώς και κάθε άλλη λεπτομέρεια για την εφαρμογή των διατάξεων της παρούσας παραγράφου.</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 οι όροι και οι διαδικασίες για τον έλεγχο και την εποπτεία των μονάδων παραγωγής, εμφιάλωσης και εμπορίας των προϊόντων του άρθρου 92 για φορολογικούς σκοπούς.</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4"/>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65"/>
      </w:r>
      <w:r>
        <w:rPr>
          <w:rStyle w:val="Hyperlink"/>
          <w:b/>
          <w:bCs/>
          <w:color w:val="000000"/>
          <w:sz w:val="20"/>
          <w:szCs w:val="20"/>
          <w:u w:val="none" w:color="0000EE"/>
          <w:vertAlign w:val="superscript"/>
          <w:lang w:val="el" w:eastAsia="el"/>
        </w:rPr>
        <w:footnoteReference w:id="166"/>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7"/>
      </w:r>
      <w:r>
        <w:rPr>
          <w:rStyle w:val="Hyperlink"/>
          <w:b/>
          <w:bCs/>
          <w:color w:val="000000"/>
          <w:sz w:val="20"/>
          <w:szCs w:val="20"/>
          <w:u w:val="none" w:color="0000EE"/>
          <w:vertAlign w:val="superscript"/>
          <w:lang w:val="el" w:eastAsia="el"/>
        </w:rPr>
        <w:footnoteReference w:id="168"/>
      </w:r>
      <w:r>
        <w:rPr>
          <w:rStyle w:val="Hyperlink"/>
          <w:b/>
          <w:bCs/>
          <w:color w:val="000000"/>
          <w:sz w:val="20"/>
          <w:szCs w:val="20"/>
          <w:u w:val="none" w:color="0000EE"/>
          <w:vertAlign w:val="superscript"/>
          <w:lang w:val="el" w:eastAsia="el"/>
        </w:rPr>
        <w:footnoteReference w:id="169"/>
      </w:r>
      <w:r>
        <w:rPr>
          <w:rStyle w:val="Hyperlink"/>
          <w:b/>
          <w:bCs/>
          <w:color w:val="000000"/>
          <w:sz w:val="20"/>
          <w:szCs w:val="20"/>
          <w:u w:val="none" w:color="0000EE"/>
          <w:vertAlign w:val="superscript"/>
          <w:lang w:val="el" w:eastAsia="el"/>
        </w:rPr>
        <w:footnoteReference w:id="170"/>
      </w:r>
      <w:r>
        <w:rPr>
          <w:rStyle w:val="Hyperlink"/>
          <w:b/>
          <w:bCs/>
          <w:color w:val="000000"/>
          <w:sz w:val="20"/>
          <w:szCs w:val="20"/>
          <w:u w:val="none" w:color="0000EE"/>
          <w:vertAlign w:val="superscript"/>
          <w:lang w:val="el" w:eastAsia="el"/>
        </w:rPr>
        <w:footnoteReference w:id="171"/>
      </w:r>
      <w:r>
        <w:rPr>
          <w:rStyle w:val="Hyperlink"/>
          <w:b/>
          <w:bCs/>
          <w:color w:val="000000"/>
          <w:sz w:val="20"/>
          <w:szCs w:val="20"/>
          <w:u w:val="none" w:color="0000EE"/>
          <w:vertAlign w:val="superscript"/>
          <w:lang w:val="el" w:eastAsia="el"/>
        </w:rPr>
        <w:footnoteReference w:id="172"/>
      </w:r>
      <w:r>
        <w:rPr>
          <w:rStyle w:val="Hyperlink"/>
          <w:b/>
          <w:bCs/>
          <w:color w:val="000000"/>
          <w:sz w:val="20"/>
          <w:szCs w:val="20"/>
          <w:u w:val="none" w:color="0000EE"/>
          <w:vertAlign w:val="superscript"/>
          <w:lang w:val="el" w:eastAsia="el"/>
        </w:rPr>
        <w:footnoteReference w:id="173"/>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4"/>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5"/>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76"/>
      </w:r>
      <w:r>
        <w:rPr>
          <w:b/>
          <w:bCs/>
          <w:lang w:val="el" w:eastAsia="el"/>
        </w:rPr>
        <w:t>α) Για την αποστολή σε άλλο κράτος-μέλος, παραλαβή από άλλο κράτος-μέλος, εισαγωγή, εξαγωγή καπνού,</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εισαγωγή βιομηχανοποιημένων καπνών και</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την κατασκευή, αποστολή, παραλαβή, εισαγωγή, εξαγωγή εξοπλισμού παραγωγής βιομηχανοποιημένων καπνών απαιτείται άδεια, η οποία εκδίδεται από την αρμόδια αρχή κατόπιν αίτησης του ενδιαφερομένου φυσικού ή νομικού προσώπου.</w:t>
      </w:r>
    </w:p>
    <w:p>
      <w:pPr>
        <w:spacing w:before="240" w:after="240"/>
        <w:rPr>
          <w:lang w:val="el" w:eastAsia="el"/>
        </w:rPr>
      </w:pPr>
      <w:r>
        <w:rPr>
          <w:b/>
          <w:bCs/>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αυτής, καθώς και κάθε άλλο σχετικό ζήτημα.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7"/>
      </w:r>
      <w:r>
        <w:rPr>
          <w:b/>
          <w:bCs/>
          <w:lang w:val="el" w:eastAsia="el"/>
        </w:rPr>
        <w:t xml:space="preserve">Άρθρο 100Β </w:t>
      </w:r>
    </w:p>
    <w:p>
      <w:pPr>
        <w:pStyle w:val="Heading6"/>
        <w:spacing w:before="240" w:after="240"/>
        <w:rPr>
          <w:lang w:val="el" w:eastAsia="el"/>
        </w:rPr>
      </w:pPr>
      <w:r>
        <w:rPr>
          <w:b/>
          <w:bCs/>
          <w:lang w:val="el" w:eastAsia="el"/>
        </w:rPr>
        <w:t>Ενιαίο κεντρικό μητρώο εφοδιαστικής αλυσίδας καπνού και βιομηχανοποιημένων καπνών (ΕΚ- ΜΕΑ)</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ως «εφοδιαστική αλυσίδα» νοείται η αποστολή σε άλλο κράτος -μέλος, παραλαβή από άλλο κράτος-μέλος, εισαγωγή και εξαγωγή καπνού, η παραγωγή, αποθήκευση, μεταποίηση, αποστολή, παραλαβή, εισαγωγή, εξαγωγή βιομηχανοποιημένων καπνών, η κατασκευή, εισαγωγή, εξαγωγή, αποστολή, παραλαβή του εξοπλισμού παραγωγής αυτών, καθώς και οι λοιπές δραστηριότητες στα πλαίσια της εμπορίας καπνού και βιομηχανοποιημένων καπνών.</w:t>
      </w:r>
    </w:p>
    <w:p>
      <w:pPr>
        <w:pStyle w:val="MainText"/>
        <w:spacing w:before="120" w:after="0"/>
        <w:rPr>
          <w:lang w:val="el" w:eastAsia="el"/>
        </w:rPr>
      </w:pPr>
      <w:r>
        <w:rPr>
          <w:b/>
          <w:bCs/>
          <w:lang w:val="el" w:eastAsia="el"/>
        </w:rPr>
        <w:t>2.</w:t>
      </w:r>
      <w:r>
        <w:rPr>
          <w:b/>
          <w:bCs/>
          <w:lang w:val="el" w:eastAsia="el"/>
        </w:rPr>
        <w:t xml:space="preserve"> Στο Πληροφορικό Σύστημα Τελωνειακών Ηλεκτρονικών υπηρεσιών ICIS net καθιερώνεται μητρώο υπό την ονομασία «Ενιαίο Κεντρικό Μητρώο Εφοδιαστικής</w:t>
      </w:r>
    </w:p>
    <w:p>
      <w:pPr>
        <w:spacing w:before="240" w:after="240"/>
        <w:rPr>
          <w:lang w:val="el" w:eastAsia="el"/>
        </w:rPr>
      </w:pPr>
      <w:r>
        <w:rPr>
          <w:b/>
          <w:bCs/>
          <w:lang w:val="el" w:eastAsia="el"/>
        </w:rPr>
        <w:t>Αλυσίδας καπνού και βιομηχανοποιημένων καπνών» (ΕΚΜΕΑ).</w:t>
      </w:r>
    </w:p>
    <w:p>
      <w:pPr>
        <w:pStyle w:val="MainText"/>
        <w:spacing w:before="120" w:after="0"/>
        <w:rPr>
          <w:lang w:val="el" w:eastAsia="el"/>
        </w:rPr>
      </w:pPr>
      <w:r>
        <w:rPr>
          <w:b/>
          <w:bCs/>
          <w:lang w:val="el" w:eastAsia="el"/>
        </w:rPr>
        <w:t>3.</w:t>
      </w:r>
      <w:r>
        <w:rPr>
          <w:b/>
          <w:bCs/>
          <w:lang w:val="el" w:eastAsia="el"/>
        </w:rPr>
        <w:t xml:space="preserve"> Στο μητρώο αυτό καταχωρούνται, τηρούνται και παρακολουθούνται όλες οι άδειες, οι οποίες χορηγούνται από τις κατά περίπτωση αρμόδιες αρχές σε φυσικά ή νομικά πρόσωπα, τα οποία δραστηριοποιούνται στα πλαίσια της εφοδιαστικής αλυσίδας καπνού και βιομηχανοποιημένων καπνών. Με την καταχώριση των αδειών αυτών στο ανωτέρω μητρώο, οι κάτοχοι αυτών λαμβάνουν έναν Μοναδικό Αριθμό Μητρώου Διακινητή Καπνικών Προϊόντων (ΑΜΔΙΚΑΠ). Οι κατά περίπτωση αρμόδιες αρχές αδειοδότησης έχουν την υποχρέωση να τηρούν ενήμερο το ΕΚΜΕΑ.</w:t>
      </w:r>
    </w:p>
    <w:p>
      <w:pPr>
        <w:pStyle w:val="MainText"/>
        <w:spacing w:before="120" w:after="0"/>
        <w:rPr>
          <w:lang w:val="el" w:eastAsia="el"/>
        </w:rPr>
      </w:pPr>
      <w:r>
        <w:rPr>
          <w:b/>
          <w:bCs/>
          <w:lang w:val="el" w:eastAsia="el"/>
        </w:rPr>
        <w:t>4.</w:t>
      </w:r>
      <w:r>
        <w:rPr>
          <w:b/>
          <w:bCs/>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προβλεπόμενα κατά περίπτωση εμπορικά ή συνοδευτικά έγγραφα μεταφοράς.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8"/>
      </w:r>
      <w:r>
        <w:rPr>
          <w:rStyle w:val="article-num"/>
          <w:b/>
          <w:bCs/>
          <w:lang w:val="el" w:eastAsia="el"/>
        </w:rPr>
        <w:t>Άρθρο 100Γ</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 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79"/>
      </w:r>
      <w:r>
        <w:rPr>
          <w:b/>
          <w:bCs/>
          <w:lang w:val="el" w:eastAsia="el"/>
        </w:rPr>
        <w:t>Οι αδειοδοτημένες καπνοβιομηχανίες, οι επιχειρήσεις πρώτης μεταποίησης καπνού, τα αδειοδοτημένα επαγγελματικά εργαστήρια παραγωγής βιομηχανοποιημένων καπνών και οι επιχειρήσεις χονδρικής πώλησης έχουν την υποχρέωση να εφαρμόζουν μέτρα δέουσας επιμέλειας ως προς τους πελάτες και τους προμηθευτές τους. Μέτρα δέουσας επιμέλειας έχουν την υποχρέωση να εφαρμόζουν και οι εισαγωγείς από τρίτες χώρες και οι παραλήπτες βιομηχανοποιημένων καπνών από άλλα κράτη-μέλη της Ε.Ε. ως προς τους πελάτες τους. Οι καλλιεργητές καπνού εξαιρούνται απολύτως από την εφαρμογή των μέτρων δέουσας επιμέλειας..</w:t>
      </w:r>
    </w:p>
    <w:p>
      <w:pPr>
        <w:pStyle w:val="MainText"/>
        <w:spacing w:before="120" w:after="0"/>
        <w:rPr>
          <w:lang w:val="el" w:eastAsia="el"/>
        </w:rPr>
      </w:pPr>
      <w:r>
        <w:rPr>
          <w:b/>
          <w:bCs/>
          <w:lang w:val="el" w:eastAsia="el"/>
        </w:rPr>
        <w:t>3.</w:t>
      </w:r>
      <w:r>
        <w:rPr>
          <w:b/>
          <w:bCs/>
          <w:lang w:val="el" w:eastAsia="el"/>
        </w:rPr>
        <w:t xml:space="preserve">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w:t>
      </w:r>
    </w:p>
    <w:p>
      <w:pPr>
        <w:spacing w:before="240" w:after="240"/>
        <w:rPr>
          <w:lang w:val="el" w:eastAsia="el"/>
        </w:rPr>
      </w:pPr>
      <w:r>
        <w:rPr>
          <w:b/>
          <w:bCs/>
          <w:lang w:val="el" w:eastAsia="el"/>
        </w:rPr>
        <w:t>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να αποστέλλουν κάθε μήνα, στο συντονιστικό κέντρο για την αντιμετώπιση του λαθρεμπορίου, που ιδρύεται με το άρθρο 6 του παρόντος, ηλεκτρονική κατάσταση με τις συναλλαγές των προμηθευτών και πελατών τους, καθώς και να παρέχουν πληροφορίες σχετικά με ασυνήθιστες ή ύποπτες συναλλαγές. Οι ηλεκτρονικές καταστάσεις υποβάλλονται μέχρι την τελευταία εργάσιμη ημέρα του επομένου μήνα από το μήνα διενέργειας της συναλλαγής.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80"/>
      </w:r>
      <w:r>
        <w:rPr>
          <w:b/>
          <w:bCs/>
          <w:lang w:val="el" w:eastAsia="el"/>
        </w:rPr>
        <w:t>...</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81"/>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82"/>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83"/>
      </w:r>
      <w:r>
        <w:rPr>
          <w:rStyle w:val="Hyperlink"/>
          <w:b/>
          <w:bCs/>
          <w:color w:val="000000"/>
          <w:sz w:val="20"/>
          <w:szCs w:val="20"/>
          <w:u w:val="none" w:color="0000EE"/>
          <w:vertAlign w:val="superscript"/>
          <w:lang w:val="el" w:eastAsia="el"/>
        </w:rPr>
        <w:footnoteReference w:id="184"/>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85"/>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86"/>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87"/>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8"/>
      </w:r>
      <w:r>
        <w:rPr>
          <w:b/>
          <w:bCs/>
          <w:lang w:val="el" w:eastAsia="el"/>
        </w:rPr>
        <w:t xml:space="preserve">Άρθρο 106Α </w:t>
      </w:r>
    </w:p>
    <w:p>
      <w:pPr>
        <w:pStyle w:val="Heading6"/>
        <w:spacing w:before="240" w:after="240"/>
        <w:rPr>
          <w:lang w:val="el" w:eastAsia="el"/>
        </w:rPr>
      </w:pPr>
      <w:r>
        <w:rPr>
          <w:b/>
          <w:bCs/>
          <w:lang w:val="el" w:eastAsia="el"/>
        </w:rPr>
        <w:t>Ιχνηλασιμότητα (άρθρο 15 της οδηγίας)</w:t>
      </w:r>
    </w:p>
    <w:p>
      <w:pPr>
        <w:spacing w:before="240" w:after="240"/>
        <w:rPr>
          <w:lang w:val="el" w:eastAsia="el"/>
        </w:rPr>
      </w:pPr>
      <w:r>
        <w:rPr>
          <w:b/>
          <w:bCs/>
          <w:lang w:val="el" w:eastAsia="el"/>
        </w:rPr>
        <w:t>Γ ια τους σκοπούς του παρόντος άρθρου, οι παρακάτω όροι χρησιμοποιούνται με την εξής σημασία:</w:t>
      </w:r>
    </w:p>
    <w:p>
      <w:pPr>
        <w:spacing w:before="240" w:after="240"/>
        <w:rPr>
          <w:lang w:val="el" w:eastAsia="el"/>
        </w:rPr>
      </w:pPr>
      <w:r>
        <w:rPr>
          <w:b/>
          <w:bCs/>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b/>
          <w:bCs/>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pStyle w:val="MainText"/>
        <w:spacing w:before="120" w:after="0"/>
        <w:rPr>
          <w:lang w:val="el" w:eastAsia="el"/>
        </w:rPr>
      </w:pPr>
      <w:r>
        <w:rPr>
          <w:b/>
          <w:bCs/>
          <w:lang w:val="el" w:eastAsia="el"/>
        </w:rPr>
        <w:t>1.</w:t>
      </w:r>
      <w:r>
        <w:rPr>
          <w:b/>
          <w:bCs/>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pStyle w:val="MainText"/>
        <w:spacing w:before="120" w:after="0"/>
        <w:rPr>
          <w:lang w:val="el" w:eastAsia="el"/>
        </w:rPr>
      </w:pPr>
      <w:r>
        <w:rPr>
          <w:b/>
          <w:bCs/>
          <w:lang w:val="el" w:eastAsia="el"/>
        </w:rPr>
        <w:t>2.</w:t>
      </w:r>
      <w:r>
        <w:rPr>
          <w:b/>
          <w:bCs/>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ημερομηνίας και του τόπου κατασκευής,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μονάδας κατασκευής,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βάρδιας παραγωγής ή του χρόνου κατασκευής,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περιγραφής του προϊόντος,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προβλεπόμενης αγοράς λιανικής πώλησης,</w:t>
      </w:r>
    </w:p>
    <w:p>
      <w:pPr>
        <w:pStyle w:val="StructureList1"/>
        <w:spacing w:before="120" w:after="0"/>
        <w:rPr>
          <w:lang w:val="el" w:eastAsia="el"/>
        </w:rPr>
      </w:pPr>
      <w:r>
        <w:rPr>
          <w:b/>
          <w:bCs/>
          <w:lang w:val="el" w:eastAsia="el"/>
        </w:rPr>
        <w:t>ζ)</w:t>
      </w:r>
      <w:r>
        <w:rPr>
          <w:b/>
          <w:bCs/>
          <w:lang w:val="en" w:eastAsia="en"/>
        </w:rPr>
        <w:tab/>
      </w:r>
      <w:r>
        <w:rPr>
          <w:b/>
          <w:bCs/>
          <w:lang w:val="el" w:eastAsia="el"/>
        </w:rPr>
        <w:t>του προβλεπόμενου δρομολογίου της φόρτωσης,</w:t>
      </w:r>
    </w:p>
    <w:p>
      <w:pPr>
        <w:pStyle w:val="StructureList1"/>
        <w:spacing w:before="120" w:after="0"/>
        <w:rPr>
          <w:lang w:val="el" w:eastAsia="el"/>
        </w:rPr>
      </w:pPr>
      <w:r>
        <w:rPr>
          <w:b/>
          <w:bCs/>
          <w:lang w:val="el" w:eastAsia="el"/>
        </w:rPr>
        <w:t>η)</w:t>
      </w:r>
      <w:r>
        <w:rPr>
          <w:b/>
          <w:bCs/>
          <w:lang w:val="en" w:eastAsia="en"/>
        </w:rPr>
        <w:tab/>
      </w:r>
      <w:r>
        <w:rPr>
          <w:b/>
          <w:bCs/>
          <w:lang w:val="el" w:eastAsia="el"/>
        </w:rPr>
        <w:t>κατά περίπτωση, του εισαγωγέα στην Ένωση,</w:t>
      </w:r>
    </w:p>
    <w:p>
      <w:pPr>
        <w:pStyle w:val="StructureList1"/>
        <w:spacing w:before="120" w:after="0"/>
        <w:rPr>
          <w:lang w:val="el" w:eastAsia="el"/>
        </w:rPr>
      </w:pPr>
      <w:r>
        <w:rPr>
          <w:b/>
          <w:bCs/>
          <w:lang w:val="el" w:eastAsia="el"/>
        </w:rPr>
        <w:t>θ)</w:t>
      </w:r>
      <w:r>
        <w:rPr>
          <w:b/>
          <w:bCs/>
          <w:lang w:val="en" w:eastAsia="en"/>
        </w:rPr>
        <w:tab/>
      </w:r>
      <w:r>
        <w:rPr>
          <w:b/>
          <w:bCs/>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b/>
          <w:bCs/>
          <w:lang w:val="el" w:eastAsia="el"/>
        </w:rPr>
        <w:t>ι)</w:t>
      </w:r>
      <w:r>
        <w:rPr>
          <w:b/>
          <w:bCs/>
          <w:lang w:val="en" w:eastAsia="en"/>
        </w:rPr>
        <w:tab/>
      </w:r>
      <w:r>
        <w:rPr>
          <w:b/>
          <w:bCs/>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pStyle w:val="MainText"/>
        <w:spacing w:before="120" w:after="0"/>
        <w:rPr>
          <w:lang w:val="el" w:eastAsia="el"/>
        </w:rPr>
      </w:pPr>
      <w:r>
        <w:rPr>
          <w:b/>
          <w:bCs/>
          <w:lang w:val="el" w:eastAsia="el"/>
        </w:rPr>
        <w:t>3.</w:t>
      </w:r>
      <w:r>
        <w:rPr>
          <w:b/>
          <w:bCs/>
          <w:lang w:val="el" w:eastAsia="el"/>
        </w:rPr>
        <w:t xml:space="preserve">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pStyle w:val="MainText"/>
        <w:spacing w:before="120" w:after="0"/>
        <w:rPr>
          <w:lang w:val="el" w:eastAsia="el"/>
        </w:rPr>
      </w:pPr>
      <w:r>
        <w:rPr>
          <w:b/>
          <w:bCs/>
          <w:lang w:val="el" w:eastAsia="el"/>
        </w:rPr>
        <w:t>4.</w:t>
      </w:r>
      <w:r>
        <w:rPr>
          <w:b/>
          <w:bCs/>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b/>
          <w:bCs/>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pStyle w:val="MainText"/>
        <w:spacing w:before="120" w:after="0"/>
        <w:rPr>
          <w:lang w:val="el" w:eastAsia="el"/>
        </w:rPr>
      </w:pPr>
      <w:r>
        <w:rPr>
          <w:b/>
          <w:bCs/>
          <w:lang w:val="el" w:eastAsia="el"/>
        </w:rPr>
        <w:t>5.</w:t>
      </w:r>
      <w:r>
        <w:rPr>
          <w:b/>
          <w:bCs/>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pStyle w:val="MainText"/>
        <w:spacing w:before="120" w:after="0"/>
        <w:rPr>
          <w:lang w:val="el" w:eastAsia="el"/>
        </w:rPr>
      </w:pPr>
      <w:r>
        <w:rPr>
          <w:b/>
          <w:bCs/>
          <w:lang w:val="el" w:eastAsia="el"/>
        </w:rPr>
        <w:t>6.</w:t>
      </w:r>
      <w:r>
        <w:rPr>
          <w:b/>
          <w:bCs/>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b/>
          <w:bCs/>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pStyle w:val="MainText"/>
        <w:spacing w:before="120" w:after="0"/>
        <w:rPr>
          <w:lang w:val="el" w:eastAsia="el"/>
        </w:rPr>
      </w:pPr>
      <w:r>
        <w:rPr>
          <w:b/>
          <w:bCs/>
          <w:lang w:val="el" w:eastAsia="el"/>
        </w:rPr>
        <w:t>7.</w:t>
      </w:r>
      <w:r>
        <w:rPr>
          <w:b/>
          <w:bCs/>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b/>
          <w:bCs/>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b/>
          <w:bCs/>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b/>
          <w:bCs/>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pStyle w:val="MainText"/>
        <w:spacing w:before="120" w:after="0"/>
        <w:rPr>
          <w:lang w:val="el" w:eastAsia="el"/>
        </w:rPr>
      </w:pPr>
      <w:r>
        <w:rPr>
          <w:b/>
          <w:bCs/>
          <w:lang w:val="el" w:eastAsia="el"/>
        </w:rPr>
        <w:t>8.</w:t>
      </w:r>
      <w:r>
        <w:rPr>
          <w:b/>
          <w:bCs/>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pStyle w:val="MainText"/>
        <w:spacing w:before="120" w:after="0"/>
        <w:rPr>
          <w:lang w:val="el" w:eastAsia="el"/>
        </w:rPr>
      </w:pPr>
      <w:r>
        <w:rPr>
          <w:b/>
          <w:bCs/>
          <w:lang w:val="el" w:eastAsia="el"/>
        </w:rPr>
        <w:t>9.</w:t>
      </w:r>
      <w:r>
        <w:rPr>
          <w:b/>
          <w:bCs/>
          <w:lang w:val="el" w:eastAsia="el"/>
        </w:rPr>
        <w:t xml:space="preserve"> Η επεξεργασία προσωπικών δεδομένων γίνεται τη- ρουμένης της ενωσιακής και εθνικής νομοθεσίας για την προστασία αυτών.</w:t>
      </w:r>
    </w:p>
    <w:p>
      <w:pPr>
        <w:pStyle w:val="MainText"/>
        <w:spacing w:before="120" w:after="0"/>
        <w:rPr>
          <w:lang w:val="el" w:eastAsia="el"/>
        </w:rPr>
      </w:pPr>
      <w:r>
        <w:rPr>
          <w:b/>
          <w:bCs/>
          <w:lang w:val="el" w:eastAsia="el"/>
        </w:rPr>
        <w:t>10.</w:t>
      </w:r>
      <w:r>
        <w:rPr>
          <w:b/>
          <w:bCs/>
          <w:lang w:val="el" w:eastAsia="el"/>
        </w:rPr>
        <w:t xml:space="preserve">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pStyle w:val="MainText"/>
        <w:spacing w:before="120" w:after="0"/>
        <w:rPr>
          <w:lang w:val="el" w:eastAsia="el"/>
        </w:rPr>
      </w:pPr>
      <w:r>
        <w:rPr>
          <w:b/>
          <w:bCs/>
          <w:lang w:val="el" w:eastAsia="el"/>
        </w:rPr>
        <w:t>11.</w:t>
      </w:r>
      <w:r>
        <w:rPr>
          <w:b/>
          <w:bCs/>
          <w:lang w:val="el" w:eastAsia="el"/>
        </w:rPr>
        <w:t xml:space="preserve"> Οι παράγραφοι 1 έως και 10 του παρόντος άρθρου εφαρμόζονται σύμφωνα με τις προθεσμίες που ορίζονται στην παρ. 13 του άρθρου 15 της οδηγίας 2014/40/ ΕΕ.</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MainText"/>
        <w:spacing w:before="120" w:after="0"/>
        <w:rPr>
          <w:lang w:val="el" w:eastAsia="el"/>
        </w:rPr>
      </w:pPr>
      <w:r>
        <w:rPr>
          <w:b/>
          <w:bCs/>
          <w:lang w:val="el" w:eastAsia="el"/>
        </w:rPr>
        <w:t>13.</w:t>
      </w:r>
      <w:r>
        <w:rPr>
          <w:b/>
          <w:bCs/>
          <w:lang w:val="el" w:eastAsia="el"/>
        </w:rPr>
        <w:t xml:space="preserve">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9"/>
      </w:r>
      <w:r>
        <w:rPr>
          <w:b/>
          <w:bCs/>
          <w:lang w:val="el" w:eastAsia="el"/>
        </w:rPr>
        <w:t xml:space="preserve">Άρθρο 106Β </w:t>
      </w:r>
    </w:p>
    <w:p>
      <w:pPr>
        <w:pStyle w:val="Heading6"/>
        <w:spacing w:before="240" w:after="240"/>
        <w:rPr>
          <w:lang w:val="el" w:eastAsia="el"/>
        </w:rPr>
      </w:pPr>
      <w:r>
        <w:rPr>
          <w:b/>
          <w:bCs/>
          <w:lang w:val="el" w:eastAsia="el"/>
        </w:rPr>
        <w:t>Χαρακτηριστικό ασφαλείας (άρθρο 16 της οδηγίας)</w:t>
      </w:r>
    </w:p>
    <w:p>
      <w:pPr>
        <w:pStyle w:val="MainText"/>
        <w:spacing w:before="120" w:after="0"/>
        <w:rPr>
          <w:lang w:val="el" w:eastAsia="el"/>
        </w:rPr>
      </w:pPr>
      <w:r>
        <w:rPr>
          <w:b/>
          <w:bCs/>
          <w:lang w:val="el" w:eastAsia="el"/>
        </w:rPr>
        <w:t>1.</w:t>
      </w:r>
      <w:r>
        <w:rPr>
          <w:b/>
          <w:bCs/>
          <w:lang w:val="el" w:eastAsia="el"/>
        </w:rPr>
        <w:t xml:space="preserve"> Πέραν του μοναδικού αναγνωριστικού κωδικού που αναφέρεται στο άρθρο 106Α, όλες οι μονάδες συσκευασίας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pStyle w:val="MainText"/>
        <w:spacing w:before="120" w:after="0"/>
        <w:rPr>
          <w:lang w:val="el" w:eastAsia="el"/>
        </w:rPr>
      </w:pPr>
      <w:r>
        <w:rPr>
          <w:b/>
          <w:bCs/>
          <w:lang w:val="el" w:eastAsia="el"/>
        </w:rPr>
        <w:t>2.</w:t>
      </w:r>
      <w:r>
        <w:rPr>
          <w:b/>
          <w:bCs/>
          <w:lang w:val="el" w:eastAsia="el"/>
        </w:rPr>
        <w:t xml:space="preserve"> Η παράγραφος 1 του παρόντος άρθρου εφαρμόζεται σύμφωνα με τις προθεσμίες που ορίζονται στην παρ. 3 του άρθρου 16 της οδηγίας 2014/40/ΕΕ.</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0"/>
      </w:r>
      <w:r>
        <w:rPr>
          <w:rStyle w:val="Hyperlink"/>
          <w:b/>
          <w:bCs/>
          <w:color w:val="000000"/>
          <w:sz w:val="20"/>
          <w:szCs w:val="20"/>
          <w:u w:val="none" w:color="0000EE"/>
          <w:vertAlign w:val="superscript"/>
          <w:lang w:val="el" w:eastAsia="el"/>
        </w:rPr>
        <w:footnoteReference w:id="191"/>
      </w:r>
      <w:r>
        <w:rPr>
          <w:b/>
          <w:bCs/>
          <w:lang w:val="el" w:eastAsia="el"/>
        </w:rPr>
        <w:t>Η βεβαίωση και η είσπραξη του Ειδικού Φόρου Κατανάλωσης (Ε.Φ.Κ.), που αναλογεί στα προϊόντα του άρθρου 53 του παρόντος Κώδικα, ενεργείται από την αρμόδια Αρχή κατά τη θέση των προϊόντων σε ανάλωση, με την επιφύλαξη των διατάξεων των παραγράφων 8 και 8Α του παρόντος άρθρου και των άρθρων 110 και 111..</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2"/>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93"/>
      </w:r>
      <w:r>
        <w:rPr>
          <w:rStyle w:val="Hyperlink"/>
          <w:b/>
          <w:bCs/>
          <w:color w:val="000000"/>
          <w:sz w:val="20"/>
          <w:szCs w:val="20"/>
          <w:u w:val="none" w:color="0000EE"/>
          <w:vertAlign w:val="superscript"/>
          <w:lang w:val="el" w:eastAsia="el"/>
        </w:rPr>
        <w:footnoteReference w:id="194"/>
      </w:r>
      <w:r>
        <w:rPr>
          <w:rStyle w:val="Hyperlink"/>
          <w:b/>
          <w:bCs/>
          <w:color w:val="000000"/>
          <w:sz w:val="20"/>
          <w:szCs w:val="20"/>
          <w:u w:val="none" w:color="0000EE"/>
          <w:vertAlign w:val="superscript"/>
          <w:lang w:val="el" w:eastAsia="el"/>
        </w:rPr>
        <w:footnoteReference w:id="195"/>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96"/>
      </w:r>
      <w:r>
        <w:rPr>
          <w:rStyle w:val="Hyperlink"/>
          <w:b/>
          <w:bCs/>
          <w:color w:val="000000"/>
          <w:sz w:val="20"/>
          <w:szCs w:val="20"/>
          <w:u w:val="none" w:color="0000EE"/>
          <w:vertAlign w:val="superscript"/>
          <w:lang w:val="el" w:eastAsia="el"/>
        </w:rPr>
        <w:footnoteReference w:id="197"/>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98"/>
      </w:r>
      <w:r>
        <w:rPr>
          <w:rStyle w:val="Hyperlink"/>
          <w:b/>
          <w:bCs/>
          <w:color w:val="000000"/>
          <w:sz w:val="20"/>
          <w:szCs w:val="20"/>
          <w:u w:val="none" w:color="0000EE"/>
          <w:vertAlign w:val="superscript"/>
          <w:lang w:val="el" w:eastAsia="el"/>
        </w:rPr>
        <w:footnoteReference w:id="199"/>
      </w:r>
      <w:r>
        <w:rPr>
          <w:rStyle w:val="Hyperlink"/>
          <w:b/>
          <w:bCs/>
          <w:color w:val="000000"/>
          <w:sz w:val="20"/>
          <w:szCs w:val="20"/>
          <w:u w:val="none" w:color="0000EE"/>
          <w:vertAlign w:val="superscript"/>
          <w:lang w:val="el" w:eastAsia="el"/>
        </w:rPr>
        <w:footnoteReference w:id="200"/>
      </w:r>
      <w:r>
        <w:rPr>
          <w:b/>
          <w:bCs/>
          <w:lang w:val="el" w:eastAsia="el"/>
        </w:rPr>
        <w:t>Ο Ε.Φ.Κ. που αναλογεί στο φυσικό αέριο των περιπτώσεων ιζ` και ιη` της παραγράφου 1 του άρθρου 73, βεβαιώνεται και εισπράττεται από την αρμόδια αρχή το αργότερο μέχρι την εικοστή (20ή) ημέρα του επόμενου μήνα από την έκδοση των σχετικών παραστατικών πώλησης φυσικού αερίου. Τα στοιχεία για τον υπολογισμό του Ε.Φ.Κ., καθώς και οι λεπτομέρειες εφαρμογής του ανωτέρω εδαφίου καθορίζονται με την απόφαση που προβλέπεται στο πρώτο εδάφιο της παραγράφου 9 του άρθρου 73.</w:t>
      </w:r>
    </w:p>
    <w:p>
      <w:pPr>
        <w:spacing w:before="240" w:after="240"/>
        <w:rPr>
          <w:lang w:val="el" w:eastAsia="el"/>
        </w:rPr>
      </w:pPr>
      <w:r>
        <w:rPr>
          <w:b/>
          <w:bCs/>
          <w:lang w:val="el" w:eastAsia="el"/>
        </w:rPr>
        <w:t>Με τον Ε.Φ.Κ.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Ε.Φ.Κ..</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1"/>
      </w:r>
      <w:r>
        <w:rPr>
          <w:b/>
          <w:bCs/>
          <w:lang w:val="el" w:eastAsia="el"/>
        </w:rPr>
        <w:t>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(20ή) ημέρα του επόμενου μήνα από το μήνα παράδοσης των καυσίμων.</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202"/>
      </w:r>
      <w:r>
        <w:rPr>
          <w:b/>
          <w:bCs/>
          <w:lang w:val="el" w:eastAsia="el"/>
        </w:rPr>
        <w:t>Ο Ειδικός Φόρος Κατανάλωσης (Ε.Φ.Κ.) που αναλογεί στα προϊόντα των παραγράφων 4, 5 και 6 του άρθρου 73, τα οποία πρόκειται να χρησιμοποιηθούν ή διατίθενται προς πώληση ή χρησιμοποιούνται ως καύσιμα θέρμανσης ή κινητήρων, βεβαιώνεται και εισπράττεται από την αρμόδια Αρχή, το αργότερο μέχρι την εικοστή (20ή) ημέρα του επόμενου μήνα από το μήνα που πραγματοποιήθηκε η πώληση ή η ιδιοκατανάλωση αυτών.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03"/>
      </w:r>
      <w:r>
        <w:rPr>
          <w:rStyle w:val="Hyperlink"/>
          <w:b/>
          <w:bCs/>
          <w:color w:val="000000"/>
          <w:sz w:val="20"/>
          <w:szCs w:val="20"/>
          <w:u w:val="none" w:color="0000EE"/>
          <w:vertAlign w:val="superscript"/>
          <w:lang w:val="el" w:eastAsia="el"/>
        </w:rPr>
        <w:footnoteReference w:id="204"/>
      </w:r>
      <w:r>
        <w:rPr>
          <w:rStyle w:val="Hyperlink"/>
          <w:b/>
          <w:bCs/>
          <w:color w:val="000000"/>
          <w:sz w:val="20"/>
          <w:szCs w:val="20"/>
          <w:u w:val="none" w:color="0000EE"/>
          <w:vertAlign w:val="superscript"/>
          <w:lang w:val="el" w:eastAsia="el"/>
        </w:rPr>
        <w:footnoteReference w:id="205"/>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206"/>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7"/>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8"/>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9"/>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0"/>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1"/>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2"/>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213"/>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4"/>
      </w:r>
      <w:r>
        <w:rPr>
          <w:rStyle w:val="Hyperlink"/>
          <w:b/>
          <w:bCs/>
          <w:color w:val="000000"/>
          <w:sz w:val="20"/>
          <w:szCs w:val="20"/>
          <w:u w:val="none" w:color="0000EE"/>
          <w:vertAlign w:val="superscript"/>
          <w:lang w:val="el" w:eastAsia="el"/>
        </w:rPr>
        <w:footnoteReference w:id="215"/>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6"/>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7"/>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8"/>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9"/>
      </w:r>
      <w:r>
        <w:rPr>
          <w:b/>
          <w:bCs/>
          <w:lang w:val="el" w:eastAsia="el"/>
        </w:rPr>
        <w:t xml:space="preserve">Άρθρο 119Β </w:t>
      </w:r>
    </w:p>
    <w:p>
      <w:pPr>
        <w:pStyle w:val="Heading6"/>
        <w:spacing w:before="240" w:after="240"/>
        <w:rPr>
          <w:lang w:val="el" w:eastAsia="el"/>
        </w:rPr>
      </w:pPr>
      <w:r>
        <w:rPr>
          <w:b/>
          <w:bCs/>
          <w:lang w:val="el" w:eastAsia="el"/>
        </w:rPr>
        <w:t>Πληρωμές εξαρτώμενες από τις κατασχέσεις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Οι επιχειρήσεις καπνικών προϊόντων και συγκεκριμένα οι αδειοδοτημένες καπνοβιομηχανίες, τα αδειοδοτημένα επαγγελματικά εργαστήρια, οι εισαγωγείς βιομηχανοποιημένων καπνών από τρίτη χώρα και οι παραλήπτες βιομηχανοποιημένων καπνών από άλλο κράτος - μέλος κοινοποιούν κατάλογο των εμπορικών τους σημάτων ή των σημάτων για τα οποία διαθέτουν άδεια χρήσης προς την Ανεξάρτητη Αρχή Δημοσίων Εσόδων (Α.Α.Δ.Ε.), καθώς και τα στοιχεία γνησιότητας, όπως τροποποιούνται και ισχύουν. Η πρώτη υποβολή του καταλόγου αυτού λαμβάνει χώρα εντός δύο (2) μηνών από την έναρξη ισχύος του παρόντος άρθρου. Για κάθε ημέρα καθυστέρησης στην υποβολή του καταλόγου των εμπορικών σημάτων επιβάλλεται πρόστιμο εκατό (100) ευρώ με ανώτατο όριο τις πέντε χιλιάδες (5.000) ευρώ με καταλογιστική πράξη του Προϊσταμένου του Τελωνείου, στην τοπική αρμοδιότητα του οποίου βρίσκεται η έδρα της επιχείρησης καπνικών προϊόντων ή το υποκατάστημα, σε περίπτωση που η έδρα της επιχείρησης δεν βρίσκεται στην Ελληνική Επικράτεια. Ο κατάλογος αυτός υποχρεωτικά επανυποβάλλεται επικαιροποιημένος από όλους τους ανωτέρω εντός μηνός από την προσθήκη ή διαγραφή εμπορικού σήματος.</w:t>
      </w:r>
    </w:p>
    <w:p>
      <w:pPr>
        <w:pStyle w:val="MainText"/>
        <w:spacing w:before="120" w:after="0"/>
        <w:rPr>
          <w:lang w:val="el" w:eastAsia="el"/>
        </w:rPr>
      </w:pPr>
      <w:r>
        <w:rPr>
          <w:b/>
          <w:bCs/>
          <w:lang w:val="el" w:eastAsia="el"/>
        </w:rPr>
        <w:t>2.</w:t>
      </w:r>
      <w:r>
        <w:rPr>
          <w:b/>
          <w:bCs/>
          <w:lang w:val="el" w:eastAsia="el"/>
        </w:rPr>
        <w:t xml:space="preserve"> Σε περίπτωση επιβολής κατάσχεσης πενήντα χιλιάδων (50.000) και άνω τεμαχίων βιομηχανοποιημένων καπνών, που φέρουν τα εμπορικά σήματα οποιασδήποτε επιχείρησης καπνικών προϊόντων από τις μνημονευόμενες στην παράγραφο 1, η οποία διενεργήθηκε από οποιαδήποτε τελωνειακή αρχή ή άλλη υπηρεσία με αρμοδιότητα για τη δίωξη του λαθρεμπορίου, η Α.Α.Δ.Ε., εντός τριάντα (30) εργάσιμων ημερών από την επιβολή της κατάσχεσης, προβαίνει σε γνωστοποίηση της κατάσχεσης στην επιχείρηση, με επιστολή της, που κοινοποιείται στην επιχείρηση από υπάλληλο της αρμόδιας Τελωνειακής Αρχής, συντασσομένου αποδεικτικού επίδοσης, η οποία περιλαμβάνει:</w:t>
      </w:r>
    </w:p>
    <w:p>
      <w:pPr>
        <w:spacing w:before="240" w:after="240"/>
        <w:rPr>
          <w:lang w:val="el" w:eastAsia="el"/>
        </w:rPr>
      </w:pPr>
      <w:r>
        <w:rPr>
          <w:b/>
          <w:bCs/>
          <w:lang w:val="el" w:eastAsia="el"/>
        </w:rPr>
        <w:t>(α) την ημερομηνία, ώρα και τόπο της κατάσχεσης,</w:t>
      </w:r>
    </w:p>
    <w:p>
      <w:pPr>
        <w:spacing w:before="240" w:after="240"/>
        <w:rPr>
          <w:lang w:val="el" w:eastAsia="el"/>
        </w:rPr>
      </w:pPr>
      <w:r>
        <w:rPr>
          <w:b/>
          <w:bCs/>
          <w:lang w:val="el" w:eastAsia="el"/>
        </w:rPr>
        <w:t>(β) τη μάρκα των κατασχεθέντων βιομηχανοποιημένων καπνών, όπως αναφέρεται στη συσκευασία, και, εφόσον υπάρχει, οποιαδήποτε ένδειξη ως προς την προοριζόμενη αγορά λιανικής πώλησης,</w:t>
      </w:r>
    </w:p>
    <w:p>
      <w:pPr>
        <w:spacing w:before="240" w:after="240"/>
        <w:rPr>
          <w:lang w:val="el" w:eastAsia="el"/>
        </w:rPr>
      </w:pPr>
      <w:r>
        <w:rPr>
          <w:b/>
          <w:bCs/>
          <w:lang w:val="el" w:eastAsia="el"/>
        </w:rPr>
        <w:t>(γ) οποιεσδήποτε ενδείξεις ταυτότητας εμφανίζονται στη συσκευασία master case ή στις κούτες ή στα πακέτα των κατασχεθέντων βιομηχανοποιημένων καπνών,</w:t>
      </w:r>
    </w:p>
    <w:p>
      <w:pPr>
        <w:spacing w:before="240" w:after="240"/>
        <w:rPr>
          <w:lang w:val="el" w:eastAsia="el"/>
        </w:rPr>
      </w:pPr>
      <w:r>
        <w:rPr>
          <w:b/>
          <w:bCs/>
          <w:lang w:val="el" w:eastAsia="el"/>
        </w:rPr>
        <w:t>(δ) την ποσότητα των κατασχεθέντων βιομηχανοποιημένων καπνών. Για τους σκοπούς του παρόντος άρθρου, ένα (1) γραμμάριο λεπτοκομμένου καπνού για στριφτά τσιγάρα θα θεωρείται ως αντίστοιχο ενός τεμαχίου τσιγάρου.</w:t>
      </w:r>
    </w:p>
    <w:p>
      <w:pPr>
        <w:pStyle w:val="MainText"/>
        <w:spacing w:before="120" w:after="0"/>
        <w:rPr>
          <w:lang w:val="el" w:eastAsia="el"/>
        </w:rPr>
      </w:pPr>
      <w:r>
        <w:rPr>
          <w:b/>
          <w:bCs/>
          <w:lang w:val="el" w:eastAsia="el"/>
        </w:rPr>
        <w:t>3.</w:t>
      </w:r>
      <w:r>
        <w:rPr>
          <w:b/>
          <w:bCs/>
          <w:lang w:val="el" w:eastAsia="el"/>
        </w:rPr>
        <w:t xml:space="preserve"> Εντός τριάντα (30) εργάσιμων ημερών από τη γνωστοποίηση της κατάσχεσης στην επιχείρηση, μικτά κλιμάκια από εκπροσώπους της Γενικής Διεύθυνσης Τελωνείων και Ειδικών Φόρων Κατανάλωσης και της Γενικής Διεύθυνσης του Γενικού Χημείου του Κράτους της Α.Α.Δ.Ε. αφενός και η επιχείρηση καπνικών προϊόντων διά των εκπροσώπων της αφετέρου, μετά από πρόσκληση που κοινοποιείται σε αυτούς από υπάλληλο της αρμόδιας Τελωνειακής Αρχής προ πέντε (5) ημερών, συντασσομένου αποδεικτικού επίδοσης, μεταβαίνουν στην Τελωνειακή Υπηρεσία ή όπου αλλού φυλάσσονται τα λαθραία βιομηχανοποιημένα καπνά της επιχείρησης καπνικών προϊόντων και λαμβάνουν τέσσερα (4) όμοια δείγματα βιομηχανοποιημένων καπνών για εργαστηριακή εξέταση, δύο (2) για την επιχείρηση και δύο (2) για την Α.Α.Δ.Ε.</w:t>
      </w:r>
    </w:p>
    <w:p>
      <w:pPr>
        <w:pStyle w:val="MainText"/>
        <w:spacing w:before="120" w:after="0"/>
        <w:rPr>
          <w:lang w:val="el" w:eastAsia="el"/>
        </w:rPr>
      </w:pPr>
      <w:r>
        <w:rPr>
          <w:b/>
          <w:bCs/>
          <w:lang w:val="el" w:eastAsia="el"/>
        </w:rPr>
        <w:t>4.</w:t>
      </w:r>
      <w:r>
        <w:rPr>
          <w:b/>
          <w:bCs/>
          <w:lang w:val="el" w:eastAsia="el"/>
        </w:rPr>
        <w:t xml:space="preserve"> Εάν τα κατασχεθέντα βιομηχανοποιημένα καπνά είναι λαθραία βιομηχανοποιημένα καπνά της επιχείρησης, αυτή υποχρεούται εντός τριάντα (30) ημερών από την κατά τα ανωτέρω γνωστοποίηση της κατά σχεσης, σε απάντηση, η οποία αποσκοπεί στην ενημέρωση της Τελωνειακής Αρχής και δεν αποτελεί προϋπόθεση για την επιβολή των πληρωμών. Η απάντηση περιλαμβάνει όσο το δυνατόν περισσότερα στοιχεία που έχει στη διάθεσή της η επιχείρηση σχετικά με τα ακόλουθα:</w:t>
      </w:r>
    </w:p>
    <w:p>
      <w:pPr>
        <w:spacing w:before="240" w:after="240"/>
        <w:rPr>
          <w:lang w:val="el" w:eastAsia="el"/>
        </w:rPr>
      </w:pPr>
      <w:r>
        <w:rPr>
          <w:b/>
          <w:bCs/>
          <w:lang w:val="el" w:eastAsia="el"/>
        </w:rPr>
        <w:t>(α) τον τόπο κατασκευής των κατασχεθέντων βιομηχανοποιημένων καπνών,</w:t>
      </w:r>
    </w:p>
    <w:p>
      <w:pPr>
        <w:spacing w:before="240" w:after="240"/>
        <w:rPr>
          <w:lang w:val="el" w:eastAsia="el"/>
        </w:rPr>
      </w:pPr>
      <w:r>
        <w:rPr>
          <w:b/>
          <w:bCs/>
          <w:lang w:val="el" w:eastAsia="el"/>
        </w:rPr>
        <w:t>(β) την ημερομηνία κατασκευής των κατασχεθέντων βιομηχανοποιημένων καπνών,</w:t>
      </w:r>
    </w:p>
    <w:p>
      <w:pPr>
        <w:spacing w:before="240" w:after="240"/>
        <w:rPr>
          <w:lang w:val="el" w:eastAsia="el"/>
        </w:rPr>
      </w:pPr>
      <w:r>
        <w:rPr>
          <w:b/>
          <w:bCs/>
          <w:lang w:val="el" w:eastAsia="el"/>
        </w:rPr>
        <w:t>(γ) τη χώρα προορισμού των κατασχεθέντων βιομηχανοποιημένων καπνών και την προοριζόμενη αγορά λιανικής πώλησης,</w:t>
      </w:r>
    </w:p>
    <w:p>
      <w:pPr>
        <w:spacing w:before="240" w:after="240"/>
        <w:rPr>
          <w:lang w:val="el" w:eastAsia="el"/>
        </w:rPr>
      </w:pPr>
      <w:r>
        <w:rPr>
          <w:b/>
          <w:bCs/>
          <w:lang w:val="el" w:eastAsia="el"/>
        </w:rPr>
        <w:t>(δ) οποιαδήποτε ενδιάμεση αποθήκευση και αποστολή,</w:t>
      </w:r>
    </w:p>
    <w:p>
      <w:pPr>
        <w:spacing w:before="240" w:after="240"/>
        <w:rPr>
          <w:lang w:val="el" w:eastAsia="el"/>
        </w:rPr>
      </w:pPr>
      <w:r>
        <w:rPr>
          <w:b/>
          <w:bCs/>
          <w:lang w:val="el" w:eastAsia="el"/>
        </w:rPr>
        <w:t>(ε) την ταυτότητα του πρώτου αγοραστή των κατασχεθέντων βιομηχανοποιημένων καπνών,</w:t>
      </w:r>
    </w:p>
    <w:p>
      <w:pPr>
        <w:spacing w:before="240" w:after="240"/>
        <w:rPr>
          <w:lang w:val="el" w:eastAsia="el"/>
        </w:rPr>
      </w:pPr>
      <w:r>
        <w:rPr>
          <w:b/>
          <w:bCs/>
          <w:lang w:val="el" w:eastAsia="el"/>
        </w:rPr>
        <w:t>(στ) την ταυτότητα οποιουδήποτε γνωστού μεταγενέστερου αγοραστή των κατασχεθέντων βιομηχανοποιημένων καπνών,</w:t>
      </w:r>
    </w:p>
    <w:p>
      <w:pPr>
        <w:spacing w:before="240" w:after="240"/>
        <w:rPr>
          <w:lang w:val="el" w:eastAsia="el"/>
        </w:rPr>
      </w:pPr>
      <w:r>
        <w:rPr>
          <w:b/>
          <w:bCs/>
          <w:lang w:val="el" w:eastAsia="el"/>
        </w:rPr>
        <w:t>(ζ) τα τιμολόγια που εκδόθηκαν προς τον πρώτο αγοραστή σχετικά με τα κατασχεθέντα βιομηχανοποιημένα καπνά και</w:t>
      </w:r>
    </w:p>
    <w:p>
      <w:pPr>
        <w:spacing w:before="240" w:after="240"/>
        <w:rPr>
          <w:lang w:val="el" w:eastAsia="el"/>
        </w:rPr>
      </w:pPr>
      <w:r>
        <w:rPr>
          <w:b/>
          <w:bCs/>
          <w:lang w:val="el" w:eastAsia="el"/>
        </w:rPr>
        <w:t>(η) τα αρχεία πληρωμών από τον πρώτο αγοραστή για οποιαδήποτε κατασχεθέντα βιομηχανοποιημένα καπνά.</w:t>
      </w:r>
    </w:p>
    <w:p>
      <w:pPr>
        <w:spacing w:before="240" w:after="240"/>
        <w:rPr>
          <w:lang w:val="el" w:eastAsia="el"/>
        </w:rPr>
      </w:pPr>
      <w:r>
        <w:rPr>
          <w:b/>
          <w:bCs/>
          <w:lang w:val="el" w:eastAsia="el"/>
        </w:rPr>
        <w:t>Η επιχείρηση μπορεί μέσα στην ίδια προθεσμία να προσκομίσει οποιοδήποτε άλλο στοιχείο και να παράσχει οποιαδήποτε πληροφορία ή διευκρίνιση.</w:t>
      </w:r>
    </w:p>
    <w:p>
      <w:pPr>
        <w:pStyle w:val="MainText"/>
        <w:spacing w:before="120" w:after="0"/>
        <w:rPr>
          <w:lang w:val="el" w:eastAsia="el"/>
        </w:rPr>
      </w:pPr>
      <w:r>
        <w:rPr>
          <w:b/>
          <w:bCs/>
          <w:lang w:val="el" w:eastAsia="el"/>
        </w:rPr>
        <w:t>5.</w:t>
      </w:r>
      <w:r>
        <w:rPr>
          <w:b/>
          <w:bCs/>
          <w:lang w:val="el" w:eastAsia="el"/>
        </w:rPr>
        <w:t xml:space="preserve"> Σε βάρος της επιχείρησης καπνικών προϊόντων επιβάλλεται αμελλητί, με καταλογιστική πράξη του Προϊσταμένου του Τελωνείου, στην τοπική αρμοδιότητα του οποίου ανήκει η έδρα της επιχείρησης καπνικών προϊόντων ή το υποκατάστημα, σε περίπτωση που η έδρα της επιχείρησης δεν βρίσκεται στην Ελληνική Επικράτεια, η υποχρεωτική πληρωμή προς το Ελληνικό Δημόσιο:</w:t>
      </w:r>
    </w:p>
    <w:p>
      <w:pPr>
        <w:spacing w:before="240" w:after="240"/>
        <w:rPr>
          <w:lang w:val="el" w:eastAsia="el"/>
        </w:rPr>
      </w:pPr>
      <w:r>
        <w:rPr>
          <w:b/>
          <w:bCs/>
          <w:lang w:val="el" w:eastAsia="el"/>
        </w:rPr>
        <w:t>(α) Ποσού που ισούται με το 100% των φόρων και δασμών που θα βεβαιώνονταν εάν τα λαθραία βιομηχανοποιημένα καπνά της επιχείρησης καπνικών προϊόντων είχαν διατεθεί νόμιμα προς ανάλωση στο έδαφος της Ελληνικής Δημοκρατίας.</w:t>
      </w:r>
    </w:p>
    <w:p>
      <w:pPr>
        <w:spacing w:before="240" w:after="240"/>
        <w:rPr>
          <w:lang w:val="el" w:eastAsia="el"/>
        </w:rPr>
      </w:pPr>
      <w:r>
        <w:rPr>
          <w:b/>
          <w:bCs/>
          <w:lang w:val="el" w:eastAsia="el"/>
        </w:rPr>
        <w:t>(β) Εάν τα γνήσια βιομηχανοποιημένα καπνά της επιχείρησης που έχουν κατασχεθεί εντός ενός (1) ημερολογιακού έτους στην Ελληνική Επικράτεια ανέρχονται σε συνολικό αριθμό που υπερβαίνει τα είκοσι εκατομμύρια (20.000.000) τεμάχια, η επιχείρηση προβαίνει σε συμπληρωματική πληρωμή ποσού ίσου με το 200%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Εφόσον η ποσότητα των κατασχεμένων βιομηχανοποιημένων καπνών ανέρχεται σε συνολικό αριθμό που υπερβαίνει τα σαράντα εκατομμύρια (40.000.000) τεμάχια, η επιχείρηση θα προβαίνει σε συμπληρωματική πληρωμή ποσού ίσου με το 400%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Το ποσό της περίπτωσης αυτής διατίθεται για τη χρηματοδότηση των προσπαθειών καταπολέμησης της λαθραίας διακίνησης καπνικών προϊόντων.</w:t>
      </w:r>
    </w:p>
    <w:p>
      <w:pPr>
        <w:spacing w:before="240" w:after="240"/>
        <w:rPr>
          <w:lang w:val="el" w:eastAsia="el"/>
        </w:rPr>
      </w:pPr>
      <w:r>
        <w:rPr>
          <w:b/>
          <w:bCs/>
          <w:lang w:val="el" w:eastAsia="el"/>
        </w:rPr>
        <w:t>Εφόσον η επιχείρηση καπνικών προϊόντων είναι νομικό πρόσωπο, η πληρωμή επιβάλλεται στο νομικό πρόσωπο. Το δικαίωμα του Προϊσταμένου του Τελωνείου προς έκδοση της καταλογιστικής πράξης υπόκειται σε πενταετή παραγραφή, αρχόμενη από το τέλος του έτους εντός του οποίου επιβλήθηκε η κατάσχεση. Κατά τα λοιπά, ως προς την τηρητέα διοικητική διαδικασία και την άσκηση δικαστικής προσφυγής, εφαρμόζονται αναλόγως οι διατάξεις των άρθρων 142 παράγραφος 4, 150 παράγραφος 4 και 152 παράγραφοι 3, 5, 6 και 7 του παρόντος Κώδικα.</w:t>
      </w:r>
    </w:p>
    <w:p>
      <w:pPr>
        <w:pStyle w:val="MainText"/>
        <w:spacing w:before="120" w:after="0"/>
        <w:rPr>
          <w:lang w:val="el" w:eastAsia="el"/>
        </w:rPr>
      </w:pPr>
      <w:r>
        <w:rPr>
          <w:b/>
          <w:bCs/>
          <w:lang w:val="el" w:eastAsia="el"/>
        </w:rPr>
        <w:t>6.</w:t>
      </w:r>
      <w:r>
        <w:rPr>
          <w:b/>
          <w:bCs/>
          <w:lang w:val="el" w:eastAsia="el"/>
        </w:rPr>
        <w:t xml:space="preserve"> Οι προϋποθέσεις του καταλογισμού δεν συντρέχουν, αν τα λαθραία βιομηχανοποιημένα καπνά εκλάπησαν από τρίτους ή διέφυγαν της κατοχής της επιχείρησης από λόγους ανωτέρας βίας. Σε περίπτωση κλοπής, η επιχείρηση οφείλει να αποδείξει ότι κατέβαλε κάθε δυνατή προσπάθεια για την αποτροπή της και να προσκομίσει τουλάχιστον αντίγραφο της μήνυσης που υπέβαλε για το αδίκημα της κλοπής, πριν από την κατάσχεση της παραγράφου 2, καθώς και αντίγραφο της καταχώρησης του περιστατικού της κλοπής στο βιβλίο συμβάντων της αρμόδιας αστυνομικής αρχής. Σε περίπτωση λόγου ανώτερης βίας, η επιχείρηση υποχρεούται να προσκομίσει, τουλάχιστον, βεβαίωση της αρμόδιας για την αντιμετώπισή του δημόσιας αρχής, ότι συνέβη το περιστατικό και η απώλεια των βιομηχανοποιημένων καπνών. Εάν μεταγενέστερα με αμετάκλητη ποινική απόφαση ή αμετάκλητο βούλευμα αποδειχθεί ότι δεν έλαβε χώρα η ανωτέρω κλοπή, αναβιώνει η υποχρέωση της επιχείρησης να καταβάλει τα καταλογισθέντα ποσά για τα λαθραία βιομηχανοποιημένα καπνά της που είχαν κατασχεθεί. Κατά το χρονικό διάστημα από τη διάπραξη της παράβασης μέχρι να καταστεί αμετάκλητη η ποινική απόφαση ή το βούλευμα, αναστέλλεται η παραγραφή του δικαιώματος του Δημοσίου να εκδώσει την καταλογιστική πράξη.</w:t>
      </w:r>
    </w:p>
    <w:p>
      <w:pPr>
        <w:pStyle w:val="MainText"/>
        <w:spacing w:before="120" w:after="0"/>
        <w:rPr>
          <w:lang w:val="el" w:eastAsia="el"/>
        </w:rPr>
      </w:pPr>
      <w:r>
        <w:rPr>
          <w:b/>
          <w:bCs/>
          <w:lang w:val="el" w:eastAsia="el"/>
        </w:rPr>
        <w:t>7.</w:t>
      </w:r>
      <w:r>
        <w:rPr>
          <w:b/>
          <w:bCs/>
          <w:lang w:val="el" w:eastAsia="el"/>
        </w:rPr>
        <w:t xml:space="preserve"> Τα ποσά που καταλογίζονται κατά τα ανωτέρω δεν έχουν το χαρακτήρα του διοικητικού προστίμου ή της ποινικής κύρωσης αλλά επιβάλλονται ως αποζημίωση οφειλόμενη στο πλαίσιο αντικειμενικής ευθύνης έναντι του Ελληνικού Δημοσίου για το γεγονός της εκτροπής των βιομηχανοποιημένων καπνών της επιχείρησης στο παράνομο εμπόριο, ανεξάρτητα από υπαιτιότητα επιχείρησης, ακόμη και εάν η επιχείρηση είχε συμμορφωθεί από κάθε άποψη προς τις υποχρεώσεις της που απορρέουν από τις ισχύουσες τελωνειακές διατάξεις.</w:t>
      </w:r>
    </w:p>
    <w:p>
      <w:pPr>
        <w:spacing w:before="240" w:after="240"/>
        <w:rPr>
          <w:lang w:val="el" w:eastAsia="el"/>
        </w:rPr>
      </w:pPr>
      <w:r>
        <w:rPr>
          <w:b/>
          <w:bCs/>
          <w:lang w:val="el" w:eastAsia="el"/>
        </w:rPr>
        <w:t>Η καταβολή των ανωτέρω πληρωμών ουδόλως εμποδίζει την κατά τις κείμενες διατάξεις έρευνα και τον κολασμό τυχόν λαθρεμπορικών παραβάσεων που έλαβαν χώρα σε σχέση με την ποσότητα βιομηχανοποιημένων καπνών που κατασχέθηκαν.</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τα ειδικότερα θέματα της διαδικασίας της δειγματοληψίας, της διαδικασίας της χημικής εξέτασης των δειγμάτων, της οριστικοποίησης των αποτελεσμάτων της χημικής εξέτασης και κάθε άλλης αναγκαίας λεπτομέρειας για την εφαρμογή του παρόντος άρθρου.</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0"/>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221"/>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2"/>
      </w: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3"/>
      </w:r>
      <w:r>
        <w:rPr>
          <w:rStyle w:val="Hyperlink"/>
          <w:b/>
          <w:bCs/>
          <w:color w:val="000000"/>
          <w:sz w:val="20"/>
          <w:szCs w:val="20"/>
          <w:u w:val="none" w:color="0000EE"/>
          <w:vertAlign w:val="superscript"/>
          <w:lang w:val="el" w:eastAsia="el"/>
        </w:rPr>
        <w:footnoteReference w:id="224"/>
      </w:r>
      <w:r>
        <w:rPr>
          <w:rStyle w:val="Hyperlink"/>
          <w:b/>
          <w:bCs/>
          <w:color w:val="000000"/>
          <w:sz w:val="20"/>
          <w:szCs w:val="20"/>
          <w:u w:val="none" w:color="0000EE"/>
          <w:vertAlign w:val="superscript"/>
          <w:lang w:val="el" w:eastAsia="el"/>
        </w:rPr>
        <w:footnoteReference w:id="225"/>
      </w:r>
      <w:r>
        <w:rPr>
          <w:b/>
          <w:bCs/>
          <w:lang w:val="el" w:eastAsia="el"/>
        </w:rPr>
        <w:t>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με φορολογητέα αξία μέχρι και 14.0 ευρώ, 4%.</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με φορολογητέα αξία άνω των 14.0 ευρώ και μέχρι 17.000 ευρώ, 8%.</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με φορολογητέα αξία άνω των 17.0 ευρώ και μέχρι 20.000 ευρώ, 16%.</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με φορολογητέα αξία άνω των 20.0 ευρώ και μέχρι 25.000 ευρώ, 24%.</w:t>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με φορολογητέα αξία άνω των 25.0 ευρώ, 32%.</w:t>
      </w:r>
    </w:p>
    <w:p>
      <w:pPr>
        <w:pStyle w:val="StructureList1"/>
        <w:spacing w:before="120" w:after="0"/>
        <w:rPr>
          <w:lang w:val="el" w:eastAsia="el"/>
        </w:rPr>
      </w:pPr>
      <w:r>
        <w:rPr>
          <w:b/>
          <w:bCs/>
          <w:lang w:val="el" w:eastAsia="el"/>
        </w:rPr>
        <w:t>στ)</w:t>
      </w:r>
      <w:r>
        <w:rPr>
          <w:b/>
          <w:bCs/>
          <w:lang w:val="en" w:eastAsia="en"/>
        </w:rPr>
        <w:tab/>
      </w:r>
      <w:r>
        <w:rPr>
          <w:b/>
          <w:bCs/>
          <w:lang w:val="el" w:eastAsia="el"/>
        </w:rPr>
        <w:t>Για αυτοκίνητα οχήματα τρίκυκλα ή τετράκυ- κλα που εμπίπτουν στο πεδίο εφαρμογής της οδηγίας 2002/24/ΕΚ του Συμβουλίου της 18ης Μαρτίου 2002 (E.E.L.124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4%</w:t>
      </w:r>
    </w:p>
    <w:p>
      <w:pPr>
        <w:spacing w:before="240" w:after="240"/>
        <w:rPr>
          <w:lang w:val="el" w:eastAsia="el"/>
        </w:rPr>
      </w:pPr>
      <w:r>
        <w:rPr>
          <w:b/>
          <w:bCs/>
          <w:lang w:val="el" w:eastAsia="el"/>
        </w:rPr>
        <w:t>Από 501 μέχρι 900 κυβικά εκατοστά 7%</w:t>
      </w:r>
    </w:p>
    <w:p>
      <w:pPr>
        <w:spacing w:before="240" w:after="240"/>
        <w:rPr>
          <w:lang w:val="el" w:eastAsia="el"/>
        </w:rPr>
      </w:pPr>
      <w:r>
        <w:rPr>
          <w:b/>
          <w:bCs/>
          <w:lang w:val="el" w:eastAsia="el"/>
        </w:rPr>
        <w:t>Από 901 κυβικά εκατοστά και πάνω 11%</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διατάξεις του άρθρου 26 του ν.1959/1991 (Α` 123) και της αριθ. Β.27660/712/10.7.1992 κοινής υπουργικής απόφασης των Υπουργών Περιβάλλοντος, Χωροταξίας και Δημόσιων Έργων και Μεταφορών και Επικοινωνιών (Β` 519), εφαρμόζονται και για τα πετρελαιοκίνητα οχήματα της προηγούμενης περίπτωσης στ`.</w:t>
      </w:r>
    </w:p>
    <w:p>
      <w:pPr>
        <w:pStyle w:val="StructureList1"/>
        <w:spacing w:before="120" w:after="0"/>
        <w:rPr>
          <w:lang w:val="el" w:eastAsia="el"/>
        </w:rPr>
      </w:pPr>
      <w:r>
        <w:rPr>
          <w:b/>
          <w:bCs/>
          <w:lang w:val="el" w:eastAsia="el"/>
        </w:rPr>
        <w:t>η)</w:t>
      </w:r>
      <w:r>
        <w:rPr>
          <w:b/>
          <w:bCs/>
          <w:lang w:val="en" w:eastAsia="en"/>
        </w:rPr>
        <w:tab/>
      </w:r>
      <w:r>
        <w:rPr>
          <w:b/>
          <w:bCs/>
          <w:lang w:val="el" w:eastAsia="el"/>
        </w:rPr>
        <w:t>Για την επιλογή του συντελεστή των περιπτώσεων α` έως ε`, για μεταχειρισμένα επιβατικά αυτοκίνητα, λαμβάνεται υπόψη η φορολογητέα αξία της παραγράφου 1 του άρθρου 126, πριν από τις προβλεπόμενες μειώσεις από το άρθρο αυτό.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6"/>
      </w:r>
      <w:r>
        <w:rPr>
          <w:rStyle w:val="Hyperlink"/>
          <w:b/>
          <w:bCs/>
          <w:color w:val="000000"/>
          <w:sz w:val="20"/>
          <w:szCs w:val="20"/>
          <w:u w:val="none" w:color="0000EE"/>
          <w:vertAlign w:val="superscript"/>
          <w:lang w:val="el" w:eastAsia="el"/>
        </w:rPr>
        <w:footnoteReference w:id="227"/>
      </w:r>
      <w:r>
        <w:rPr>
          <w:b/>
          <w:bCs/>
          <w:lang w:val="el" w:eastAsia="el"/>
        </w:rPr>
        <w:t>Για επιβατικά αυτοκίνητα της παραγράφου 1, των οποίων η εκπεμπόμενη μάζα διοξειδίου του άνθρακα - CO2 (συνδυασμένος κύκλος)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μικρότερη ή ίση των 100 γρ./χλμ, οι συντελεστές των περιπτώσεων α`, β`, γ`, δ` και ε` της παραγράφου 2 μειώνονται κατά 5%,</w:t>
      </w:r>
    </w:p>
    <w:p>
      <w:pPr>
        <w:pStyle w:val="StructureList1"/>
        <w:spacing w:before="120" w:after="0"/>
        <w:rPr>
          <w:lang w:val="el" w:eastAsia="el"/>
        </w:rPr>
      </w:pPr>
      <w:r>
        <w:rPr>
          <w:b/>
          <w:bCs/>
          <w:lang w:val="el" w:eastAsia="el"/>
        </w:rPr>
        <w:t>β)</w:t>
      </w:r>
      <w:r>
        <w:rPr>
          <w:b/>
          <w:bCs/>
          <w:lang w:val="en" w:eastAsia="en"/>
        </w:rPr>
        <w:tab/>
      </w:r>
      <w:r>
        <w:rPr>
          <w:b/>
          <w:bCs/>
          <w:lang w:val="el" w:eastAsia="el"/>
        </w:rPr>
        <w:t>μεγαλύτερη από 120 και μικρότερη ή ίση από 140 γρ./χλμ, οι συντελεστές των περιπτώσεων α`, β`, γ`, δ` και ε` της παραγράφου 2 αυξάνονται κατά 10%,</w:t>
      </w:r>
    </w:p>
    <w:p>
      <w:pPr>
        <w:pStyle w:val="StructureList1"/>
        <w:spacing w:before="120" w:after="0"/>
        <w:rPr>
          <w:lang w:val="el" w:eastAsia="el"/>
        </w:rPr>
      </w:pPr>
      <w:r>
        <w:rPr>
          <w:b/>
          <w:bCs/>
          <w:lang w:val="el" w:eastAsia="el"/>
        </w:rPr>
        <w:t>γ)</w:t>
      </w:r>
      <w:r>
        <w:rPr>
          <w:b/>
          <w:bCs/>
          <w:lang w:val="en" w:eastAsia="en"/>
        </w:rPr>
        <w:tab/>
      </w:r>
      <w:r>
        <w:rPr>
          <w:b/>
          <w:bCs/>
          <w:lang w:val="el" w:eastAsia="el"/>
        </w:rPr>
        <w:t>μεγαλύτερη από 140 και μικρότερη ή ίση από 160 γρ./χλμ, οι συντελεστές των περιπτώσεων α`, β`, γ`, δ` και ε` της παραγράφου 2 αυξάνονται κατά 20%,</w:t>
      </w:r>
    </w:p>
    <w:p>
      <w:pPr>
        <w:pStyle w:val="StructureList1"/>
        <w:spacing w:before="120" w:after="0"/>
        <w:rPr>
          <w:lang w:val="el" w:eastAsia="el"/>
        </w:rPr>
      </w:pPr>
      <w:r>
        <w:rPr>
          <w:b/>
          <w:bCs/>
          <w:lang w:val="el" w:eastAsia="el"/>
        </w:rPr>
        <w:t>δ)</w:t>
      </w:r>
      <w:r>
        <w:rPr>
          <w:b/>
          <w:bCs/>
          <w:lang w:val="en" w:eastAsia="en"/>
        </w:rPr>
        <w:tab/>
      </w:r>
      <w:r>
        <w:rPr>
          <w:b/>
          <w:bCs/>
          <w:lang w:val="el" w:eastAsia="el"/>
        </w:rPr>
        <w:t>μεγαλύτερη από 160 και μικρότερη ή ίση από 180 γρ./χλμ, οι συντελεστές των περιπτώσεων α`, β`, γ`, δ` και ε` της παραγράφου 2 αυξάνονται κατά 30%,</w:t>
      </w:r>
    </w:p>
    <w:p>
      <w:pPr>
        <w:pStyle w:val="StructureList1"/>
        <w:spacing w:before="120" w:after="0"/>
        <w:rPr>
          <w:lang w:val="el" w:eastAsia="el"/>
        </w:rPr>
      </w:pPr>
      <w:r>
        <w:rPr>
          <w:b/>
          <w:bCs/>
          <w:lang w:val="el" w:eastAsia="el"/>
        </w:rPr>
        <w:t>ε)</w:t>
      </w:r>
      <w:r>
        <w:rPr>
          <w:b/>
          <w:bCs/>
          <w:lang w:val="en" w:eastAsia="en"/>
        </w:rPr>
        <w:tab/>
      </w:r>
      <w:r>
        <w:rPr>
          <w:b/>
          <w:bCs/>
          <w:lang w:val="el" w:eastAsia="el"/>
        </w:rPr>
        <w:t>μεγαλύτερη από 180 και μικρότερη ή ίση από 200 γρ./χλμ, οι συντελεστές των περιπτώσεων α`, β`, γ`, δ` και ε` της παραγράφου 2 αυξάνονται κατά 40%,</w:t>
      </w:r>
    </w:p>
    <w:p>
      <w:pPr>
        <w:pStyle w:val="StructureList1"/>
        <w:spacing w:before="120" w:after="0"/>
        <w:rPr>
          <w:lang w:val="el" w:eastAsia="el"/>
        </w:rPr>
      </w:pPr>
      <w:r>
        <w:rPr>
          <w:b/>
          <w:bCs/>
          <w:lang w:val="el" w:eastAsia="el"/>
        </w:rPr>
        <w:t>στ)</w:t>
      </w:r>
      <w:r>
        <w:rPr>
          <w:b/>
          <w:bCs/>
          <w:lang w:val="en" w:eastAsia="en"/>
        </w:rPr>
        <w:tab/>
      </w:r>
      <w:r>
        <w:rPr>
          <w:b/>
          <w:bCs/>
          <w:lang w:val="el" w:eastAsia="el"/>
        </w:rPr>
        <w:t>μεγαλύτερη από 200 και μικρότερη ή ίση από 250 γρ./χλμ, οι συντελεστές των περιπτώσεων α`, β`, γ`, δ` και ε` της παραγράφου 2 αυξάνονται κατά 60%,</w:t>
      </w:r>
    </w:p>
    <w:p>
      <w:pPr>
        <w:pStyle w:val="StructureList1"/>
        <w:spacing w:before="120" w:after="0"/>
        <w:rPr>
          <w:lang w:val="el" w:eastAsia="el"/>
        </w:rPr>
      </w:pPr>
      <w:r>
        <w:rPr>
          <w:b/>
          <w:bCs/>
          <w:lang w:val="el" w:eastAsia="el"/>
        </w:rPr>
        <w:t>ζ)</w:t>
      </w:r>
      <w:r>
        <w:rPr>
          <w:b/>
          <w:bCs/>
          <w:lang w:val="en" w:eastAsia="en"/>
        </w:rPr>
        <w:tab/>
      </w:r>
      <w:r>
        <w:rPr>
          <w:b/>
          <w:bCs/>
          <w:lang w:val="el" w:eastAsia="el"/>
        </w:rPr>
        <w:t>μεγαλύτερη από 250 γρ./χλμ οι συντελεστές των περιπτώσεων α`, β`, γ`, δ` και ε` της παραγράφου 2 αυξάνονται κατά 100%.</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8"/>
      </w:r>
      <w:r>
        <w:rPr>
          <w:b/>
          <w:bCs/>
          <w:lang w:val="el" w:eastAsia="el"/>
        </w:rPr>
        <w:t>Για επιβατικά αυτοκίνητα της παραγράφου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του αμέσως προηγούμενου από το ισχύον, ως προς την ταξινόμηση, ευρωπαϊκού προτύπου εκπομπών ρύπων (Euro), οι συντελεστές των περιπτώσεων α`, β`, γ`, δ` και ε` της παραγράφου 2, αυξάνονται κατά 50%,</w:t>
      </w:r>
    </w:p>
    <w:p>
      <w:pPr>
        <w:pStyle w:val="StructureList1"/>
        <w:spacing w:before="120" w:after="0"/>
        <w:rPr>
          <w:lang w:val="el" w:eastAsia="el"/>
        </w:rPr>
      </w:pPr>
      <w:r>
        <w:rPr>
          <w:b/>
          <w:bCs/>
          <w:lang w:val="el" w:eastAsia="el"/>
        </w:rPr>
        <w:t>β)</w:t>
      </w:r>
      <w:r>
        <w:rPr>
          <w:b/>
          <w:bCs/>
          <w:lang w:val="en" w:eastAsia="en"/>
        </w:rPr>
        <w:tab/>
      </w:r>
      <w:r>
        <w:rPr>
          <w:b/>
          <w:bCs/>
          <w:lang w:val="el" w:eastAsia="el"/>
        </w:rPr>
        <w:t>δεν πληρούν εκ κατασκευής τις προδιαγραφές του ισχύοντος, ως προς την ταξινόμηση, ευρωπαϊκού προτύπου εκπομπών ρύπων (Euro) και του αμέσως προηγούμενου και δεν είναι συμβατικής τεχνολογίας, οι συντελεστές των περιπτώσεων α`, β`, γ`, δ` και ε` της παραγράφου 2, αυξάνονται κατά 200%,</w:t>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πληρούν προδιαγραφές ευρωπαϊκού προτύπου εκπομπών ρύπων (Euro), συμβατικής τεχνολογίας και για τα οποία δεν αποδεικνύονται οι εκπομπές διοξειδίου του άνθρακα, οι συντελεστές των περιπτώσεων α`, β`, γ`, δ` και ε` της παραγράφου 2, αυξάνονται κατά 500%, σε συνδυασμό με την περίπτωση ζ` της παραγράφου 3. Οι συντελεστές για οχήματα της περίπτωσης στ` της παραγράφου 1, τα οποία δεν πληρούν εκ κατασκευής τις προδιαγραφές της Οδηγίας 2002/51/ΕΚ ή μεταγενέστερης, προσαυξάνονται κατά ποσοστό τριάντα τοις εκατό (30%).</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229"/>
      </w:r>
      <w:r>
        <w:rPr>
          <w:b/>
          <w:bCs/>
          <w:lang w:val="el" w:eastAsia="el"/>
        </w:rPr>
        <w:t>α) Οι συντελεστές του τέλους ταξινόμησης που προβλέπονται από την παράγραφο 2, όπως αυτοί διαμορφώνονται, σύμφωνα με την παράγραφο 3 για επιβατικά αυτοκίνητα της δασμολογικής κλάσης 87.03 της Συνδυασμένης Ονοματολογίας, που έχουν κομιστεί ή θα κομιστούν στη χώρα μας μέχρι και 31.12.2018 και για τα οποία θα έχουν κατατεθεί μέχρι την παραπάνω ημερομηνία δηλωτικά εισαγωγής ή δηλώσεις άφιξης οχημάτων ή άλλα αποδεικτικά στοιχεία εισόδου, προκειμένου για μετοικούντα πρόσωπα, εφόσον πληρούν εκ κατασκευής τις προδιαγραφές του αμέσως προηγούμενου από το ισχύον, ως προς την ταξινόμηση, ευρωπαϊκού προτύπου εκπομπών ρύπων (Euro), δεν αυξάνονται κατά πενήντα τοις εκατό (50%), όπως προβλέπεται από την περίπτωση α` της παραγράφου 4, με την προϋπόθεση ότι μέχρι και 30.4.2019 θα έχουν βεβαιωθεί και εισπραχθεί γι` αυτά, οι οφειλόμενες φορολογικές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συντελεστές του τέλους ταξινόμησης που προβλέπονται από την παράγραφο 2, όπως αυτοί διαμορφώνονται σύμφωνα με την παράγραφο 3 του ιδίου άρθρου για επιβατικά αυτοκίνητα της δασμολογικής κλάσης 87.03 της Συνδυασμένης Ονοματολογίας που έχουν κομιστεί ή θα κομιστούν στη χώρα μας μέχρι και 31.12.2018 και για τα οποία θα έχουν κατατεθεί, μέχρι την παραπάνω ημερομηνία, δηλωτικά εισαγωγής ή δηλώσεις άφιξης οχημάτων ή άλλα αποδεικτικά στοιχεία εισόδου, προκειμένου για μετοικούντα πρόσωπα, εφόσον δεν πληρούν εκ κατασκευής τις προδιαγραφές του ισχύοντος και του αμέσως προηγούμενου, ως προς την ταξινόμηση, ευρωπαϊκού προτύπου εκπομπών ρύπων (Euro) και δεν είναι συμβατικής τεχνολογίας, δεν αυξάνονται κατά διακόσια της εκατό (200%), όπως προβλέπεται από την περίπτωση β` της παραγράφου 4, αλλά κατά πενήντα τοις εκατό (50%), με την προϋπόθεση ότι, μέχρι και 30.4.2019 θα έχουν βεβαιωθεί και εισπραχθεί γι` αυτά, οι οφειλόμενες φορολογικές επιβαρύνσεις.</w:t>
      </w:r>
    </w:p>
    <w:p>
      <w:pPr>
        <w:spacing w:before="240" w:after="240"/>
        <w:rPr>
          <w:lang w:val="el" w:eastAsia="el"/>
        </w:rPr>
      </w:pPr>
      <w:r>
        <w:rPr>
          <w:b/>
          <w:bCs/>
          <w:lang w:val="el" w:eastAsia="el"/>
        </w:rPr>
        <w:t>Οι διατάξεις της παρούσας παραγράφου δεν εφαρμόζονται για αυτοκίνητα για τα οποία το τέλος ταξινόμησης βεβαιώθηκε από 1.9.2018 μέχρι την έναρξη ισχύος τους.</w:t>
      </w:r>
    </w:p>
    <w:p>
      <w:pPr>
        <w:pStyle w:val="MainText"/>
        <w:spacing w:before="120" w:after="0"/>
        <w:rPr>
          <w:lang w:val="el" w:eastAsia="el"/>
        </w:rPr>
      </w:pPr>
      <w:r>
        <w:rPr>
          <w:b/>
          <w:bCs/>
          <w:lang w:val="el" w:eastAsia="el"/>
        </w:rPr>
        <w:t>4Β.</w:t>
      </w:r>
      <w:r>
        <w:rPr>
          <w:b/>
          <w:bCs/>
          <w:lang w:val="el" w:eastAsia="el"/>
        </w:rPr>
        <w:t xml:space="preserve"> </w:t>
      </w:r>
      <w:r>
        <w:rPr>
          <w:rStyle w:val="Hyperlink"/>
          <w:b/>
          <w:bCs/>
          <w:color w:val="000000"/>
          <w:sz w:val="20"/>
          <w:szCs w:val="20"/>
          <w:u w:val="none" w:color="0000EE"/>
          <w:vertAlign w:val="superscript"/>
          <w:lang w:val="el" w:eastAsia="el"/>
        </w:rPr>
        <w:footnoteReference w:id="230"/>
      </w:r>
      <w:r>
        <w:rPr>
          <w:b/>
          <w:bCs/>
          <w:lang w:val="el" w:eastAsia="el"/>
        </w:rPr>
        <w:t>α) Οι συντελεστές του τέλους ταξινόμησης που προβλέπονται από την παράγραφο 2, όπως αυτοί διαμορφώνονται σύμφωνα με την παράγραφο 3 για επιβατικά αυτοκίνητα της δασμολογικής κλάσης 87.03 της Συνδυασμένης Ονοματολογίας, που έχουν κομιστεί ή θα κομιστούν στη Χώρα μας μέχρι και 31.8.2019 και για τα οποία θα έχουν κατατεθεί, μέχρι την παραπάνω ημερομηνία, δηλωτικά εισαγωγής ή δηλώσεις άφιξης οχημάτων ή άλλα αποδεικτικά στοιχεία εισόδου, προκειμένου για μετοικούντα πρόσωπα, εφόσον πληρούν εκ κατασκευής τις προδιαγραφές του αμέσως προηγούμενου από το ισχύον, ως προς την ταξινόμηση, ευρωπαϊκού προτύπου εκπομπών ρύπων (Euro), δεν αυξάνονται κατά πενήντα τοις εκατό (50%), όπως προβλέπεται από την περίπτωση α` της παραγράφου 4, του ιδίου άρθρου με την προϋπόθεση ότι, μέχρι και 31.12.2019 θα έχουν βεβαιωθεί και εισπραχθεί γι` αυτά, οι οφειλόμενες φορολογικές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συντελεστές του τέλους ταξινόμησης που προβλέπονται από την παράγραφο 2, όπως αυτοί διαμορφώνονται σύμφωνα με την παράγραφο 3, για επιβατικά αυτοκίνητα της δασμολογικής κλάσης 87.03 της Συνδυασμένης Ονοματολογίας, που έχουν κομιστεί ή θα κομιστούν στη Χώρα μας μέχρι και 29.2.2020 και για τα οποία θα έχουν κατατεθεί, μέχρι την παραπάνω ημερομηνία, δηλωτικά εισαγωγής ή δηλώσεις άφιξης οχημάτων ή άλλα αποδεικτικά στοιχεία εισόδου, προκειμένου για μετοικούντα πρόσωπα, εφόσον δεν πληρούν εκ κατασκευής τις προδιαγραφές του αμέσως προηγούμενου, από το ισχύον, ως προς την ταξινόμηση, ευρωπαϊκού προτύπου εκπομπών ρύπων (Euro), δεν αυξάνονται κατά διακόσια τοις εκατό (200%), όπως προβλέπεται από την περίπτωση β` της παραγράφου 4, αλλά κατά πενήντα τοις εκατό (50%), με την προϋπόθεση ότι μέχρι και 16.3.2020 θα έχουν βεβαιωθεί και εισπραχθεί γι` αυτά, οι οφειλόμενες φορολογικές επιβαρύνσεις.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31"/>
      </w:r>
      <w:r>
        <w:rPr>
          <w:rStyle w:val="Hyperlink"/>
          <w:b/>
          <w:bCs/>
          <w:color w:val="000000"/>
          <w:sz w:val="20"/>
          <w:szCs w:val="20"/>
          <w:u w:val="none" w:color="0000EE"/>
          <w:vertAlign w:val="superscript"/>
          <w:lang w:val="el" w:eastAsia="el"/>
        </w:rPr>
        <w:footnoteReference w:id="232"/>
      </w:r>
      <w:r>
        <w:rPr>
          <w:b/>
          <w:bCs/>
          <w:lang w:val="el" w:eastAsia="el"/>
        </w:rPr>
        <w:t>Τα υβριδικά μηχανοκίνητα επιβατικά αυτοκίνητα, όπως αυτά προσδιορίζονται από την οδηγία 2007/46, όπως ισχύει και ειδικότερα τα υβριδικά ηλεκτρικά αυτοκίνητα, όπως αυτά προσδιορίζονται από τον Καν. 692/2008, όπως ισχύει, απαλλάσσονται από το 50% του προβλεπόμενου από τις διατάξεις του άρθρου αυτού τέλους ταξινόμησης. Τα αμιγώς ηλεκτρικά αυτοκίνητα, όπως αυτά προσδιορίζονται από τον Καν. 692/2008, όπως ισχύει, δεν υπόκεινται στο προβλεπόμενο από τις διατάξεις του άρθρου αυτού τέλους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33"/>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234"/>
      </w:r>
      <w:r>
        <w:rPr>
          <w:rStyle w:val="Hyperlink"/>
          <w:b/>
          <w:bCs/>
          <w:color w:val="000000"/>
          <w:sz w:val="20"/>
          <w:szCs w:val="20"/>
          <w:u w:val="none" w:color="0000EE"/>
          <w:vertAlign w:val="superscript"/>
          <w:lang w:val="el" w:eastAsia="el"/>
        </w:rPr>
        <w:footnoteReference w:id="235"/>
      </w:r>
      <w:r>
        <w:rPr>
          <w:b/>
          <w:bCs/>
          <w:lang w:val="el" w:eastAsia="el"/>
        </w:rPr>
        <w:t>Σε περίπτωση που ο κάτοχος μεταχειρισμένου κοινοτικού επιβατικού αυτοκίνητου, με πρώτη άδεια κυκλοφορίας κράτους μέλους της Ευρωπαϊκής Ένωσης, εκδοθείσα πριν από την 1η Ιουνίου του 2016, εκτιμά ότι το προς επιβολή τέλος ταξινόμησης, όπως βεβαιώνεται, σύμφωνα με τις διατάξεις των παραγράφων 2, 3 και 4 και τις διατάξεις του άρθρου 126 του παρόντος νόμου, υπερβαίνει το υπολειπόμενο τέλος ταξινόμησης που είναι ενσωματωμένο σε όμοιο, της αυτής μάρκας και τύπου μεταχειρισμένου αυτοκινήτου ή ελλείψει αυτών σε όχημα παρόμοιο ή παρεμφερές που έχει ήδη ταξινομηθεί στη χώρα πριν από την εν λόγω ημερομηνία, έχει δικαίωμα να αιτηθεί τον υπολογισμό του ιστορικού τέλους ταξινόμησης από την Ειδική Επιτροπή του δεύτερου εδαφίου της παρ. 4 του άρθρου 126. Για τον υπολογισμό του ιστορικού τέλους ταξινόμησης, λαμβάνονται υπόψη οι ισχύοντες συντελεστές του τέλους ταξινόμησης και τα ισχύοντα στοιχεία διαμόρφωσης της φορολογητέας αξίας, κατά το χρόνο της πρώτης κυκλοφορίας του αυτοκινήτου σε κράτος μέλος της Ευρωπαϊκής Ένωσης. Το τέλος ταξινόμησης για τα υπό κρίση αυτοκίνητα, βεβαιώνεται σύμφωνα με το μικρότερο ποσό, όπως προκύπτει μεταξύ του ιστορικού τέλους ταξινόμησης και του τέλους ταξινόμησης, όπως αυτό υπολογίζεται, σύμφωνα με τις διατάξεις των παραγράφων 2, 3 και 4 του παρόντος άρθρου και τις διατάξεις του άρθρου 126 του παρόντος νόμου. Με την απόφαση του τέταρτου εδαφίου της παρ. 5 του άρθρου 126, καθορίζονται τα στοιχεία που πρέπει να λαμβάνονται υπόψη από την Επιτροπή αυτή και κάθε άλλη αναγκαία λεπτομέρεια για την εφαρμογή της παρούσας παραγράφου.</w:t>
      </w:r>
    </w:p>
    <w:p>
      <w:pPr>
        <w:spacing w:before="240" w:after="240"/>
        <w:rPr>
          <w:lang w:val="el" w:eastAsia="el"/>
        </w:rPr>
      </w:pPr>
      <w:r>
        <w:rPr>
          <w:rStyle w:val="Hyperlink"/>
          <w:b/>
          <w:bCs/>
          <w:color w:val="000000"/>
          <w:sz w:val="20"/>
          <w:szCs w:val="20"/>
          <w:u w:val="none" w:color="0000EE"/>
          <w:vertAlign w:val="superscript"/>
          <w:lang w:val="el" w:eastAsia="el"/>
        </w:rPr>
        <w:footnoteReference w:id="236"/>
      </w:r>
      <w:r>
        <w:rPr>
          <w:b/>
          <w:bCs/>
          <w:lang w:val="el" w:eastAsia="el"/>
        </w:rPr>
        <w:t>Για την εξέταση του οχήματος από την Ειδική Επιτροπή του δεύτερου εδαφίου της παραγράφου 4 του άρθρου 126, απαιτείται αίτηση του ενδιαφερομένου και καταβολή παραβόλου, το ύψος του οποίου είναι ίσο με το ύψος του παράβολου το οποίο καθορίζεται με την απόφαση του τρίτου εδαφίου της παραγράφου 5 του ιδίου άρθρου.</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37"/>
      </w:r>
      <w:r>
        <w:rPr>
          <w:rStyle w:val="Hyperlink"/>
          <w:b/>
          <w:bCs/>
          <w:color w:val="000000"/>
          <w:sz w:val="20"/>
          <w:szCs w:val="20"/>
          <w:u w:val="none" w:color="0000EE"/>
          <w:vertAlign w:val="superscript"/>
          <w:lang w:val="el" w:eastAsia="el"/>
        </w:rPr>
        <w:footnoteReference w:id="238"/>
      </w:r>
      <w:r>
        <w:rPr>
          <w:rStyle w:val="Hyperlink"/>
          <w:b/>
          <w:bCs/>
          <w:color w:val="000000"/>
          <w:sz w:val="20"/>
          <w:szCs w:val="20"/>
          <w:u w:val="none" w:color="0000EE"/>
          <w:vertAlign w:val="superscript"/>
          <w:lang w:val="el" w:eastAsia="el"/>
        </w:rPr>
        <w:footnoteReference w:id="239"/>
      </w:r>
      <w:r>
        <w:rPr>
          <w:b/>
          <w:bCs/>
          <w:lang w:val="el" w:eastAsia="el"/>
        </w:rPr>
        <w:t>Για την υπαγωγή στους αντίστοιχους συντελεστές τέλους ταξινόμησης των παραγράφων 2, 3 και 4 του παρόντος άρθρου,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προσκομιζόμενη σε αυτήν έγκριση τύπου ή το δελτίο κοινοποίησης έγκρισης τύπου και το αντίστοιχο πιστοποιητικό συμμόρφωσης του οχήματος.</w:t>
      </w:r>
    </w:p>
    <w:p>
      <w:pPr>
        <w:spacing w:before="240" w:after="240"/>
        <w:rPr>
          <w:lang w:val="el" w:eastAsia="el"/>
        </w:rPr>
      </w:pPr>
      <w:r>
        <w:rPr>
          <w:rStyle w:val="Hyperlink"/>
          <w:b/>
          <w:bCs/>
          <w:color w:val="000000"/>
          <w:sz w:val="20"/>
          <w:szCs w:val="20"/>
          <w:u w:val="none" w:color="0000EE"/>
          <w:vertAlign w:val="superscript"/>
          <w:lang w:val="el" w:eastAsia="el"/>
        </w:rPr>
        <w:footnoteReference w:id="240"/>
      </w: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τις αναγραφόμενες εκπομπές διοξειδίου του άνθρακα και το αναγραφόμενο πρότυπο εκπομπών ρύπων που πληροί εκ κατασκευής το όχημα στο πιστοποιητικό συμμόρφωσης. Ειδικά ως προς την εκπεμπόμενη μάζα διοξειδίου του άνθρακα, έως 31.8.2019 θα λαμβάνονται υπόψη οι τιμές, σύμφωνα με τον νέο ευρωπαϊκό κύκλο οδήγησης (NEDC), ενώ, από 1.9.2019 και εφεξής, οι τιμές σύμφωνα με την παγκοσμίως εναρμονισμένη διαδικασία δοκιμής ελαφρών οχημάτων (WLTP).</w:t>
      </w:r>
    </w:p>
    <w:p>
      <w:pPr>
        <w:spacing w:before="240" w:after="240"/>
        <w:rPr>
          <w:lang w:val="el" w:eastAsia="el"/>
        </w:rPr>
      </w:pPr>
      <w:r>
        <w:rPr>
          <w:b/>
          <w:bCs/>
          <w:lang w:val="el" w:eastAsia="el"/>
        </w:rPr>
        <w:t>Ειδικά ως προς την εκπεμπόμενη μάζα διοξειδίου του άνθρακα, έως 29.2.2020 λαμβάνονται υπόψη οι τιμές, σύμφωνα με τον νέο ευρωπαϊκό κύκλο οδήγησης (NEDC), ενώ, από 01.3.2020 και εφεξής, οι τιμές σύμφωνα με την παγκοσμίως εναρμονισμένη διαδικασία δοκιμής ελαφρών οχημάτων (WLTP).</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1"/>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42"/>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3"/>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4"/>
      </w:r>
      <w:r>
        <w:rPr>
          <w:rStyle w:val="Hyperlink"/>
          <w:b/>
          <w:bCs/>
          <w:color w:val="000000"/>
          <w:sz w:val="20"/>
          <w:szCs w:val="20"/>
          <w:u w:val="none" w:color="0000EE"/>
          <w:vertAlign w:val="superscript"/>
          <w:lang w:val="el" w:eastAsia="el"/>
        </w:rPr>
        <w:footnoteReference w:id="245"/>
      </w:r>
      <w:r>
        <w:rPr>
          <w:rStyle w:val="Hyperlink"/>
          <w:b/>
          <w:bCs/>
          <w:color w:val="000000"/>
          <w:sz w:val="20"/>
          <w:szCs w:val="20"/>
          <w:u w:val="none" w:color="0000EE"/>
          <w:vertAlign w:val="superscript"/>
          <w:lang w:val="el" w:eastAsia="el"/>
        </w:rPr>
        <w:footnoteReference w:id="246"/>
      </w:r>
      <w:r>
        <w:rPr>
          <w:rStyle w:val="Hyperlink"/>
          <w:b/>
          <w:bCs/>
          <w:color w:val="000000"/>
          <w:sz w:val="20"/>
          <w:szCs w:val="20"/>
          <w:u w:val="none" w:color="0000EE"/>
          <w:vertAlign w:val="superscript"/>
          <w:lang w:val="el" w:eastAsia="el"/>
        </w:rPr>
        <w:footnoteReference w:id="247"/>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87.04 της Συνδυασμένης Ονοματολογίας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της Σ.Ο., τα οποία πληρούν εκ κατασκευής τις προδιαγραφές του ισχύοντος, ως προς την ταξινόμηση, ευρωπαϊκού προτύπου εκπομπών ρύπων (Euro) και του αμέσως προηγούμενου,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Οι συντελεστές των προηγούμενων περιπτώσεων α` έως και ε` προσαυξάνονται κατά ποσοστό τριάντα τοις εκατό (30%) προκειμένου για αυτοκίνητα που δεν πληρούν εκ κατασκευής τις προδιαγραφές του ισχύοντος, ως προς την ταξινόμηση, ευρωπαϊκού προτύπου εκπομπών ρύπων (Euro) και του αμέσως προηγούμενου. </w:t>
      </w:r>
    </w:p>
    <w:p>
      <w:pPr>
        <w:spacing w:before="240" w:after="240"/>
        <w:rPr>
          <w:lang w:val="el" w:eastAsia="el"/>
        </w:rPr>
      </w:pPr>
      <w:r>
        <w:rPr>
          <w:rStyle w:val="Hyperlink"/>
          <w:b/>
          <w:bCs/>
          <w:color w:val="000000"/>
          <w:sz w:val="20"/>
          <w:szCs w:val="20"/>
          <w:u w:val="none" w:color="0000EE"/>
          <w:vertAlign w:val="superscript"/>
          <w:lang w:val="el" w:eastAsia="el"/>
        </w:rPr>
        <w:footnoteReference w:id="248"/>
      </w:r>
      <w:r>
        <w:rPr>
          <w:b/>
          <w:bCs/>
          <w:lang w:val="el" w:eastAsia="el"/>
        </w:rPr>
        <w:t>Οι συντελεστές για οχήματα της περίπτωσης η`, τα οποία δεν πληρούν εκ κατασκευής τις προδιαγραφές της οδηγίας 92/61/ΕΚ ή μεταγενέστερης προσαυξάνονται κατά ποσοστό τριάντα τοις εκατό (30%).</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3%</w:t>
      </w:r>
    </w:p>
    <w:p>
      <w:pPr>
        <w:spacing w:before="240" w:after="240"/>
        <w:rPr>
          <w:lang w:val="el" w:eastAsia="el"/>
        </w:rPr>
      </w:pPr>
      <w:r>
        <w:rPr>
          <w:b/>
          <w:bCs/>
          <w:lang w:val="el" w:eastAsia="el"/>
        </w:rPr>
        <w:t>Από 501 μέχρι 900 κυβικά εκατοστά 6%</w:t>
      </w:r>
    </w:p>
    <w:p>
      <w:pPr>
        <w:spacing w:before="240" w:after="240"/>
        <w:rPr>
          <w:lang w:val="el" w:eastAsia="el"/>
        </w:rPr>
      </w:pPr>
      <w:r>
        <w:rPr>
          <w:b/>
          <w:bCs/>
          <w:lang w:val="el" w:eastAsia="el"/>
        </w:rPr>
        <w:t>Από 901 κυβικά εκατοστά και πάνω 10%</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(Α`265) υποβάλλονται αντί των φορολογικών επιβαρύνσεων που προβλέπονται από το ν. 1573/1985 (Α`201) σε τέλος ταξινόμησης, το ύψος του οποίου ορίζεται ως εξής:</w:t>
      </w:r>
    </w:p>
    <w:p>
      <w:pPr>
        <w:spacing w:before="240" w:after="240"/>
        <w:rPr>
          <w:lang w:val="el" w:eastAsia="el"/>
        </w:rPr>
      </w:pPr>
      <w:r>
        <w:rPr>
          <w:b/>
          <w:bCs/>
          <w:lang w:val="el" w:eastAsia="el"/>
        </w:rPr>
        <w:t>-Για τα κυλινδρισμού κινητήρα από 901 - 1.400 κυβ. εκατοστά, επτακόσια τριάντα τρία (733) ευρώ.</w:t>
      </w:r>
    </w:p>
    <w:p>
      <w:pPr>
        <w:spacing w:before="240" w:after="240"/>
        <w:rPr>
          <w:lang w:val="el" w:eastAsia="el"/>
        </w:rPr>
      </w:pPr>
      <w:r>
        <w:rPr>
          <w:b/>
          <w:bCs/>
          <w:lang w:val="el" w:eastAsia="el"/>
        </w:rPr>
        <w:t>-Για τα κυλινδρισμού κινητήρα από 1.401 - 1.800 κυβ. εκατοστά, χίλια είκοσι επτά (1.027) ευρώ.</w:t>
      </w:r>
    </w:p>
    <w:p>
      <w:pPr>
        <w:spacing w:before="240" w:after="240"/>
        <w:rPr>
          <w:lang w:val="el" w:eastAsia="el"/>
        </w:rPr>
      </w:pPr>
      <w:r>
        <w:rPr>
          <w:b/>
          <w:bCs/>
          <w:lang w:val="el" w:eastAsia="el"/>
        </w:rPr>
        <w:t>-Για τα κυλινδρισμού κινητήρα από 1.801 - 2.000 κυβ. εκατοστά, χίλια τετρακόσια εξήντα επτά (1.467) ευρώ.</w:t>
      </w:r>
    </w:p>
    <w:p>
      <w:pPr>
        <w:spacing w:before="240" w:after="240"/>
        <w:rPr>
          <w:lang w:val="el" w:eastAsia="el"/>
        </w:rPr>
      </w:pP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249"/>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που προκύπτουν από διασκευή, κατά τα ανωτέρω, λαμβάνεται υπόψη η πράγματι πληρωθείσα ή πληρωτέα αξία του αρχικού οχήματος και τα λοιπά στοιχεία της παραγράφου 4, στα οποία προστίθεται και το κόστος της διασκευής, εφόσον το τελικό παραγόμενο φορτηγό αυτοκίνητο έχει μικτό βάρος πάνω από 3,5 τόνους ή η λιανική τιμή πώλησης προ φόρων του τελικού παραγό- μενου φορτηγού αυτοκίνητου, εφόσον έχει μικτό βάρος μέχρι και 3,5 τόνους.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50"/>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2"/>
      </w:r>
      <w:r>
        <w:rPr>
          <w:rStyle w:val="Hyperlink"/>
          <w:b/>
          <w:bCs/>
          <w:color w:val="000000"/>
          <w:sz w:val="20"/>
          <w:szCs w:val="20"/>
          <w:u w:val="none" w:color="0000EE"/>
          <w:vertAlign w:val="superscript"/>
          <w:lang w:val="el" w:eastAsia="el"/>
        </w:rPr>
        <w:footnoteReference w:id="253"/>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4"/>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255"/>
      </w:r>
      <w:r>
        <w:rPr>
          <w:rStyle w:val="Hyperlink"/>
          <w:b/>
          <w:bCs/>
          <w:color w:val="000000"/>
          <w:sz w:val="20"/>
          <w:szCs w:val="20"/>
          <w:u w:val="none" w:color="0000EE"/>
          <w:vertAlign w:val="superscript"/>
          <w:lang w:val="el" w:eastAsia="el"/>
        </w:rPr>
        <w:footnoteReference w:id="256"/>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w:t>
      </w:r>
      <w:r>
        <w:rPr>
          <w:rStyle w:val="Hyperlink"/>
          <w:b/>
          <w:bCs/>
          <w:color w:val="000000"/>
          <w:sz w:val="20"/>
          <w:szCs w:val="20"/>
          <w:u w:val="none" w:color="0000EE"/>
          <w:vertAlign w:val="superscript"/>
          <w:lang w:val="el" w:eastAsia="el"/>
        </w:rPr>
        <w:footnoteReference w:id="257"/>
      </w:r>
      <w:r>
        <w:rPr>
          <w:b/>
          <w:bCs/>
          <w:lang w:val="el" w:eastAsia="el"/>
        </w:rPr>
        <w:t>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258"/>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259"/>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60"/>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2"/>
      </w:r>
      <w:r>
        <w:rPr>
          <w:b/>
          <w:bCs/>
          <w:lang w:val="el" w:eastAsia="el"/>
        </w:rPr>
        <w:t>Τα κοινοτικά οχήματα που αναφέρονται στα άρθρα 121,121α, 122, 123 και 124 του παρόντος Κώδικα, καθώς και οι βάσεις των δασμολογικών κλάσεων 87.02 και 87.06 της Συνδυασμένης Ονοματολογίας, τα οποία εισέρχονται στο εσωτερικό της χώρας, δηλώνονται αμέσως στην πλη- σιέστερη Τελωνειακή Αρχή..</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63"/>
      </w:r>
      <w:r>
        <w:rPr>
          <w:b/>
          <w:bCs/>
          <w:lang w:val="el" w:eastAsia="el"/>
        </w:rPr>
        <w:t>Όταν τα παραπάνω οχήματα, μεταφέρονται έμφορτα ή αυτοδύναμα στο εσωτερικό της χώρας, δηλώνονται αμέσως από το πρόσωπο που πραγματοποίησε την είσοδο αυτή ή τον ιδιοκτήτη των οχημάτων ή τον παραλήπτη ή τον νόμιμο αντιπρόσωπό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4"/>
      </w:r>
      <w:r>
        <w:rPr>
          <w:b/>
          <w:bCs/>
          <w:lang w:val="el" w:eastAsia="el"/>
        </w:rPr>
        <w:t>Κατά τη δήλωση των οχημάτων της παραγράφου 1 καθορίζεται η αναγκαία προθεσμία για τη μεταφορά των οχημάτων στον δηλωθέντα πρώτο ή τελικό τόπο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65"/>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66"/>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67"/>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8"/>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69"/>
      </w:r>
      <w:r>
        <w:rPr>
          <w:rStyle w:val="Hyperlink"/>
          <w:b/>
          <w:bCs/>
          <w:color w:val="000000"/>
          <w:sz w:val="20"/>
          <w:szCs w:val="20"/>
          <w:u w:val="none" w:color="0000EE"/>
          <w:vertAlign w:val="superscript"/>
          <w:lang w:val="el" w:eastAsia="el"/>
        </w:rPr>
        <w:footnoteReference w:id="270"/>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Σε περίπτωση κλοπής αυτοκινήτων που έχουν παραληφθεί με πλήρη ή μερική απαλλαγή από το τέλος ταξινόμησης και υπό την προϋπόθεση ότι, παρέχεται από τις ισχύουσες διατάξεις η δυνατότητα εκ νέου χορήγησης απαλλαγής από το φόρο, για την εκ νέου υπαγωγή του δικαιούχου στο δικαίωμα, ανεξάρτητα από το χρονικό σημείο κατά το οποίο συντελείται η κλοπή, εφόσον η υποβολή του αιτήματος για την απόκτηση νέου αυτοκινήτου ατελώς γίνεται εντός του εκάστοτε περιοριστικού διαστήματος, οφείλεται το αναλογούν για το κλαπέν αυτοκίνητο τέλος ταξινόμησης, ενώ εφόσον η υποβολή του αιτήματος για την απόκτηση νέου αυτοκινήτου ατελώς γίνεται πέραν του εκάστοτε περιοριστικού διαστήματος, απαλλάσσεται ο δικαιούχος από την καταβολή του αντίστοιχου τέλους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71"/>
      </w:r>
      <w:r>
        <w:rPr>
          <w:rStyle w:val="Hyperlink"/>
          <w:b/>
          <w:bCs/>
          <w:color w:val="000000"/>
          <w:sz w:val="20"/>
          <w:szCs w:val="20"/>
          <w:u w:val="none" w:color="0000EE"/>
          <w:vertAlign w:val="superscript"/>
          <w:lang w:val="el" w:eastAsia="el"/>
        </w:rPr>
        <w:footnoteReference w:id="272"/>
      </w:r>
      <w:r>
        <w:rPr>
          <w:rStyle w:val="Hyperlink"/>
          <w:b/>
          <w:bCs/>
          <w:color w:val="000000"/>
          <w:sz w:val="20"/>
          <w:szCs w:val="20"/>
          <w:u w:val="none" w:color="0000EE"/>
          <w:vertAlign w:val="superscript"/>
          <w:lang w:val="el" w:eastAsia="el"/>
        </w:rPr>
        <w:footnoteReference w:id="273"/>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Οι νόμιμοι κληρονόμοι δύναται να αποδεσμεύουν τελωνειακά, εντός του εκάστοτε ισχύοντος περιοριστικού διαστήματος, επιβατικό αυτοκίνητο, το οποίο έχει παραληφθεί με απαλλαγή από το τέλος ταξινόμησης με βάση τις διατάξεις για τα άτομα με αναπηρίες και έχει περιέλθει στην κατοχή τους κατόπιν κληρονομικής διαδοχής, μέσω μεταβίβασης σε άλλο δικαιούχο της ίδιας απαλλαγής πρόσωπο χωρίς την καταβολή του τέλους ταξινόμησης και με νέα εκκίνηση του προβλεπόμενου περιοριστικού διαστήματος παρακολούθησης της ατέλειας από την ημερομηνία της μεταβίβασης.</w:t>
      </w:r>
    </w:p>
    <w:p>
      <w:pPr>
        <w:spacing w:before="240" w:after="240"/>
        <w:rPr>
          <w:lang w:val="el" w:eastAsia="el"/>
        </w:rPr>
      </w:pPr>
      <w:r>
        <w:rPr>
          <w:rStyle w:val="Hyperlink"/>
          <w:b/>
          <w:bCs/>
          <w:color w:val="000000"/>
          <w:sz w:val="20"/>
          <w:szCs w:val="20"/>
          <w:u w:val="none" w:color="0000EE"/>
          <w:vertAlign w:val="superscript"/>
          <w:lang w:val="el" w:eastAsia="el"/>
        </w:rPr>
        <w:footnoteReference w:id="274"/>
      </w:r>
      <w:r>
        <w:rPr>
          <w:b/>
          <w:bCs/>
          <w:lang w:val="el" w:eastAsia="el"/>
        </w:rPr>
        <w:t>Τα επιβατικά αυτοκίνητα που έχουν παραληφθεί με απαλλαγή από το τέλος ταξινόμησης με βάση τις διατάξεις που ισχύουν για τα άτομα με αναπηρίες και συνεπεία θανάτου αυτών περιέρχονται στους νόμιμους κληρονόμους τους, τακτοποιούνται τελωνειακά από την Τελωνειακή Περιφέρεια Αττικής εντός προθεσμίας δύο (2) ετών από την ημερομηνία θανάτου του δικαιούχου προσώπου.</w:t>
      </w:r>
    </w:p>
    <w:p>
      <w:pPr>
        <w:spacing w:before="240" w:after="240"/>
        <w:rPr>
          <w:lang w:val="el" w:eastAsia="el"/>
        </w:rPr>
      </w:pPr>
      <w:r>
        <w:rPr>
          <w:rStyle w:val="Hyperlink"/>
          <w:b/>
          <w:bCs/>
          <w:color w:val="000000"/>
          <w:sz w:val="20"/>
          <w:szCs w:val="20"/>
          <w:u w:val="none" w:color="0000EE"/>
          <w:vertAlign w:val="superscript"/>
          <w:lang w:val="el" w:eastAsia="el"/>
        </w:rPr>
        <w:footnoteReference w:id="275"/>
      </w:r>
      <w:r>
        <w:rPr>
          <w:b/>
          <w:bCs/>
          <w:lang w:val="el" w:eastAsia="el"/>
        </w:rPr>
        <w:t>Σε περίπτωση υποβολής αιτημάτων τακτοποίησης - αποδέσμευσης αναπηρικών αυτοκινήτων από τους κληρονόμους των αποθανόντων δικαιούχων μετά την πάροδο της διετίας, η εν λόγω τακτοποίηση-αποδέσμευση θα πραγματοποιείται από την Τελωνειακή Περιφέρεια Αττικής, μετά την επιβολή από την αρμόδια τελωνειακή αρχή του προβλεπόμενου από την παράγραφο 2 του άρθρου 147 προστίμου, επιφυλασσομένων των περί λαθρεμπορίας διατάξεων.</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76"/>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77"/>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79"/>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80"/>
      </w:r>
      <w:r>
        <w:rPr>
          <w:rStyle w:val="Hyperlink"/>
          <w:b/>
          <w:bCs/>
          <w:color w:val="000000"/>
          <w:sz w:val="20"/>
          <w:szCs w:val="20"/>
          <w:u w:val="none" w:color="0000EE"/>
          <w:vertAlign w:val="superscript"/>
          <w:lang w:val="el" w:eastAsia="el"/>
        </w:rPr>
        <w:footnoteReference w:id="281"/>
      </w:r>
      <w:r>
        <w:rPr>
          <w:rStyle w:val="Hyperlink"/>
          <w:b/>
          <w:bCs/>
          <w:color w:val="000000"/>
          <w:sz w:val="20"/>
          <w:szCs w:val="20"/>
          <w:u w:val="none" w:color="0000EE"/>
          <w:vertAlign w:val="superscript"/>
          <w:lang w:val="el" w:eastAsia="el"/>
        </w:rPr>
        <w:footnoteReference w:id="282"/>
      </w:r>
      <w:r>
        <w:rPr>
          <w:rStyle w:val="Hyperlink"/>
          <w:b/>
          <w:bCs/>
          <w:color w:val="000000"/>
          <w:sz w:val="20"/>
          <w:szCs w:val="20"/>
          <w:u w:val="none" w:color="0000EE"/>
          <w:vertAlign w:val="superscript"/>
          <w:lang w:val="el" w:eastAsia="el"/>
        </w:rPr>
        <w:footnoteReference w:id="283"/>
      </w:r>
      <w:r>
        <w:rPr>
          <w:b/>
          <w:bCs/>
          <w:lang w:val="el" w:eastAsia="el"/>
        </w:rPr>
        <w:t>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84"/>
      </w:r>
      <w:r>
        <w:rPr>
          <w:b/>
          <w:bCs/>
          <w:lang w:val="el" w:eastAsia="el"/>
        </w:rPr>
        <w:t>Απαλλάσσονται από δασμό και τέλος ταξινόμησης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285"/>
      </w:r>
      <w:r>
        <w:rPr>
          <w:b/>
          <w:bCs/>
          <w:lang w:val="el" w:eastAsia="el"/>
        </w:rPr>
        <w:t>Απαλλάσσονται από δασμό και τέλος ταξινόμησης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286"/>
      </w:r>
      <w:r>
        <w:rPr>
          <w:rStyle w:val="Hyperlink"/>
          <w:b/>
          <w:bCs/>
          <w:color w:val="000000"/>
          <w:sz w:val="20"/>
          <w:szCs w:val="20"/>
          <w:u w:val="none" w:color="0000EE"/>
          <w:vertAlign w:val="superscript"/>
          <w:lang w:val="el" w:eastAsia="el"/>
        </w:rPr>
        <w:footnoteReference w:id="287"/>
      </w:r>
      <w:r>
        <w:rPr>
          <w:b/>
          <w:bCs/>
          <w:lang w:val="el" w:eastAsia="el"/>
        </w:rPr>
        <w:t>Με απόφαση του Υπουργού Οικονομικών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88"/>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9"/>
      </w:r>
      <w:r>
        <w:rPr>
          <w:rStyle w:val="Hyperlink"/>
          <w:b/>
          <w:bCs/>
          <w:color w:val="000000"/>
          <w:sz w:val="20"/>
          <w:szCs w:val="20"/>
          <w:u w:val="none" w:color="0000EE"/>
          <w:vertAlign w:val="superscript"/>
          <w:lang w:val="el" w:eastAsia="el"/>
        </w:rPr>
        <w:footnoteReference w:id="290"/>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της παραγράφου 1 του άρθρου 129, πρόστιμο οκτακοσίων (800)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291"/>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92"/>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93"/>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94"/>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5"/>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6"/>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7"/>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98"/>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99"/>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00"/>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01"/>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02"/>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03"/>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04"/>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05"/>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306"/>
      </w:r>
      <w:r>
        <w:rPr>
          <w:rStyle w:val="Hyperlink"/>
          <w:b/>
          <w:bCs/>
          <w:color w:val="000000"/>
          <w:sz w:val="20"/>
          <w:szCs w:val="20"/>
          <w:u w:val="none" w:color="0000EE"/>
          <w:vertAlign w:val="superscript"/>
          <w:lang w:val="el" w:eastAsia="el"/>
        </w:rPr>
        <w:footnoteReference w:id="307"/>
      </w:r>
      <w:r>
        <w:rPr>
          <w:rStyle w:val="Hyperlink"/>
          <w:b/>
          <w:bCs/>
          <w:color w:val="000000"/>
          <w:sz w:val="20"/>
          <w:szCs w:val="20"/>
          <w:u w:val="none" w:color="0000EE"/>
          <w:vertAlign w:val="superscript"/>
          <w:lang w:val="el" w:eastAsia="el"/>
        </w:rPr>
        <w:footnoteReference w:id="308"/>
      </w:r>
      <w:r>
        <w:rPr>
          <w:rStyle w:val="Hyperlink"/>
          <w:b/>
          <w:bCs/>
          <w:color w:val="000000"/>
          <w:sz w:val="20"/>
          <w:szCs w:val="20"/>
          <w:u w:val="none" w:color="0000EE"/>
          <w:vertAlign w:val="superscript"/>
          <w:lang w:val="el" w:eastAsia="el"/>
        </w:rPr>
        <w:footnoteReference w:id="309"/>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spacing w:before="240" w:after="240"/>
        <w:rPr>
          <w:lang w:val="el" w:eastAsia="el"/>
        </w:rPr>
      </w:pPr>
      <w:r>
        <w:rPr>
          <w:b/>
          <w:bCs/>
          <w:lang w:val="el" w:eastAsia="el"/>
        </w:rPr>
        <w:t>Στις περιπτώσεις που η εκπρόθεσμη καταχώριση στο Πληροφοριακό Σύστημα Παρακολούθησης Πετρελαίου Θέρμανσης αφορά ακύρωση εμπρόθεσμης καταχώρισης και εκ νέου καταχώριση της ίδιας συναλλαγής με προσθήκη του Αριθμού Φορολογικού Μητρώου του αγοραστή πετρελαίου θέρμανσης, κατόπιν αποστολής σχετικού ηλεκτρονικού μηνύματος στα μέλη του Μητρώου ΔΙ.ΠΕ.ΘΕ. από τη Γενική Γραμματεία Πληροφοριακών Συστημάτων του Υπουργείου Οικονομικών και εντός της ορισθείσας σε αυτό προθεσμίας, δεν οφείλονται τα πρόστιμα που προβλέπονται στα προηγούμενα εδάφια της παρούσας παραγράφου. Καταλογιστικές πράξεις που έχουν εκδοθεί για τις περιπτώσεις του προηγούμενου εδαφίου ανακαλούνται, μετά από σχετική αίτηση του μέλους Μητρώου ΔΙ.ΠΕ.ΘΕ., από την εκδούσα τελωνειακή αρχή και τυχόν καταβληθέντα ποσά επιστρέφονται.</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310"/>
      </w:r>
      <w:r>
        <w:rPr>
          <w:b/>
          <w:bCs/>
          <w:lang w:val="el" w:eastAsia="el"/>
        </w:rPr>
        <w:t>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1"/>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2"/>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3"/>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4"/>
      </w:r>
      <w:r>
        <w:rPr>
          <w:rStyle w:val="Hyperlink"/>
          <w:b/>
          <w:bCs/>
          <w:color w:val="000000"/>
          <w:sz w:val="20"/>
          <w:szCs w:val="20"/>
          <w:u w:val="none" w:color="0000EE"/>
          <w:vertAlign w:val="superscript"/>
          <w:lang w:val="el" w:eastAsia="el"/>
        </w:rPr>
        <w:footnoteReference w:id="315"/>
      </w:r>
      <w:r>
        <w:rPr>
          <w:rStyle w:val="Hyperlink"/>
          <w:b/>
          <w:bCs/>
          <w:color w:val="000000"/>
          <w:sz w:val="20"/>
          <w:szCs w:val="20"/>
          <w:u w:val="none" w:color="0000EE"/>
          <w:vertAlign w:val="superscript"/>
          <w:lang w:val="el" w:eastAsia="el"/>
        </w:rPr>
        <w:footnoteReference w:id="316"/>
      </w:r>
      <w:r>
        <w:rPr>
          <w:b/>
          <w:bCs/>
          <w:lang w:val="el" w:eastAsia="el"/>
        </w:rPr>
        <w:t>Οι διατάξεις των άρθρων 161 και επόμενα του παρόντος Κώδικα, περί αστικής ευθύνης, εφαρμόζονται κατ` αναλογία και στις τελωνειακές παραβάσεις.</w:t>
      </w:r>
    </w:p>
    <w:p>
      <w:pPr>
        <w:spacing w:before="240" w:after="240"/>
        <w:rPr>
          <w:lang w:val="el" w:eastAsia="el"/>
        </w:rPr>
      </w:pPr>
      <w:r>
        <w:rPr>
          <w:b/>
          <w:bCs/>
          <w:lang w:val="el" w:eastAsia="el"/>
        </w:rPr>
        <w:t>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ήθελε αποδειχθεί ότι οι ανωτέρω δεν η δύναντο να έχουν γνώση περί της πιθανότητας τέλεσης της παράβασης.</w:t>
      </w:r>
    </w:p>
    <w:p>
      <w:pPr>
        <w:spacing w:before="240" w:after="240"/>
        <w:rPr>
          <w:lang w:val="el" w:eastAsia="el"/>
        </w:rPr>
      </w:pPr>
      <w:r>
        <w:rPr>
          <w:b/>
          <w:bCs/>
          <w:lang w:val="el" w:eastAsia="el"/>
        </w:rPr>
        <w:t>Σε περίπτωση πώλησης κατόπιν διαγωνισμού του συνόλου ή μέρους των μετοχών ή του συνόλου των περιουσιακών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ενδιαφερόμενους επενδυτές κατά το κρίσιμο στάδιο της διενέργειας του σχετικού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προβλέπεται στο άρθρο 161 του παρόντος νόμου.</w:t>
      </w:r>
    </w:p>
    <w:p>
      <w:pPr>
        <w:spacing w:before="240" w:after="240"/>
        <w:rPr>
          <w:lang w:val="el" w:eastAsia="el"/>
        </w:rPr>
      </w:pPr>
      <w:r>
        <w:rPr>
          <w:b/>
          <w:bCs/>
          <w:lang w:val="el" w:eastAsia="el"/>
        </w:rPr>
        <w:t>Στις περιπτώσεις των δύο προηγούμενων εδαφίων, καταλογιστικές πράξεις που εκδόθηκαν μετά την ημερομηνία μεταβίβασης των μετοχών ή περιουσιακών στοιχείων και αφορούν προγενέστερες της μεταβίβασης περιόδους, δεν εκτελούνται και ανακαλούνται υποχρεωτικά, κατά το μέρος που αφορούν το νομικό πρόσωπο ως αστικώς συνυπεύθυνο, του οποίου οι οφειλές από πρόστιμα, πολλαπλά τέλη, δασμούς και λοιπές επιβαρύνσεις, που προέρχονται αποκλειστικά από τις ανωτέρω καταλογιστικές πράξεις, διαγράφονται. Για την εφαρμογή του προηγούμενου εδαφίου υποβάλλεται αίτηση στην αρχή που εξέδωσε τις καταλογιστικές πράξεις. Τυχόν ποσά που έχουν ήδη καταβληθεί σε εκτέλεσή τους δεν επιστρέφονται και δεν συμψηφίζονται.</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317"/>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8"/>
      </w:r>
      <w:r>
        <w:rPr>
          <w:b/>
          <w:bCs/>
          <w:lang w:val="el" w:eastAsia="el"/>
        </w:rPr>
        <w:t>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 απόρρητο των καταθέσεων, των λογαριασμών, των κοινών λογαριασμών, των συμβάσεων και πράξεων επί παραγώγων χρηματοοικονομικών προϊόντων και του περιεχομένου θυρίδων του παραβάτη σε Τράπεζες ή άλλα Πιστωτικά Ιδρύματα και δεσμεύεται το πενήντα τοις εκατό (50%) αυτών και κατ` ανώτατο μέχρι του εξαπλάσιου του ποσού δασμών, φόρων και λοιπών επιβαρύνσεων η διαφυγή ή μη απόδοση του οποίου διαπιστώνεται κατά τα ανωτέρω.</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319"/>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320"/>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321"/>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322"/>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323"/>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24"/>
      </w:r>
      <w:r>
        <w:rPr>
          <w:b/>
          <w:bCs/>
          <w:lang w:val="el" w:eastAsia="el"/>
        </w:rPr>
        <w:t>Οταν η Τελωνειακή Αρχή παραλάβει τα εμπορεύματα που κατασχέθηκαν, σύμφωνα με τα οριζόμενα στα άρθρα 164 και επόμενα του παρόντα Κώδικα, δημοσιεύει με τοιχοκόλληση στο Τελωνειακό Κατάστημα, πρόσκληση προς κάθε ενδιαφερόμενο ώστε να εμφανισθεί εντός πέντε (5) ημερών και προκαταβάλει τις αναγκαίες δαπάνες για τη φύλαξη αυτών μέχρι τελεσιδικίας της απόφασης, η οποία θα αποφανθεί για τη δήμευση αυτών. Το ποσό των δαπανών ορίζει ο Προϊστάμενος του Τελωνείου με πρωτόκολλο, με το οποίο δύναται να ορισθεί και η κατά χρονικά διαστήματα προκαταβολή.</w:t>
      </w:r>
    </w:p>
    <w:p>
      <w:pPr>
        <w:spacing w:before="240" w:after="240"/>
        <w:rPr>
          <w:lang w:val="el" w:eastAsia="el"/>
        </w:rPr>
      </w:pPr>
      <w:r>
        <w:rPr>
          <w:b/>
          <w:bCs/>
          <w:lang w:val="el" w:eastAsia="el"/>
        </w:rPr>
        <w:t>Για τα κατασχεθέντα μεταφορικά μέσα εφαρμογή έχουν τα οριζόμενα στο άρθρο 177..</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325"/>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26"/>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327"/>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328"/>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r>
        <w:rPr>
          <w:rStyle w:val="Hyperlink"/>
          <w:b/>
          <w:bCs/>
          <w:color w:val="000000"/>
          <w:sz w:val="20"/>
          <w:szCs w:val="20"/>
          <w:u w:val="none" w:color="0000EE"/>
          <w:vertAlign w:val="superscript"/>
          <w:lang w:val="el" w:eastAsia="el"/>
        </w:rPr>
        <w:footnoteReference w:id="329"/>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1.</w:t>
      </w:r>
      <w:r>
        <w:rPr>
          <w:b/>
          <w:bCs/>
          <w:lang w:val="el" w:eastAsia="el"/>
        </w:rPr>
        <w:t xml:space="preserve"> α) Στις περιπτώσεις κατά τις οποίες κατάσχονται χερσαία ή εναέρια μεταφορικά μέσα ή μηχανήματα έργου ή εμπορευματοκιβώτια, ως αντικείμενα λαθρεμπορίας ή ως μεταφορικά μέσα αντικειμένων λαθρεμπορίας, ναρκωτικών ουσιών, μεταναστών χωρίς νομιμοποιητικά έγγραφα, όπλων, εκρηκτικών ή για διάπραξη οποιουδήποτε ποινικού αδικήματος εν γένει, το υπηρεσιακό όργανο το οποίο επέβαλε την κατάσχεση ή η Υπηρεσία στην οποία υπηρετεί αυτό, τα παραδίδει, μαζί με αντίγραφο της έκθεσης κατάσχεσης, στην αρμόδια Τελωνειακή Αρχή (αρμόδιο Τελωνείο ή Διεύθυνση Διαχείρισης Δημόσιου Υλικού της Γενικής Διεύθυνσης Τελωνείων και Ε.Φ.Κ. της Ανεξάρτητης Αρχής Δημοσίων Εσόδων), που ορίζεται αποκλειστικός μεσεγγυούχος, συντασσόμενης έκθεσης παράδοσης και παραλαβής. Εάν οι παραπάνω υπηρεσίες αποδεδειγμένα στερούνται χώρων και δυνατοτήτων φύλαξης, τα κατασχεθέντα αντικείμενα δύναται να παραμένουν στην παραφυλακή της υπηρεσίας που προέβη στην κατάσχεση, εάν είναι αναγκαίο και με τη συνδρομή άλλων δημοσίων υπηρεσιών, η δε αρμόδια Τελωνειακή Αρχή οφείλει να μεριμνήσει για την άμεση διαχείριση τους. Για τη φύλαξη των εναέριων μέσων, εφόσον είναι αδύνατη η φύλαξη τους στο χώρο της κατάσχεσης, ζητείται η συνδρομή του πλησιέστερου πολιτικού ή στρατιωτικού αεροδρομίου.</w:t>
      </w:r>
    </w:p>
    <w:p>
      <w:pPr>
        <w:pStyle w:val="StructureList1"/>
        <w:spacing w:before="120" w:after="0"/>
        <w:rPr>
          <w:lang w:val="el" w:eastAsia="el"/>
        </w:rPr>
      </w:pPr>
      <w:r>
        <w:rPr>
          <w:b/>
          <w:bCs/>
          <w:lang w:val="el" w:eastAsia="el"/>
        </w:rPr>
        <w:t>β)</w:t>
      </w:r>
      <w:r>
        <w:rPr>
          <w:b/>
          <w:bCs/>
          <w:lang w:val="en" w:eastAsia="en"/>
        </w:rPr>
        <w:tab/>
      </w:r>
      <w:r>
        <w:rPr>
          <w:b/>
          <w:bCs/>
          <w:lang w:val="el" w:eastAsia="el"/>
        </w:rPr>
        <w:t>Το ίδιο ως άνω όργανο ή η Υπηρεσία, στην οποία υπηρετεί αυτό, επισυνάπτει τα πρωτότυπα της έκθεσης κατάσχεσης και της έκθεσης παράδοσης και παραλαβής, εφόσον αυτή έχει πραγματοποιηθεί, στα υποβαλλόμενα στον αρμόδιο Εισαγγελέα στοιχεία της προανάκρισης και κοινοποιεί υποχρεωτικά αντίγραφο του διαβιβαστικού εγγράφου της προανάκρισης στη Διεύθυνση Διαχείρισης Δημόσιου Υλικού ή στο αρμόδιο Τελωνείο, κατά περίπτωση.</w:t>
      </w:r>
    </w:p>
    <w:p>
      <w:pPr>
        <w:pStyle w:val="MainText"/>
        <w:spacing w:before="120" w:after="0"/>
        <w:rPr>
          <w:lang w:val="el" w:eastAsia="el"/>
        </w:rPr>
      </w:pPr>
      <w:r>
        <w:rPr>
          <w:b/>
          <w:bCs/>
          <w:lang w:val="el" w:eastAsia="el"/>
        </w:rPr>
        <w:t>2.</w:t>
      </w:r>
      <w:r>
        <w:rPr>
          <w:b/>
          <w:bCs/>
          <w:lang w:val="el" w:eastAsia="el"/>
        </w:rPr>
        <w:t xml:space="preserve"> α) Οταν κατάσχονται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ως αντικείμενα λαθρεμπορίας ή ως μεταφορικά μέσα αντικειμένων λαθρεμπορίας ή ναρκωτικών ουσιών ή μεταναστών χωρίς νομιμοποιητικά έγγραφα ή όπλων ή εκρηκτικών ή για διάπραξη οποιουδήποτε ποινικού αδικήματος εν γένει, η κατά τόπο αρμόδια Λιμενική Αρχή φυλάσσει αυτά και, αν είναι η κατάσχουσα αρχή, διαβιβάζει αντίγραφο της έκθεσης κατάσχεσης, μαζί με τα υποβαλλόμενα στον αρμόδιο Εισαγγελέα στοιχεία της προανάκρισης, στο αρμόδιο Τελωνείο και στη Διεύθυνση Διαχείρισης Δημόσιου Υλικού, για τη διαχείρισή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κατασχεθέντα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παραμένουν στην παραφυλακή της Λιμενικής Αρχής, η οποία τα φυλάσσει, μέχρις ότου παραδοθούν στον αγοραστή που θα αναδειχθεί από τις πλειοδοτικές δημοπρασίες ή διατεθούν για την κάλυψη αναγκών του Δημοσίου ή αποδοθούν στον ιδιοκτήτη ή δοθεί εντολή καταστροφής τους, σύμφωνα με τα οριζόμενα στο παρόν άρθρο.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πλωτά μέσα αξίας άνω των έξι χιλιάδων (6.000) ευρώ με βάση την έκθεση κοστολόγησής τους δύναται η Λιμενική Αρχή, μόνο εάν τεκμηριωμένα υφίσταται πλήρης αδυναμία αυτής για την φύλαξη των κατασχεθέντων, να διορίσει ειδικό μεσεγγυούχο από τους εγγεγραμμένους στον ειδικό κατάλογο πραγματογνωμόνων. Ο ειδικός μεσεγγυούχος παραλαμβάνει το πλωτό μέσο με λεπτομερές πρωτόκολλο παράδοσης και παραλαβής, στο οποίο περιγράφονται αναλυτικά όλα τα στοιχεία αυτού και των εξαρτημάτων του. Με την ως άνω παραλαβή ο μεσεγγυούχος αναλαμβάνει την υποχρέωση να το φυλάσσει στην κατάσταση στην οποία το παρέλαβε και φέρει αποκλειστικά και προσωπικά την ευθύνη για οποιαδήποτε φθορά, ζημιά ή κλοπή εξαρτημάτων που θα προκληθεί σε αυτό. Η αποζημίωση και τα σχετικά έξοδα των μεσεγγυούχων εκκαθαρίζονται από την αρχή που διέταξε τη μεσεγγύηση ή φύλαξη ή από τον Εισαγγελέα Πρωτοδικών της περιφέρειας και η εκκαθάριση διαβιβάζεται στο Υπουργείο Δικαιοσύνης, Διαφάνειας και Ανθρωπίνων Δικαιωμάτων με τα σχετικά δικαιολογητικά για την πληρωμή του δικαιούχου.</w:t>
      </w:r>
    </w:p>
    <w:p>
      <w:pPr>
        <w:pStyle w:val="MainText"/>
        <w:spacing w:before="120" w:after="0"/>
        <w:rPr>
          <w:lang w:val="el" w:eastAsia="el"/>
        </w:rPr>
      </w:pPr>
      <w:r>
        <w:rPr>
          <w:b/>
          <w:bCs/>
          <w:lang w:val="el" w:eastAsia="el"/>
        </w:rPr>
        <w:t>3.</w:t>
      </w:r>
      <w:r>
        <w:rPr>
          <w:b/>
          <w:bCs/>
          <w:lang w:val="el" w:eastAsia="el"/>
        </w:rPr>
        <w:t xml:space="preserve"> Η αρμόδια Τελωνειακή Αρχή, στην οποία παραδόθηκαν τα κατασχεθέντα ή κοινοποιήθηκε η κατάσχεση των ειδών ή μεταφορικών μέσων που αναφέρονται στις παραγράφους 1 και 2, συντάσσει, εφόσον αυτά προέρχονται από χώρες εκτός Ευρωπαϊκής Ενωσης, έκθεση επαλήθευσης με την οποία προσδιορίζει τους δασμούς, φόρους και λοιπές επιβαρύνσεις που αναλογούν στην εισαγωγή τους και αποστέλλει αντίγραφο αυτής στον αρμόδιο Εισαγγελέα μέσα σε ένα (1) μήνα από την παράδοση των κατασχεθέντων ή την κοινοποίηση της έκθεσης κατάσχεσης.</w:t>
      </w:r>
    </w:p>
    <w:p>
      <w:pPr>
        <w:spacing w:before="240" w:after="240"/>
        <w:rPr>
          <w:lang w:val="el" w:eastAsia="el"/>
        </w:rPr>
      </w:pPr>
      <w:r>
        <w:rPr>
          <w:b/>
          <w:bCs/>
          <w:lang w:val="el" w:eastAsia="el"/>
        </w:rPr>
        <w:t>Για τα πλωτά και εναέρια μέσα αντίγραφο της έκθεσης επαλήθευσης διαβιβάζεται και στη Διεύθυνση Διαχείρισης Δημόσιου Υλικού.</w:t>
      </w:r>
    </w:p>
    <w:p>
      <w:pPr>
        <w:pStyle w:val="MainText"/>
        <w:spacing w:before="120" w:after="0"/>
        <w:rPr>
          <w:lang w:val="el" w:eastAsia="el"/>
        </w:rPr>
      </w:pPr>
      <w:r>
        <w:rPr>
          <w:b/>
          <w:bCs/>
          <w:lang w:val="el" w:eastAsia="el"/>
        </w:rPr>
        <w:t>4.</w:t>
      </w:r>
      <w:r>
        <w:rPr>
          <w:b/>
          <w:bCs/>
          <w:lang w:val="el" w:eastAsia="el"/>
        </w:rPr>
        <w:t xml:space="preserve"> α) Το Συμβούλιο Πλημμελειοδικών, εάν κατά την κρίση του συντρέχει περίπτωση μη δήμευσης των κατασχεθέντων σύμφωνα με τα άρθρα 310 του Κ.Π.Δ., 160 παράγραφος 4 του παρόντος κώδικα ή άλλες διατάξεις, δύναται να διατάξει με αμετάκλητη απόφασή του την άρση της κατάσχεσης και την απόδοσή τους στον ιδιοκτήτη.</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Συμβούλιο Πλημμελειοδικών δύναται επίσης, μετά από αίτηση του ιδιοκτήτη, να διατάξει με αμετάκλητη απόφαση του την άρση της κατάσχεσης και την απόδοση των κατασχεθέντων σε αυτόν, ακόμα και αν συντρέχει περίπτωση δήμευσης των κατασχεθέντων, υπό τον όρο της κατάθεσης χρηματικής εγγύησης ισόποσης με την αξία τους, όπως αυτή προκύπτει από την έκθεση κοστολόγησης, προκειμένου να επέχει τη θέση των κατασχεθέντων που υπόκεινται σε δήμευση.</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βούλευμα ή απόφαση σχετικά με άρση της κατάσχεσης και απόδοση των μεταφορικών μέσων που αναφέρονται στις παραγράφους 1 και 2 στον ρητά κατονομαζόμενο ιδιοκτήτη, καθώς και κάθε απόφαση για δήμευσή τους κοινοποιείται αμελλητί από τον Εισαγγελέα στη Διεύθυνση Διαχείρισης Δημοσίου Υλικού ή στο αρμόδιο Τελωνείο μαζί με βεβαίωση από την οποία προκύπτει η ημερομηνία του αμετακλήτου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Η παραλαβή από τον ιδιοκτήτη των κατασχεθέντων και κατά τα ανωτέρω αποδοθέντων ειδών ή μέσων πραγματοποιείται μετά από αίτησή του συνοδευόμενη από όλα τα νομιμοποιητικά έγγραφα. Ο ιδιοκτήτης, πριν την παραλαβή, υποχρεούται στην καταβολή των εξόδων μεταφοράς και φύλαξης, καθώς και δασμών και λοιπών φόρων που αναλογούν στα ως άνω είδη ή μέσα.</w:t>
      </w:r>
    </w:p>
    <w:p>
      <w:pPr>
        <w:pStyle w:val="MainText"/>
        <w:spacing w:before="120" w:after="0"/>
        <w:rPr>
          <w:lang w:val="el" w:eastAsia="el"/>
        </w:rPr>
      </w:pPr>
      <w:r>
        <w:rPr>
          <w:b/>
          <w:bCs/>
          <w:lang w:val="el" w:eastAsia="el"/>
        </w:rPr>
        <w:t>5.</w:t>
      </w:r>
      <w:r>
        <w:rPr>
          <w:b/>
          <w:bCs/>
          <w:lang w:val="el" w:eastAsia="el"/>
        </w:rPr>
        <w:t xml:space="preserve"> α) Η Διεύθυνση Διαχείρισης Δημόσιου Υλικού ή το αρμόδιο Τελωνείο, εάν μετά την παρέλευση έξι (6) μηνών από την ημερομηνία της κατάσχεσης για τα είδη της παραγράφου 1 και μετά την παρέλευση τριών (3) μηνών από την ημερομηνία της κατάσχεσης για τα είδη της παραγράφου 2, δεν έχουν λάβει έγγραφη γνωστοποίηση ή ανακοίνωση του Εισαγγελέα περί άρσης της κατάσχεσης και απόδοσης στον ιδιοκτήτη, προβαίνουν στην εκποίηση ή διάθεσή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μετά την παρέλευση έξι (6) μηνών από τότε που κατέστησαν αμετάκλητα η απόφαση ή το βούλευμα ή η εισαγγελική διάταξη για άρση της κατάσχεσης και απόδοση των κατασχεθέντων στον ιδιοκτήτη, αυτά δεν έχουν παραληφθεί από αποκλειστική αυτού υπαιτιότητα, τα κατασχεθέντα περιέρχονται στην κυριότητα του Δημοσίου και ο ιδιοκτήτης αποστερείται παντός δικαιώματος παραλαβής ή αποζημίωσης.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Εάν μετά την παρέλευση έξι (6) μηνών από τότε που κατέστη αμετάκλητο το βούλευμα περί απόδοσης στον ιδιοκτήτη των κατασχεθέντων με τον όρο της κατάθεσης χρηματικής εγγύησης δεν έχουν παραληφθεί από αποκλειστική του υπαιτιότητα, τα κατασχεθέντα μπορεί να εκποιούνται ή να διατίθενται.</w:t>
      </w:r>
    </w:p>
    <w:p>
      <w:pPr>
        <w:pStyle w:val="MainText"/>
        <w:spacing w:before="120" w:after="0"/>
        <w:rPr>
          <w:lang w:val="el" w:eastAsia="el"/>
        </w:rPr>
      </w:pPr>
      <w:r>
        <w:rPr>
          <w:b/>
          <w:bCs/>
          <w:lang w:val="el" w:eastAsia="el"/>
        </w:rPr>
        <w:t>6.</w:t>
      </w:r>
      <w:r>
        <w:rPr>
          <w:b/>
          <w:bCs/>
          <w:lang w:val="el" w:eastAsia="el"/>
        </w:rPr>
        <w:t xml:space="preserve"> α) Η εκποίηση των κατασχεθέντων ειδών των παραγράφων 1 και 2 πραγματοποιείται μετά την παρέλευση των προθεσμιών της παραγράφου 5 σύμφωνα με τους όρους πώλησης που ισχύουν για τις δημοπρασίες που διενεργούνται από τις αρμόδιες υπηρεσίες διαχείρισης δημόσιου υλικού.</w:t>
      </w:r>
    </w:p>
    <w:p>
      <w:pPr>
        <w:pStyle w:val="StructureList1"/>
        <w:spacing w:before="120" w:after="0"/>
        <w:rPr>
          <w:lang w:val="el" w:eastAsia="el"/>
        </w:rPr>
      </w:pPr>
      <w:r>
        <w:rPr>
          <w:b/>
          <w:bCs/>
          <w:lang w:val="el" w:eastAsia="el"/>
        </w:rPr>
        <w:t>β)</w:t>
      </w:r>
      <w:r>
        <w:rPr>
          <w:b/>
          <w:bCs/>
          <w:lang w:val="en" w:eastAsia="en"/>
        </w:rPr>
        <w:tab/>
      </w:r>
      <w:r>
        <w:rPr>
          <w:b/>
          <w:bCs/>
          <w:lang w:val="el" w:eastAsia="el"/>
        </w:rPr>
        <w:t>Η Τελωνειακή Αρχή, η οποία έχει την αρμοδιότητα και ευθύνη της διαχείρισης των κατασχεθέντων ειδών ή μεταφορικών μέσων που αναφέρονται στις παραγράφους 1 και 2, συντάσσει έκθεση κοστολόγησης.</w:t>
      </w:r>
    </w:p>
    <w:p>
      <w:pPr>
        <w:pStyle w:val="StructureList1"/>
        <w:spacing w:before="120" w:after="0"/>
        <w:rPr>
          <w:lang w:val="el" w:eastAsia="el"/>
        </w:rPr>
      </w:pPr>
      <w:r>
        <w:rPr>
          <w:b/>
          <w:bCs/>
          <w:lang w:val="el" w:eastAsia="el"/>
        </w:rPr>
        <w:t>γ)</w:t>
      </w:r>
      <w:r>
        <w:rPr>
          <w:b/>
          <w:bCs/>
          <w:lang w:val="en" w:eastAsia="en"/>
        </w:rPr>
        <w:tab/>
      </w:r>
      <w:r>
        <w:rPr>
          <w:b/>
          <w:bCs/>
          <w:lang w:val="el" w:eastAsia="el"/>
        </w:rPr>
        <w:t>Κατασχεθέντα είδη της περίπτωσης α της παραγράφου 2, τα οποία είναι σε κακή κατάσταση και άνευ εμπορικής αξίας, καταστρέφονται, κατ εξαίρεση της περίπτωσης α της παρούσας παραγράφου, μετά την πάροδο των προθεσμιών της παραγράφου 5. Η καταστροφή πραγματοποιείται μετά από προηγούμενη γνωμοδότηση επιτροπής, η οποία απαρτίζεται από τον Προϊστάμενο της αρμόδιας Τελωνειακής Αρχής ως Πρόεδρο, έναν υπάλληλο της ιδίας Αρχής και τον Προϊστάμενο της Λιμενικής Αρχής.</w:t>
      </w:r>
    </w:p>
    <w:p>
      <w:pPr>
        <w:spacing w:before="240" w:after="240"/>
        <w:rPr>
          <w:lang w:val="el" w:eastAsia="el"/>
        </w:rPr>
      </w:pPr>
      <w:r>
        <w:rPr>
          <w:b/>
          <w:bCs/>
          <w:lang w:val="el" w:eastAsia="el"/>
        </w:rPr>
        <w:t>Η γνωμοδότηση της επιτροπής διαβιβάζεται με μέριμνα της Λιμενικής Αρχής προς το Υπουργείο Ναυτιλίας και Νησιωτικής Πολιτικής και το Υπουργείο Εθνικής Αμυνας για την καταστροφή των πλωτών μέσων, σύμφωνα με τα ισχύοντα για τις καταστροφές των πλωτών μέσων των ανωτέρω Υπουργείων.</w:t>
      </w:r>
    </w:p>
    <w:p>
      <w:pPr>
        <w:spacing w:before="240" w:after="240"/>
        <w:rPr>
          <w:lang w:val="el" w:eastAsia="el"/>
        </w:rPr>
      </w:pPr>
      <w:r>
        <w:rPr>
          <w:b/>
          <w:bCs/>
          <w:lang w:val="el" w:eastAsia="el"/>
        </w:rPr>
        <w:t>Με πρόταση της ίδιας γνωμοδοτικής επιτροπής είναι δυνατή η διάθεση των ως άνω ειδών για ειδικές χρήσεις σε Δημόσιες Υπηρεσίες, Ο.Τ.Α. και λοιπά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Τα πλωτά μέσα δύναται να εκποιούνται για διάλυση. Για όσα εξ αυτών ανήκουν στην κατηγορία των φουσκωτών σκαφών με εξωλέμβιους κινητήρες είναι δυνατή η εκποίηση των κινητήρων και των σκαφών μεμονωμένα.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πλωτά μέσα των οποίων οι δημοπρατήσεις απέβησαν άγονες, εκ των οποίων οι τρεις με την ίδια τιμή εκκίνησης, η Λιμενική Αρχή φύλαξης αυτών προβαίνει, μετά από σχετική βεβαίωση της Διεύθυνσης Διαχείρισης Δημοσίου Υλικού, σε πρόταση προς το Υπουργείο Ναυτιλίας και Νησιωτικής Πολικής και το Υπουργείο Εθνικής Αμυνας για την καταστροφή τους, σύμφωνα με τα ισχύοντα για τις καταστροφές των πλωτών μέσων των ανωτέρω Υπουργείων.</w:t>
      </w:r>
    </w:p>
    <w:p>
      <w:pPr>
        <w:pStyle w:val="MainText"/>
        <w:spacing w:before="120" w:after="0"/>
        <w:rPr>
          <w:lang w:val="el" w:eastAsia="el"/>
        </w:rPr>
      </w:pPr>
      <w:r>
        <w:rPr>
          <w:b/>
          <w:bCs/>
          <w:lang w:val="el" w:eastAsia="el"/>
        </w:rPr>
        <w:t>7.</w:t>
      </w:r>
      <w:r>
        <w:rPr>
          <w:b/>
          <w:bCs/>
          <w:lang w:val="el" w:eastAsia="el"/>
        </w:rPr>
        <w:t xml:space="preserve"> α) Με απόφαση του Υπουργού Διοικητικής Ανασυγκρότησης, μετά την παρέλευση των προθεσμιών της παραγράφου 5, τα κατασχεμένα οχήματα της παραγράφου 1 δύναται να διατίθενται δωρεάν ή έναντι τιμήματος προς κυκλοφορία σε Δημόσιες Υπηρεσίες, Ν.Π.Δ.Δ., Ο.Τ.Α. και Ν.Π.Ι.Δ. που εποπτεύονται από το Δημόσιο.</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όμοια απόφαση, οχήματα τέλους κύκλου ζωής (Ο.Τ.Κ.Ζ.) και οχήματα για διάλυση δύναται να διατίθενται σε εκπαιδευτικά ιδρύματα, στην Ελληνική Αστυνομία και στις Ενοπλες Δυνάμεις, αποκλειστικά για εκπαιδευτικούς λόγους, τα οποία μετά την χρησιμοποίησή τους παραδίδονται σε αδειοδοτημένους φορείς διαχείρισης τέτοιων οχημάτων.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Υπουργού Οικονομικών, μετά την παρέλευση των προθεσμιών της παραγράφου 5, τα πλωτά μέσα της παραγράφου 2 και τα κατασχεθέντα είδη της παραγράφου 1, εκτός των οχημάτων, δύναται να διατίθενται δωρεάν ή έναντι τιμήματος σε Δημόσιες Υπηρεσίες, Ο.Τ.Α.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Με απόφαση του Διοικητή της Ανεξάρτητης Αρχής Δημοσίων Εσόδων (Α.Α.Δ.Ε.) δύναται να διατίθενται, κατ εξαίρεση των περιπτώσεων α και γ και κατά προτεραιότητα, ένα ή περισσότερα κατασχεθέντα από οποιαδήποτε αιτία χερσαία ή πλωτά μεταφορικά μέσα, σε Τελωνειακές και Φορολογικές Υπηρεσίες για τις ανάγκες της δίωξης λαθρεμπορίου και φοροδιαφυγής.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οχήματα που δεν προέρχονται από κράτος - μέλος της Ευρωπαϊκής Ενωσης η Υπηρεσία, στην οποία διατίθενται προς κυκλοφορία, αναλαμβάνει την έκδοση της κατά περίπτωση απαιτούμενης έγκρισης τύπου για την κυκλοφορία τους με δικές της ενέργειες και έξοδα.</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κατασχεθέντα είδη που δεν προέρχονται από κράτος μέλος της Ευρωπαϊκής Ενωσης και τα οποία διατίθενται σύμφωνα με τις διατάξεις της παρούσας παραγράφου, καταβάλλονται από τις υπηρεσίες στις οποίες διατίθενται οι αναλογούντες δασμοί.</w:t>
      </w:r>
    </w:p>
    <w:p>
      <w:pPr>
        <w:pStyle w:val="MainText"/>
        <w:spacing w:before="120" w:after="0"/>
        <w:rPr>
          <w:lang w:val="el" w:eastAsia="el"/>
        </w:rPr>
      </w:pPr>
      <w:r>
        <w:rPr>
          <w:b/>
          <w:bCs/>
          <w:lang w:val="el" w:eastAsia="el"/>
        </w:rPr>
        <w:t>8.</w:t>
      </w:r>
      <w:r>
        <w:rPr>
          <w:b/>
          <w:bCs/>
          <w:lang w:val="el" w:eastAsia="el"/>
        </w:rPr>
        <w:t xml:space="preserve"> Αν μετά την εκποίηση των κατασχεθέντων διατάχθηκε αμετάκλητα η απόδοσή τους στον ιδιοκτήτη, κατα βάλλεται σε αυτόν αποζημίωση από την αρμόδια υπηρε σία της Α.Α.Δ.Ε. και μετά από αίτησή του στην αρμόδια υπηρεσία εκποίησης,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εκποιηθέν είδος έχει πλήρως εξοφληθεί από τον αγοραστή, ποσό ίσο με το εισπραχθέν τίμημα αφαιρουμένου του εμπεριεχόμενου Φ.Π.Α..</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εκποιηθέν είδος δεν έχει πλήρως εξοφληθεί από τον αγοραστή και το εκπλειστηρίασμα εισπράττε- ται με άτοκες δόσεις, ο ιδιοκτήτης του κατασχεθέντος δύναται να επιλέξει είτε την είσπραξη ποσού ίσου με τις εισπραχθείσες κάθε φορά δόσεις αφαιρουμένου του εμπεριεχόμενου Φ.Π.Α., είτε ποσού ίσου με το εκπλειστηρίασμα μειωμένο κατά την προβλεπόμενη έκπτωση, εάν αυτό καταβαλλόταν εφάπαξ, αφαιρουμένου του εμπεριεχόμενου Φ.Π.Α..</w:t>
      </w:r>
    </w:p>
    <w:p>
      <w:pPr>
        <w:pStyle w:val="MainText"/>
        <w:spacing w:before="120" w:after="0"/>
        <w:rPr>
          <w:lang w:val="el" w:eastAsia="el"/>
        </w:rPr>
      </w:pPr>
      <w:r>
        <w:rPr>
          <w:b/>
          <w:bCs/>
          <w:lang w:val="el" w:eastAsia="el"/>
        </w:rPr>
        <w:t>9.</w:t>
      </w:r>
      <w:r>
        <w:rPr>
          <w:b/>
          <w:bCs/>
          <w:lang w:val="el" w:eastAsia="el"/>
        </w:rPr>
        <w:t xml:space="preserve"> Αν μετά την διάθεση των κατασχεθέντων διατάχθηκε αμετάκλητα η απόδοσή τους στον ιδιοκτήτη, καταβάλλεται σε αυτόν αποζημίωση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κατασχεθέν είδος διατίθεται δωρεάν, ποσό ίσο με την τιμή κοστολόγησης αφαιρουμένου του εμπε- ριεχομένου Φ.Π.Α.. Υπόχρεη για την καταβολή του ποσού αυτού στον ιδιοκτήτη είναι η Υπηρεσία στην οποία διατέθηκε το κατασχεθέν είδος.</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κατασχεθέν είδος διατίθεται έναντι τιμήματος, καταβάλλεται από μεν την αρμόδια υπηρεσία της Α.Α.Δ.Ε. ποσό ίσο με το εισπραχθέν τίμημα αφαιρουμένου του εμπεριεχομένου Φ.Π.Α. από δε την Υπηρεσία στην οποία διατέθηκε αυτό, ποσό ίσο με τη διαφορά της τιμής κοστολόγησης και του τιμήματος που κατεβλήθη, αφαιρουμένου του εμπεριεχομένου Φ.Π.Α..</w:t>
      </w:r>
    </w:p>
    <w:p>
      <w:pPr>
        <w:pStyle w:val="MainText"/>
        <w:spacing w:before="120" w:after="0"/>
        <w:rPr>
          <w:lang w:val="el" w:eastAsia="el"/>
        </w:rPr>
      </w:pPr>
      <w:r>
        <w:rPr>
          <w:b/>
          <w:bCs/>
          <w:lang w:val="el" w:eastAsia="el"/>
        </w:rPr>
        <w:t>10.</w:t>
      </w:r>
      <w:r>
        <w:rPr>
          <w:b/>
          <w:bCs/>
          <w:lang w:val="el" w:eastAsia="el"/>
        </w:rPr>
        <w:t xml:space="preserve"> Τα αναφερόμενα στις παραγράφους 8 και 9 ποσά καταβάλλονται έντοκα από την ημερομηνία που οι αρμόδιες υπηρεσίες προς αποζημίωση λάβουν αίτημα με όλα τα νόμιμα δικαιολογητικά του δικαιωθέντος ιδιοκτήτη μέχρι την ημερομηνία έκδοσης του σχετικού εντάλματος πληρωμής. Η καταβολή των προς αποζημίωση ποσών γίνεται σύμφωνα με τις διατάξεις του άρθρου 83 του Κ.Ε.Δ.Ε. και του άρθρου 12 του ν. 4174/2013 (Α 170).</w:t>
      </w:r>
    </w:p>
    <w:p>
      <w:pPr>
        <w:pStyle w:val="MainText"/>
        <w:spacing w:before="120" w:after="0"/>
        <w:rPr>
          <w:lang w:val="el" w:eastAsia="el"/>
        </w:rPr>
      </w:pPr>
      <w:r>
        <w:rPr>
          <w:b/>
          <w:bCs/>
          <w:lang w:val="el" w:eastAsia="el"/>
        </w:rPr>
        <w:t>11.</w:t>
      </w:r>
      <w:r>
        <w:rPr>
          <w:b/>
          <w:bCs/>
          <w:lang w:val="el" w:eastAsia="el"/>
        </w:rPr>
        <w:t xml:space="preserve"> α) Τα κλεμμένα οχήματα και μηχανήματα έργου που έχουν κατασχεθεί ως αντικείμενα λαθρεμπορίας ή ως μεταφορικά μέσα λαθρεμπορευμάτων ή ναρκωτικών ουσιών ή όπλων ή εκρηκτικών ή μεταναστών χωρίς νομιμοποιητικά έγγραφα ή λόγω διάπραξης οποιουδήποτε ποινικού αδικήματος, καθώς και τα κλεμμένα οχήματα και μηχανήματα έργου που ανακαλύπτονται κατά τους ελέγχους ή έρευνες από τα Τελωνεία ή τις διωκτικές αρχές της Α.Α.Δ.Ε. και του Υπουργείου Οικονομικών ή από τις υπηρεσίες της Ελληνικής Αστυνομίας ή του Λιμενικού Σώματος, παραδίδονται στη Διεύθυνση Διαχείρισης Δημοσίου Υλικού ή στο αρμόδιο Τελωνείο, κατά περίπτωση, μαζί με αντίγραφα της έκθεσης κατάσχεσης και των εγγράφων αναζήτησης και ειδοποίησης των ιδιοκτητών και συντάσσεται έκθεση παράδοσης-παραλαβής.</w:t>
      </w:r>
    </w:p>
    <w:p>
      <w:pPr>
        <w:spacing w:before="240" w:after="240"/>
        <w:rPr>
          <w:lang w:val="el" w:eastAsia="el"/>
        </w:rPr>
      </w:pPr>
      <w:r>
        <w:rPr>
          <w:b/>
          <w:bCs/>
          <w:lang w:val="el" w:eastAsia="el"/>
        </w:rPr>
        <w:t>Τα κατασχεθέντα παραλαμβάνονται από τον ιδιοκτήτη μετά από άδεια παραλαβής από την αρμόδια αρχή ή με αμετάκλητη απόφαση ή βούλευμα, αφού προηγουμένως καταβληθούν τα έξοδα μεταφοράς και φύλαξης.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την παρέλευση τριών (3) ετών από την ημερομηνία παραλαβής τους η Διεύθυνση Διαχείρισης Δημόσιου Υλικού ή το αρμόδιο Τελωνείο δεν έχουν λάβει έγγραφη γνωστοποίηση ή ανακοίνωση του Εισαγγελέα περί άρσης της κατάσχεσης και απόδοσης στον ιδιοκτήτη ή μετά την παρέλευση ενός (1) έτους από το αμετάκλητο δικαστικής απόφασης ή βουλεύματος ή από την ημερομηνία που κοινοποιήθηκε στον δικαιούχο η άδεια της αρμόδιας Αρχής για την παραλαβή του οχήματος δεν έχουν παραληφθεί από αυτόν, τότε τα κατασχεθέντα δύναται να διατίθενται στην Ελληνική Αστυνομία και στις Ενοπλες Δυνάμεις αποκλειστικά για τις ανάγκες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Μετά την πάροδο των ανωτέρω προθεσμιών, τα κατασχεθέντα δύναται να εκποιούνται ή να διατίθενται και σε άλλες υπηρεσίες εκτός των ανωτέρω, εφόσον δεν είναι καταχωρημένα στο σύστημα πληροφοριών Σένγκεν (SIS II).</w:t>
      </w:r>
    </w:p>
    <w:p>
      <w:pPr>
        <w:pStyle w:val="StructureList1"/>
        <w:spacing w:before="120" w:after="0"/>
        <w:rPr>
          <w:lang w:val="el" w:eastAsia="el"/>
        </w:rPr>
      </w:pPr>
      <w:r>
        <w:rPr>
          <w:b/>
          <w:bCs/>
          <w:lang w:val="el" w:eastAsia="el"/>
        </w:rPr>
        <w:t>δ)</w:t>
      </w:r>
      <w:r>
        <w:rPr>
          <w:b/>
          <w:bCs/>
          <w:lang w:val="en" w:eastAsia="en"/>
        </w:rPr>
        <w:tab/>
      </w:r>
      <w:r>
        <w:rPr>
          <w:b/>
          <w:bCs/>
          <w:lang w:val="el" w:eastAsia="el"/>
        </w:rPr>
        <w:t>Αν μετά την εκποίηση ή την διάθεση των κατασχεθέντων διατάχθηκε αμετάκλητα η απόδοσή τους στον ιδιοκτήτη, καταβάλλεται σε αυτόν αποζημίωση, σύμφωνα με τα οριζόμενα στις παραγράφους 8, 9 και 10.</w:t>
      </w:r>
    </w:p>
    <w:p>
      <w:pPr>
        <w:pStyle w:val="MainText"/>
        <w:spacing w:before="120" w:after="0"/>
        <w:rPr>
          <w:lang w:val="el" w:eastAsia="el"/>
        </w:rPr>
      </w:pPr>
      <w:r>
        <w:rPr>
          <w:b/>
          <w:bCs/>
          <w:lang w:val="el" w:eastAsia="el"/>
        </w:rPr>
        <w:t>12.</w:t>
      </w:r>
      <w:r>
        <w:rPr>
          <w:b/>
          <w:bCs/>
          <w:lang w:val="el" w:eastAsia="el"/>
        </w:rPr>
        <w:t xml:space="preserve"> Ολα τα είδη χερσαίων και εναέριων μεταφορικών μέσων και μηχανημάτων έργου που για οποιαδήποτε αιτία έχουν δεσμευτεί ή ακινητοποιηθεί από τις αρμόδιες Τελωνειακές αρχές ή από οποιαδήποτε άλλη αρμόδια αρχή και φυλάσσονται στη Διεύθυνση Διαχείρισης Δημοσίου Υλικού ή στο αρμόδιο τελωνείο, διατίθενται ή εκποιούνται, εφόσον παρέλθει χρονικό διάστημα δύο (2) ετών από την ημερομηνία δέσμευσης ή ακινητοποίησης. Εάν μετά την εκποίηση ή διάθεση των ανωτέρω αρθεί η δέσμευση ή διαταχθεί αμετάκλητα η απόδοσή τους στον ιδιοκτήτη, καταβάλλεται αποζημίωση κατ αντιστοιχία με τα οριζόμενα στις παραγράφους 8, 9 και 10.</w:t>
      </w:r>
    </w:p>
    <w:p>
      <w:pPr>
        <w:pStyle w:val="MainText"/>
        <w:spacing w:before="120" w:after="0"/>
        <w:rPr>
          <w:lang w:val="el" w:eastAsia="el"/>
        </w:rPr>
      </w:pPr>
      <w:r>
        <w:rPr>
          <w:b/>
          <w:bCs/>
          <w:lang w:val="el" w:eastAsia="el"/>
        </w:rPr>
        <w:t>13.</w:t>
      </w:r>
      <w:r>
        <w:rPr>
          <w:b/>
          <w:bCs/>
          <w:lang w:val="el" w:eastAsia="el"/>
        </w:rPr>
        <w:t xml:space="preserve"> Οχήματα που δεσμεύονται από το Υπουργείο Διοικητικής Ανασυγκρότησης, προκειμένου να διατεθούν σε υπηρεσίες, αποδεσμεύονται αυτομάτως και δεν δύναται να δεσμευθούν στο μέλλον για τις ίδιες υπηρεσίες, εάν μετά την παρέλευση ενενήντα (90) ημερολογιακών ημερών από την δέσμευσή τους δεν έχουν εκδοθεί οι σχετικές αποφάσεις διάθεσης.</w:t>
      </w:r>
    </w:p>
    <w:p>
      <w:pPr>
        <w:pStyle w:val="MainText"/>
        <w:spacing w:before="120" w:after="0"/>
        <w:rPr>
          <w:lang w:val="el" w:eastAsia="el"/>
        </w:rPr>
      </w:pPr>
      <w:r>
        <w:rPr>
          <w:b/>
          <w:bCs/>
          <w:lang w:val="el" w:eastAsia="el"/>
        </w:rPr>
        <w:t>14.</w:t>
      </w:r>
      <w:r>
        <w:rPr>
          <w:b/>
          <w:bCs/>
          <w:lang w:val="el" w:eastAsia="el"/>
        </w:rPr>
        <w:t xml:space="preserve"> α) Με αποφάσεις του Διοικητή της Α.Α.Δ.Ε. καθορίζονται:</w:t>
      </w:r>
    </w:p>
    <w:p>
      <w:pPr>
        <w:pStyle w:val="StructureList1"/>
        <w:spacing w:before="120" w:after="0"/>
        <w:rPr>
          <w:lang w:val="el" w:eastAsia="el"/>
        </w:rPr>
      </w:pPr>
      <w:r>
        <w:rPr>
          <w:b/>
          <w:bCs/>
          <w:lang w:val="el" w:eastAsia="el"/>
        </w:rPr>
        <w:t>αα)</w:t>
      </w:r>
      <w:r>
        <w:rPr>
          <w:b/>
          <w:bCs/>
          <w:lang w:val="en" w:eastAsia="en"/>
        </w:rPr>
        <w:tab/>
      </w:r>
      <w:r>
        <w:rPr>
          <w:b/>
          <w:bCs/>
          <w:lang w:val="el" w:eastAsia="el"/>
        </w:rPr>
        <w:t>Οι όροι πώλησης των ειδών που εμπίπτουν στις διατάξεις του παρόντος άρθρου.</w:t>
      </w:r>
    </w:p>
    <w:p>
      <w:pPr>
        <w:pStyle w:val="StructureList1"/>
        <w:spacing w:before="120" w:after="0"/>
        <w:rPr>
          <w:lang w:val="el" w:eastAsia="el"/>
        </w:rPr>
      </w:pPr>
      <w:r>
        <w:rPr>
          <w:b/>
          <w:bCs/>
          <w:lang w:val="el" w:eastAsia="el"/>
        </w:rPr>
        <w:t>αβ)</w:t>
      </w:r>
      <w:r>
        <w:rPr>
          <w:b/>
          <w:bCs/>
          <w:lang w:val="en" w:eastAsia="en"/>
        </w:rPr>
        <w:tab/>
      </w:r>
      <w:r>
        <w:rPr>
          <w:b/>
          <w:bCs/>
          <w:lang w:val="el" w:eastAsia="el"/>
        </w:rPr>
        <w:t>Οι αρμόδιες Υπηρεσίες της Α.Α.Δ.Ε. και οι όροι πώλησης ειδών πέραν των περιλαμβανομένων στο παρόν άρθρο, τα οποία περιέρχονται στη διαχείριση των ως άνω Υπηρεσιών.</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το ημερήσιο κόστος φύλαξης, ο χρόνος υπολογισμού του, το κόστος μεταφοράς όλων των ειδών που περιέρχονται στη διαχείριση των αρμοδίων Υπηρεσιών της Α.Α.Δ.Ε. και οποιαδήποτε άλλη δαπάνη βαρύνει τα είδη κατά την απόδοσή τους, καθώς και κάθε αναγκαία λεπτομέρεια για την εφαρμογή των διατάξεων του άρθρου αυτού.</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331"/>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32"/>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33"/>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34"/>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335"/>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36"/>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37"/>
      </w:r>
      <w:r>
        <w:rPr>
          <w:b/>
          <w:bCs/>
          <w:lang w:val="el" w:eastAsia="el"/>
        </w:rPr>
        <w:t>Όπου στον παρόντα κώδικα ή σε διατάξεις που αφορούν την εφαρμογή του παρόντα κώδικα γίνεται αναφορά σε εκκρεμείς δικαστικά υποθέσεις, ως τέτοιες νοούνται οι υποθέσεις που εκκρεμούν ενώπιον των τακτικών διοικητικών δικαστηρίων ή του Συμβουλίου της Επικρατείας, κατόπιν άσκησης δικαστικής προσφυγής ή τακτικού ενδίκου μέσου ή αίτησης αναίρεσης ή εκείνες για τις οποίες εκκρεμεί η προθεσμία άσκησης δικαστικής προσφυγής ή τακτικού ενδίκου μέσου ή αίτησης αναίρεσης. Ως εκκρεμείς δικαστικά νοούνται επίσης, οι υποθέσεις οι οποίες έχουν συζητηθεί στα τακτικά διοικητικά δικαστήρια ή στο Συμβούλιο της Επικρατείας και δεν έχει εκδοθεί αμετάκλητη απόφαση του δικαστηρίου ή έχει εκδοθεί μη αμετάκλητη απόφαση αλλά δεν έχει κοινοποιηθεί στους διαδίκους.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38"/>
      </w:r>
      <w:r>
        <w:rPr>
          <w:b/>
          <w:bCs/>
          <w:lang w:val="el" w:eastAsia="el"/>
        </w:rPr>
        <w:t>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339"/>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0" w:history="1">
        <w:r>
          <w:rPr>
            <w:rStyle w:val="Hyperlink"/>
            <w:b/>
            <w:bCs/>
            <w:color w:val="0000EE"/>
            <w:u w:color="0000EE"/>
            <w:lang w:val="el" w:eastAsia="el"/>
          </w:rPr>
          <w:t>Τροποποίηση 4410/2016, Άρθρο 10</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Προσθήκη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Προσθήκη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9" w:history="1">
        <w:r>
          <w:rPr>
            <w:rStyle w:val="Hyperlink"/>
            <w:b/>
            <w:bCs/>
            <w:color w:val="0000EE"/>
            <w:u w:color="0000EE"/>
            <w:lang w:val="el" w:eastAsia="el"/>
          </w:rPr>
          <w:t>Προσθήκη 4211/2013, Άρθρο 9</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41" w:history="1">
        <w:r>
          <w:rPr>
            <w:rStyle w:val="Hyperlink"/>
            <w:b/>
            <w:bCs/>
            <w:color w:val="0000EE"/>
            <w:u w:color="0000EE"/>
            <w:lang w:val="el" w:eastAsia="el"/>
          </w:rPr>
          <w:t>Τροποποίηση 4072/2012, Άρθρο 41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03" w:history="1">
        <w:r>
          <w:rPr>
            <w:rStyle w:val="Hyperlink"/>
            <w:b/>
            <w:bCs/>
            <w:color w:val="0000EE"/>
            <w:u w:color="0000EE"/>
            <w:lang w:val="el" w:eastAsia="el"/>
          </w:rPr>
          <w:t>Προσθήκη 4446/2016, Άρθρο 103</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3336/2005,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Προσθήκη 4410/2016,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9" w:history="1">
        <w:r>
          <w:rPr>
            <w:rStyle w:val="Hyperlink"/>
            <w:b/>
            <w:bCs/>
            <w:color w:val="0000EE"/>
            <w:u w:color="0000EE"/>
            <w:lang w:val="el" w:eastAsia="el"/>
          </w:rPr>
          <w:t>Τροποποίηση 4410/2016, Άρθρο 9</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1" w:history="1">
        <w:r>
          <w:rPr>
            <w:rStyle w:val="Hyperlink"/>
            <w:b/>
            <w:bCs/>
            <w:color w:val="0000EE"/>
            <w:u w:color="0000EE"/>
            <w:lang w:val="el" w:eastAsia="el"/>
          </w:rPr>
          <w:t>Τροποποίηση 3583/2007, Άρθρο 1</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85" w:history="1">
        <w:r>
          <w:rPr>
            <w:rStyle w:val="Hyperlink"/>
            <w:b/>
            <w:bCs/>
            <w:color w:val="0000EE"/>
            <w:u w:color="0000EE"/>
            <w:lang w:val="el" w:eastAsia="el"/>
          </w:rPr>
          <w:t>Τροποποίηση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4" w:history="1">
        <w:r>
          <w:rPr>
            <w:rStyle w:val="Hyperlink"/>
            <w:b/>
            <w:bCs/>
            <w:color w:val="0000EE"/>
            <w:u w:color="0000EE"/>
            <w:lang w:val="el" w:eastAsia="el"/>
          </w:rPr>
          <w:t>Προσθήκη 4410/2016, Άρθρο 4</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320" w:history="1">
        <w:r>
          <w:rPr>
            <w:rStyle w:val="Hyperlink"/>
            <w:b/>
            <w:bCs/>
            <w:color w:val="0000EE"/>
            <w:u w:color="0000EE"/>
            <w:lang w:val="el" w:eastAsia="el"/>
          </w:rPr>
          <w:t>Προσθήκη 4072/2012, Άρθρο 320</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9" w:history="1">
        <w:r>
          <w:rPr>
            <w:rStyle w:val="Hyperlink"/>
            <w:b/>
            <w:bCs/>
            <w:color w:val="0000EE"/>
            <w:u w:color="0000EE"/>
            <w:lang w:val="el" w:eastAsia="el"/>
          </w:rPr>
          <w:t>Τροποποίηση 4211/2013, Άρθρο 9</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Προσθήκη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Τροποποίηση 3842/2010, Άρθρο 85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85" w:history="1">
        <w:r>
          <w:rPr>
            <w:rStyle w:val="Hyperlink"/>
            <w:b/>
            <w:bCs/>
            <w:color w:val="0000EE"/>
            <w:u w:color="0000EE"/>
            <w:lang w:val="el" w:eastAsia="el"/>
          </w:rPr>
          <w:t>Τροποποίηση 3842/2010, Άρθρο 85</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85" w:history="1">
        <w:r>
          <w:rPr>
            <w:rStyle w:val="Hyperlink"/>
            <w:b/>
            <w:bCs/>
            <w:color w:val="0000EE"/>
            <w:u w:color="0000EE"/>
            <w:lang w:val="el" w:eastAsia="el"/>
          </w:rPr>
          <w:t>Τροποποίηση 3842/2010, Άρθρο 85</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85" w:history="1">
        <w:r>
          <w:rPr>
            <w:rStyle w:val="Hyperlink"/>
            <w:b/>
            <w:bCs/>
            <w:color w:val="0000EE"/>
            <w:u w:color="0000EE"/>
            <w:lang w:val="el" w:eastAsia="el"/>
          </w:rPr>
          <w:t>Τροποποίηση 3842/2010, Άρθρο 85</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85" w:history="1">
        <w:r>
          <w:rPr>
            <w:rStyle w:val="Hyperlink"/>
            <w:b/>
            <w:bCs/>
            <w:color w:val="0000EE"/>
            <w:u w:color="0000EE"/>
            <w:lang w:val="el" w:eastAsia="el"/>
          </w:rPr>
          <w:t>Τροποποίηση 3842/2010, Άρθρο 85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85" w:history="1">
        <w:r>
          <w:rPr>
            <w:rStyle w:val="Hyperlink"/>
            <w:b/>
            <w:bCs/>
            <w:color w:val="0000EE"/>
            <w:u w:color="0000EE"/>
            <w:lang w:val="el" w:eastAsia="el"/>
          </w:rPr>
          <w:t>Τροποποίηση 3842/2010, Άρθρο 85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1" w:history="1">
        <w:r>
          <w:rPr>
            <w:rStyle w:val="Hyperlink"/>
            <w:b/>
            <w:bCs/>
            <w:color w:val="0000EE"/>
            <w:u w:color="0000EE"/>
            <w:lang w:val="el" w:eastAsia="el"/>
          </w:rPr>
          <w:t>Τροποποίηση 3583/2007,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85" w:history="1">
        <w:r>
          <w:rPr>
            <w:rStyle w:val="Hyperlink"/>
            <w:b/>
            <w:bCs/>
            <w:color w:val="0000EE"/>
            <w:u w:color="0000EE"/>
            <w:lang w:val="el" w:eastAsia="el"/>
          </w:rPr>
          <w:t>Τροποποίηση 3842/2010, Άρθρο 85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Προσθήκη 3583/2007,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 w:history="1">
        <w:r>
          <w:rPr>
            <w:rStyle w:val="Hyperlink"/>
            <w:b/>
            <w:bCs/>
            <w:color w:val="0000EE"/>
            <w:u w:color="0000EE"/>
            <w:lang w:val="el" w:eastAsia="el"/>
          </w:rPr>
          <w:t>Προσθήκη 3583/2007,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Τροποποίηση 3336/2005,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62" w:history="1">
        <w:r>
          <w:rPr>
            <w:rStyle w:val="Hyperlink"/>
            <w:b/>
            <w:bCs/>
            <w:color w:val="0000EE"/>
            <w:u w:color="0000EE"/>
            <w:lang w:val="el" w:eastAsia="el"/>
          </w:rPr>
          <w:t>Τροποποίηση 4583/2018, Άρθρο 62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Τροποποίηση 3336/2005, Άρθρο 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4" w:history="1">
        <w:r>
          <w:rPr>
            <w:rStyle w:val="Hyperlink"/>
            <w:b/>
            <w:bCs/>
            <w:color w:val="0000EE"/>
            <w:u w:color="0000EE"/>
            <w:lang w:val="el" w:eastAsia="el"/>
          </w:rPr>
          <w:t>Τροποποίηση 3845/2010, Άρθρο 4</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5" w:history="1">
        <w:r>
          <w:rPr>
            <w:rStyle w:val="Hyperlink"/>
            <w:b/>
            <w:bCs/>
            <w:color w:val="0000EE"/>
            <w:u w:color="0000EE"/>
            <w:lang w:val="el" w:eastAsia="el"/>
          </w:rPr>
          <w:t>Τροποποίηση 3833/2010, Άρθρο 15</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7" w:history="1">
        <w:r>
          <w:rPr>
            <w:rStyle w:val="Hyperlink"/>
            <w:b/>
            <w:bCs/>
            <w:color w:val="0000EE"/>
            <w:u w:color="0000EE"/>
            <w:lang w:val="el" w:eastAsia="el"/>
          </w:rPr>
          <w:t>Τροποποίηση 3899/2010, Άρθρο 7</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36" w:history="1">
        <w:r>
          <w:rPr>
            <w:rStyle w:val="Hyperlink"/>
            <w:b/>
            <w:bCs/>
            <w:color w:val="0000EE"/>
            <w:u w:color="0000EE"/>
            <w:lang w:val="el" w:eastAsia="el"/>
          </w:rPr>
          <w:t>Τροποποίηση 3986/2011, Άρθρο 36</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5" w:history="1">
        <w:r>
          <w:rPr>
            <w:rStyle w:val="Hyperlink"/>
            <w:b/>
            <w:bCs/>
            <w:color w:val="0000EE"/>
            <w:u w:color="0000EE"/>
            <w:lang w:val="el" w:eastAsia="el"/>
          </w:rPr>
          <w:t>Τροποποίηση 4092/2012, Άρθρο 5</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4093/2012,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60" w:history="1">
        <w:r>
          <w:rPr>
            <w:rStyle w:val="Hyperlink"/>
            <w:b/>
            <w:bCs/>
            <w:color w:val="0000EE"/>
            <w:u w:color="0000EE"/>
            <w:lang w:val="el" w:eastAsia="el"/>
          </w:rPr>
          <w:t>Τροποποίηση 4389/2016, Άρθρο 60</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61" w:history="1">
        <w:r>
          <w:rPr>
            <w:rStyle w:val="Hyperlink"/>
            <w:b/>
            <w:bCs/>
            <w:color w:val="0000EE"/>
            <w:u w:color="0000EE"/>
            <w:lang w:val="el" w:eastAsia="el"/>
          </w:rPr>
          <w:t>Τροποποίηση 4389/2016, Άρθρο 61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34" w:history="1">
        <w:r>
          <w:rPr>
            <w:rStyle w:val="Hyperlink"/>
            <w:b/>
            <w:bCs/>
            <w:color w:val="0000EE"/>
            <w:u w:color="0000EE"/>
            <w:lang w:val="el" w:eastAsia="el"/>
          </w:rPr>
          <w:t>Τροποποίηση 3775/2009, Άρθρο 34</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34" w:history="1">
        <w:r>
          <w:rPr>
            <w:rStyle w:val="Hyperlink"/>
            <w:b/>
            <w:bCs/>
            <w:color w:val="0000EE"/>
            <w:u w:color="0000EE"/>
            <w:lang w:val="el" w:eastAsia="el"/>
          </w:rPr>
          <w:t>Τροποποίηση 3775/2009, Άρθρο 34</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62" w:history="1">
        <w:r>
          <w:rPr>
            <w:rStyle w:val="Hyperlink"/>
            <w:b/>
            <w:bCs/>
            <w:color w:val="0000EE"/>
            <w:u w:color="0000EE"/>
            <w:lang w:val="el" w:eastAsia="el"/>
          </w:rPr>
          <w:t>Τροποποίηση 4583/2018, Άρθρο 62</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62" w:history="1">
        <w:r>
          <w:rPr>
            <w:rStyle w:val="Hyperlink"/>
            <w:b/>
            <w:bCs/>
            <w:color w:val="0000EE"/>
            <w:u w:color="0000EE"/>
            <w:lang w:val="el" w:eastAsia="el"/>
          </w:rPr>
          <w:t>Τροποποίηση 4583/2018, Άρθρο 62</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7" w:anchor="art_10" w:history="1">
        <w:r>
          <w:rPr>
            <w:rStyle w:val="Hyperlink"/>
            <w:b w:val="0"/>
            <w:bCs w:val="0"/>
            <w:i w:val="0"/>
            <w:iCs w:val="0"/>
            <w:smallCaps w:val="0"/>
            <w:color w:val="0000EE"/>
            <w:u w:color="0000EE"/>
            <w:lang w:val="el" w:eastAsia="el"/>
          </w:rPr>
          <w:t>Τροποποίηση 3483/2006, Άρθρο 10</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Προσθήκη 3340/2005, Άρθρο 34</w:t>
      </w:r>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5" w:history="1">
        <w:r>
          <w:rPr>
            <w:rStyle w:val="Hyperlink"/>
            <w:b/>
            <w:bCs/>
            <w:color w:val="0000EE"/>
            <w:u w:color="0000EE"/>
            <w:lang w:val="el" w:eastAsia="el"/>
          </w:rPr>
          <w:t>Τροποποίηση 3899/2010, Άρθρο 5</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2" w:history="1">
        <w:r>
          <w:rPr>
            <w:rStyle w:val="Hyperlink"/>
            <w:b/>
            <w:bCs/>
            <w:color w:val="0000EE"/>
            <w:u w:color="0000EE"/>
            <w:lang w:val="el" w:eastAsia="el"/>
          </w:rPr>
          <w:t>Προσθήκη 3634/2008, Άρθρο 22</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36" w:history="1">
        <w:r>
          <w:rPr>
            <w:rStyle w:val="Hyperlink"/>
            <w:b/>
            <w:bCs/>
            <w:color w:val="0000EE"/>
            <w:u w:color="0000EE"/>
            <w:lang w:val="el" w:eastAsia="el"/>
          </w:rPr>
          <w:t>Τροποποίηση 3986/2011, Άρθρο 36</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36" w:history="1">
        <w:r>
          <w:rPr>
            <w:rStyle w:val="Hyperlink"/>
            <w:b/>
            <w:bCs/>
            <w:color w:val="0000EE"/>
            <w:u w:color="0000EE"/>
            <w:lang w:val="el" w:eastAsia="el"/>
          </w:rPr>
          <w:t>Τροποποίηση 3986/2011, Άρθρο 36</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38" w:history="1">
        <w:r>
          <w:rPr>
            <w:rStyle w:val="Hyperlink"/>
            <w:b/>
            <w:bCs/>
            <w:color w:val="0000EE"/>
            <w:u w:color="0000EE"/>
            <w:lang w:val="el" w:eastAsia="el"/>
          </w:rPr>
          <w:t>Τροποποίηση 4024/2011, Άρθρο 38</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29" w:history="1">
        <w:r>
          <w:rPr>
            <w:rStyle w:val="Hyperlink"/>
            <w:b/>
            <w:bCs/>
            <w:color w:val="0000EE"/>
            <w:u w:color="0000EE"/>
            <w:lang w:val="el" w:eastAsia="el"/>
          </w:rPr>
          <w:t>Τροποποίηση 4301/2014, Άρθρο 29</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60" w:history="1">
        <w:r>
          <w:rPr>
            <w:rStyle w:val="Hyperlink"/>
            <w:b/>
            <w:bCs/>
            <w:color w:val="0000EE"/>
            <w:u w:color="0000EE"/>
            <w:lang w:val="el" w:eastAsia="el"/>
          </w:rPr>
          <w:t>Τροποποίηση 4389/2016, Άρθρο 60</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 w:history="1">
        <w:r>
          <w:rPr>
            <w:rStyle w:val="Hyperlink"/>
            <w:b/>
            <w:bCs/>
            <w:color w:val="0000EE"/>
            <w:u w:color="0000EE"/>
            <w:lang w:val="el" w:eastAsia="el"/>
          </w:rPr>
          <w:t>Τροποποίηση 3336/2005,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5" w:history="1">
        <w:r>
          <w:rPr>
            <w:rStyle w:val="Hyperlink"/>
            <w:b/>
            <w:bCs/>
            <w:color w:val="0000EE"/>
            <w:u w:color="0000EE"/>
            <w:lang w:val="el" w:eastAsia="el"/>
          </w:rPr>
          <w:t>Προσθήκη 3833/2010, Άρθρο 15</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36" w:history="1">
        <w:r>
          <w:rPr>
            <w:rStyle w:val="Hyperlink"/>
            <w:b/>
            <w:bCs/>
            <w:color w:val="0000EE"/>
            <w:u w:color="0000EE"/>
            <w:lang w:val="el" w:eastAsia="el"/>
          </w:rPr>
          <w:t>Τροποποίηση 3986/2011, Άρθρο 36</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51" w:history="1">
        <w:r>
          <w:rPr>
            <w:rStyle w:val="Hyperlink"/>
            <w:b/>
            <w:bCs/>
            <w:color w:val="0000EE"/>
            <w:u w:color="0000EE"/>
            <w:lang w:val="el" w:eastAsia="el"/>
          </w:rPr>
          <w:t>Τροποποίηση 4607/2019, Άρθρο 51</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24" w:history="1">
        <w:r>
          <w:rPr>
            <w:rStyle w:val="Hyperlink"/>
            <w:b/>
            <w:bCs/>
            <w:color w:val="0000EE"/>
            <w:u w:color="0000EE"/>
            <w:lang w:val="el" w:eastAsia="el"/>
          </w:rPr>
          <w:t>Τροποποίηση 4514/2018, Άρθρο 124</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Τροποποίηση 3336/2005,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Τροποποίηση 3336/2005,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85" w:history="1">
        <w:r>
          <w:rPr>
            <w:rStyle w:val="Hyperlink"/>
            <w:b/>
            <w:bCs/>
            <w:color w:val="0000EE"/>
            <w:u w:color="0000EE"/>
            <w:lang w:val="el" w:eastAsia="el"/>
          </w:rPr>
          <w:t>Τροποποίηση 3842/2010, Άρθρο 85</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 w:history="1">
        <w:r>
          <w:rPr>
            <w:rStyle w:val="Hyperlink"/>
            <w:b/>
            <w:bCs/>
            <w:color w:val="0000EE"/>
            <w:u w:color="0000EE"/>
            <w:lang w:val="el" w:eastAsia="el"/>
          </w:rPr>
          <w:t>Τροποποίηση 3336/2005, Άρθρο 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Τροποποίηση 3336/2005,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30" w:history="1">
        <w:r>
          <w:rPr>
            <w:rStyle w:val="Hyperlink"/>
            <w:b/>
            <w:bCs/>
            <w:color w:val="0000EE"/>
            <w:u w:color="0000EE"/>
            <w:lang w:val="el" w:eastAsia="el"/>
          </w:rPr>
          <w:t>Αφαίρεση 3634/2008, Άρθρο 30</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61" w:history="1">
        <w:r>
          <w:rPr>
            <w:rStyle w:val="Hyperlink"/>
            <w:b/>
            <w:bCs/>
            <w:color w:val="0000EE"/>
            <w:u w:color="0000EE"/>
            <w:lang w:val="el" w:eastAsia="el"/>
          </w:rPr>
          <w:t>Τροποποίηση 4389/2016, Άρθρο 61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Προσθήκη 3583/2007,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84" w:history="1">
        <w:r>
          <w:rPr>
            <w:rStyle w:val="Hyperlink"/>
            <w:b/>
            <w:bCs/>
            <w:color w:val="0000EE"/>
            <w:u w:color="0000EE"/>
            <w:lang w:val="el" w:eastAsia="el"/>
          </w:rPr>
          <w:t>Τροποποίηση 4261/2014, Άρθρο 184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5" w:history="1">
        <w:r>
          <w:rPr>
            <w:rStyle w:val="Hyperlink"/>
            <w:b/>
            <w:bCs/>
            <w:color w:val="0000EE"/>
            <w:u w:color="0000EE"/>
            <w:lang w:val="el" w:eastAsia="el"/>
          </w:rPr>
          <w:t>Προσθήκη 3833/2010, Άρθρο 15</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62" w:history="1">
        <w:r>
          <w:rPr>
            <w:rStyle w:val="Hyperlink"/>
            <w:b/>
            <w:bCs/>
            <w:color w:val="0000EE"/>
            <w:u w:color="0000EE"/>
            <w:lang w:val="el" w:eastAsia="el"/>
          </w:rPr>
          <w:t>Τροποποίηση 4583/2018, Άρθρο 62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62" w:history="1">
        <w:r>
          <w:rPr>
            <w:rStyle w:val="Hyperlink"/>
            <w:b/>
            <w:bCs/>
            <w:color w:val="0000EE"/>
            <w:u w:color="0000EE"/>
            <w:lang w:val="el" w:eastAsia="el"/>
          </w:rPr>
          <w:t>Τροποποίηση 4583/2018, Άρθρο 62</w:t>
        </w:r>
      </w:hyperlink>
    </w:p>
  </w:footnote>
  <w:footnote w:id="10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2" w:anchor="art_1" w:history="1">
        <w:r>
          <w:rPr>
            <w:rStyle w:val="Hyperlink"/>
            <w:b w:val="0"/>
            <w:bCs w:val="0"/>
            <w:i w:val="0"/>
            <w:iCs w:val="0"/>
            <w:smallCaps w:val="0"/>
            <w:color w:val="0000EE"/>
            <w:u w:color="0000EE"/>
            <w:lang w:val="el" w:eastAsia="el"/>
          </w:rPr>
          <w:t>Αφαίρεση 3583/2007, Άρθρο 1</w:t>
        </w:r>
      </w:hyperlink>
    </w:p>
  </w:footnote>
  <w:footnote w:id="10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3" w:anchor="art_1" w:history="1">
        <w:r>
          <w:rPr>
            <w:rStyle w:val="Hyperlink"/>
            <w:b w:val="0"/>
            <w:bCs w:val="0"/>
            <w:i w:val="0"/>
            <w:iCs w:val="0"/>
            <w:smallCaps w:val="0"/>
            <w:color w:val="0000EE"/>
            <w:u w:color="0000EE"/>
            <w:lang w:val="el" w:eastAsia="el"/>
          </w:rPr>
          <w:t>Τροποποίηση 3583/2007, Άρθρο 1</w:t>
        </w:r>
      </w:hyperlink>
    </w:p>
  </w:footnote>
  <w:footnote w:id="10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4" w:anchor="art_15" w:history="1">
        <w:r>
          <w:rPr>
            <w:rStyle w:val="Hyperlink"/>
            <w:b w:val="0"/>
            <w:bCs w:val="0"/>
            <w:i w:val="0"/>
            <w:iCs w:val="0"/>
            <w:smallCaps w:val="0"/>
            <w:color w:val="0000EE"/>
            <w:u w:color="0000EE"/>
            <w:lang w:val="el" w:eastAsia="el"/>
          </w:rPr>
          <w:t>Αφαίρεση 3833/2010, Άρθρο 15</w:t>
        </w:r>
      </w:hyperlink>
    </w:p>
  </w:footnote>
  <w:footnote w:id="107">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5" w:anchor="art_1" w:history="1">
        <w:r>
          <w:rPr>
            <w:rStyle w:val="Hyperlink"/>
            <w:b w:val="0"/>
            <w:bCs w:val="0"/>
            <w:i w:val="0"/>
            <w:iCs w:val="0"/>
            <w:smallCaps w:val="0"/>
            <w:color w:val="0000EE"/>
            <w:u w:color="0000EE"/>
            <w:lang w:val="el" w:eastAsia="el"/>
          </w:rPr>
          <w:t>Τροποποίηση 3583/2007, Άρθρο 1</w:t>
        </w:r>
      </w:hyperlink>
    </w:p>
  </w:footnote>
  <w:footnote w:id="10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6" w:anchor="art_22" w:history="1">
        <w:r>
          <w:rPr>
            <w:rStyle w:val="Hyperlink"/>
            <w:b w:val="0"/>
            <w:bCs w:val="0"/>
            <w:i w:val="0"/>
            <w:iCs w:val="0"/>
            <w:smallCaps w:val="0"/>
            <w:color w:val="0000EE"/>
            <w:u w:color="0000EE"/>
            <w:lang w:val="el" w:eastAsia="el"/>
          </w:rPr>
          <w:t>Αφαίρεση 3634/2008, Άρθρο 22</w:t>
        </w:r>
      </w:hyperlink>
    </w:p>
  </w:footnote>
  <w:footnote w:id="10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7" w:anchor="art_1" w:history="1">
        <w:r>
          <w:rPr>
            <w:rStyle w:val="Hyperlink"/>
            <w:b w:val="0"/>
            <w:bCs w:val="0"/>
            <w:i w:val="0"/>
            <w:iCs w:val="0"/>
            <w:smallCaps w:val="0"/>
            <w:color w:val="0000EE"/>
            <w:u w:color="0000EE"/>
            <w:lang w:val="el" w:eastAsia="el"/>
          </w:rPr>
          <w:t>Αφαίρεση 3583/2007,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0" w:history="1">
        <w:r>
          <w:rPr>
            <w:rStyle w:val="Hyperlink"/>
            <w:b/>
            <w:bCs/>
            <w:color w:val="0000EE"/>
            <w:u w:color="0000EE"/>
            <w:lang w:val="el" w:eastAsia="el"/>
          </w:rPr>
          <w:t>Τροποποίηση 3483/2006, Άρθρο 10</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62" w:history="1">
        <w:r>
          <w:rPr>
            <w:rStyle w:val="Hyperlink"/>
            <w:b/>
            <w:bCs/>
            <w:color w:val="0000EE"/>
            <w:u w:color="0000EE"/>
            <w:lang w:val="el" w:eastAsia="el"/>
          </w:rPr>
          <w:t>Τροποποίηση 4583/2018, Άρθρο 62</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 w:history="1">
        <w:r>
          <w:rPr>
            <w:rStyle w:val="Hyperlink"/>
            <w:b/>
            <w:bCs/>
            <w:color w:val="0000EE"/>
            <w:u w:color="0000EE"/>
            <w:lang w:val="el" w:eastAsia="el"/>
          </w:rPr>
          <w:t>Προσθήκη 3583/2007,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2" w:history="1">
        <w:r>
          <w:rPr>
            <w:rStyle w:val="Hyperlink"/>
            <w:b/>
            <w:bCs/>
            <w:color w:val="0000EE"/>
            <w:u w:color="0000EE"/>
            <w:lang w:val="el" w:eastAsia="el"/>
          </w:rPr>
          <w:t>Αφαίρεση 3634/2008, Άρθρο 22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22" w:history="1">
        <w:r>
          <w:rPr>
            <w:rStyle w:val="Hyperlink"/>
            <w:b/>
            <w:bCs/>
            <w:color w:val="0000EE"/>
            <w:u w:color="0000EE"/>
            <w:lang w:val="el" w:eastAsia="el"/>
          </w:rPr>
          <w:t>Προσθήκη 3634/2008, Άρθρο 22</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 w:history="1">
        <w:r>
          <w:rPr>
            <w:rStyle w:val="Hyperlink"/>
            <w:b/>
            <w:bCs/>
            <w:color w:val="0000EE"/>
            <w:u w:color="0000EE"/>
            <w:lang w:val="el" w:eastAsia="el"/>
          </w:rPr>
          <w:t>Τροποποίηση 4093/2012,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 w:history="1">
        <w:r>
          <w:rPr>
            <w:rStyle w:val="Hyperlink"/>
            <w:b/>
            <w:bCs/>
            <w:color w:val="0000EE"/>
            <w:u w:color="0000EE"/>
            <w:lang w:val="el" w:eastAsia="el"/>
          </w:rPr>
          <w:t>Τροποποίηση 4336/2015, Άρθρο 2</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 w:history="1">
        <w:r>
          <w:rPr>
            <w:rStyle w:val="Hyperlink"/>
            <w:b/>
            <w:bCs/>
            <w:color w:val="0000EE"/>
            <w:u w:color="0000EE"/>
            <w:lang w:val="el" w:eastAsia="el"/>
          </w:rPr>
          <w:t>Αφαίρεση 4336/2015, Άρθρο 2</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2" w:history="1">
        <w:r>
          <w:rPr>
            <w:rStyle w:val="Hyperlink"/>
            <w:b/>
            <w:bCs/>
            <w:color w:val="0000EE"/>
            <w:u w:color="0000EE"/>
            <w:lang w:val="el" w:eastAsia="el"/>
          </w:rPr>
          <w:t>Τροποποίηση 3634/2008, Άρθρο 22</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Τροποποίηση 3336/2005,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15" w:history="1">
        <w:r>
          <w:rPr>
            <w:rStyle w:val="Hyperlink"/>
            <w:b/>
            <w:bCs/>
            <w:color w:val="0000EE"/>
            <w:u w:color="0000EE"/>
            <w:lang w:val="el" w:eastAsia="el"/>
          </w:rPr>
          <w:t>Προσθήκη 4537/2018, Άρθρο 115</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2" w:history="1">
        <w:r>
          <w:rPr>
            <w:rStyle w:val="Hyperlink"/>
            <w:b/>
            <w:bCs/>
            <w:color w:val="0000EE"/>
            <w:u w:color="0000EE"/>
            <w:lang w:val="el" w:eastAsia="el"/>
          </w:rPr>
          <w:t>Τροποποίηση 3634/2008, Άρθρο 22</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Προσθήκη 3583/2007,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68" w:history="1">
        <w:r>
          <w:rPr>
            <w:rStyle w:val="Hyperlink"/>
            <w:b/>
            <w:bCs/>
            <w:color w:val="0000EE"/>
            <w:u w:color="0000EE"/>
            <w:lang w:val="el" w:eastAsia="el"/>
          </w:rPr>
          <w:t>Τροποποίηση 4472/2017, Άρθρο 68</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4" w:history="1">
        <w:r>
          <w:rPr>
            <w:rStyle w:val="Hyperlink"/>
            <w:b/>
            <w:bCs/>
            <w:color w:val="0000EE"/>
            <w:u w:color="0000EE"/>
            <w:lang w:val="el" w:eastAsia="el"/>
          </w:rPr>
          <w:t>Τροποποίηση 3833/2010, Άρθρο 14</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4" w:history="1">
        <w:r>
          <w:rPr>
            <w:rStyle w:val="Hyperlink"/>
            <w:b/>
            <w:bCs/>
            <w:color w:val="0000EE"/>
            <w:u w:color="0000EE"/>
            <w:lang w:val="el" w:eastAsia="el"/>
          </w:rPr>
          <w:t>Τροποποίηση 3845/2010, Άρθρο 4</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3336/2005,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0" w:history="1">
        <w:r>
          <w:rPr>
            <w:rStyle w:val="Hyperlink"/>
            <w:b/>
            <w:bCs/>
            <w:color w:val="0000EE"/>
            <w:u w:color="0000EE"/>
            <w:lang w:val="el" w:eastAsia="el"/>
          </w:rPr>
          <w:t>Τροποποίηση 3752/2009, Άρθρο 10</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4" w:history="1">
        <w:r>
          <w:rPr>
            <w:rStyle w:val="Hyperlink"/>
            <w:b/>
            <w:bCs/>
            <w:color w:val="0000EE"/>
            <w:u w:color="0000EE"/>
            <w:lang w:val="el" w:eastAsia="el"/>
          </w:rPr>
          <w:t>Τροποποίηση 3833/2010, Άρθρο 14</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4" w:history="1">
        <w:r>
          <w:rPr>
            <w:rStyle w:val="Hyperlink"/>
            <w:b/>
            <w:bCs/>
            <w:color w:val="0000EE"/>
            <w:u w:color="0000EE"/>
            <w:lang w:val="el" w:eastAsia="el"/>
          </w:rPr>
          <w:t>Τροποποίηση 3845/2010, Άρθρο 4</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60" w:history="1">
        <w:r>
          <w:rPr>
            <w:rStyle w:val="Hyperlink"/>
            <w:b/>
            <w:bCs/>
            <w:color w:val="0000EE"/>
            <w:u w:color="0000EE"/>
            <w:lang w:val="el" w:eastAsia="el"/>
          </w:rPr>
          <w:t>Τροποποίηση 4389/2016, Άρθρο 60</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Προσθήκη 3583/2007,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68" w:history="1">
        <w:r>
          <w:rPr>
            <w:rStyle w:val="Hyperlink"/>
            <w:b/>
            <w:bCs/>
            <w:color w:val="0000EE"/>
            <w:u w:color="0000EE"/>
            <w:lang w:val="el" w:eastAsia="el"/>
          </w:rPr>
          <w:t>Αφαίρεση 4472/2017, Άρθρο 68</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 w:history="1">
        <w:r>
          <w:rPr>
            <w:rStyle w:val="Hyperlink"/>
            <w:b/>
            <w:bCs/>
            <w:color w:val="0000EE"/>
            <w:u w:color="0000EE"/>
            <w:lang w:val="el" w:eastAsia="el"/>
          </w:rPr>
          <w:t>Προσθήκη 3583/2007,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68" w:history="1">
        <w:r>
          <w:rPr>
            <w:rStyle w:val="Hyperlink"/>
            <w:b/>
            <w:bCs/>
            <w:color w:val="0000EE"/>
            <w:u w:color="0000EE"/>
            <w:lang w:val="el" w:eastAsia="el"/>
          </w:rPr>
          <w:t>Αφαίρεση 4472/2017, Άρθρο 68</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 w:history="1">
        <w:r>
          <w:rPr>
            <w:rStyle w:val="Hyperlink"/>
            <w:b/>
            <w:bCs/>
            <w:color w:val="0000EE"/>
            <w:u w:color="0000EE"/>
            <w:lang w:val="el" w:eastAsia="el"/>
          </w:rPr>
          <w:t>Τροποποίηση 3583/2007,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Τροποποίηση 3583/2007,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68" w:history="1">
        <w:r>
          <w:rPr>
            <w:rStyle w:val="Hyperlink"/>
            <w:b/>
            <w:bCs/>
            <w:color w:val="0000EE"/>
            <w:u w:color="0000EE"/>
            <w:lang w:val="el" w:eastAsia="el"/>
          </w:rPr>
          <w:t>Τροποποίηση 4472/2017, Άρθρο 68</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68" w:history="1">
        <w:r>
          <w:rPr>
            <w:rStyle w:val="Hyperlink"/>
            <w:b/>
            <w:bCs/>
            <w:color w:val="0000EE"/>
            <w:u w:color="0000EE"/>
            <w:lang w:val="el" w:eastAsia="el"/>
          </w:rPr>
          <w:t>Αφαίρεση 4472/2017, Άρθρο 68</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Προσθήκη 3583/2007,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Τροποποίηση 3583/2007,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68" w:history="1">
        <w:r>
          <w:rPr>
            <w:rStyle w:val="Hyperlink"/>
            <w:b/>
            <w:bCs/>
            <w:color w:val="0000EE"/>
            <w:u w:color="0000EE"/>
            <w:lang w:val="el" w:eastAsia="el"/>
          </w:rPr>
          <w:t>Τροποποίηση 4472/2017, Άρθρο 68</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85" w:history="1">
        <w:r>
          <w:rPr>
            <w:rStyle w:val="Hyperlink"/>
            <w:b/>
            <w:bCs/>
            <w:color w:val="0000EE"/>
            <w:u w:color="0000EE"/>
            <w:lang w:val="el" w:eastAsia="el"/>
          </w:rPr>
          <w:t>Τροποποίηση 3842/2010, Άρθρο 85</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0" w:history="1">
        <w:r>
          <w:rPr>
            <w:rStyle w:val="Hyperlink"/>
            <w:b/>
            <w:bCs/>
            <w:color w:val="0000EE"/>
            <w:u w:color="0000EE"/>
            <w:lang w:val="el" w:eastAsia="el"/>
          </w:rPr>
          <w:t>Τροποποίηση 3752/2009, Άρθρο 10</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4" w:history="1">
        <w:r>
          <w:rPr>
            <w:rStyle w:val="Hyperlink"/>
            <w:b/>
            <w:bCs/>
            <w:color w:val="0000EE"/>
            <w:u w:color="0000EE"/>
            <w:lang w:val="el" w:eastAsia="el"/>
          </w:rPr>
          <w:t>Τροποποίηση 3833/2010, Άρθρο 14</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4" w:history="1">
        <w:r>
          <w:rPr>
            <w:rStyle w:val="Hyperlink"/>
            <w:b/>
            <w:bCs/>
            <w:color w:val="0000EE"/>
            <w:u w:color="0000EE"/>
            <w:lang w:val="el" w:eastAsia="el"/>
          </w:rPr>
          <w:t>Τροποποίηση 3845/2010, Άρθρο 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60" w:history="1">
        <w:r>
          <w:rPr>
            <w:rStyle w:val="Hyperlink"/>
            <w:b/>
            <w:bCs/>
            <w:color w:val="0000EE"/>
            <w:u w:color="0000EE"/>
            <w:lang w:val="el" w:eastAsia="el"/>
          </w:rPr>
          <w:t>Τροποποίηση 4389/2016, Άρθρο 60</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0" w:history="1">
        <w:r>
          <w:rPr>
            <w:rStyle w:val="Hyperlink"/>
            <w:b/>
            <w:bCs/>
            <w:color w:val="0000EE"/>
            <w:u w:color="0000EE"/>
            <w:lang w:val="el" w:eastAsia="el"/>
          </w:rPr>
          <w:t>Τροποποίηση 3752/2009, Άρθρο 10</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4" w:history="1">
        <w:r>
          <w:rPr>
            <w:rStyle w:val="Hyperlink"/>
            <w:b/>
            <w:bCs/>
            <w:color w:val="0000EE"/>
            <w:u w:color="0000EE"/>
            <w:lang w:val="el" w:eastAsia="el"/>
          </w:rPr>
          <w:t>Τροποποίηση 3833/2010, Άρθρο 14</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4" w:history="1">
        <w:r>
          <w:rPr>
            <w:rStyle w:val="Hyperlink"/>
            <w:b/>
            <w:bCs/>
            <w:color w:val="0000EE"/>
            <w:u w:color="0000EE"/>
            <w:lang w:val="el" w:eastAsia="el"/>
          </w:rPr>
          <w:t>Τροποποίηση 3845/2010, Άρθρο 4</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60" w:history="1">
        <w:r>
          <w:rPr>
            <w:rStyle w:val="Hyperlink"/>
            <w:b/>
            <w:bCs/>
            <w:color w:val="0000EE"/>
            <w:u w:color="0000EE"/>
            <w:lang w:val="el" w:eastAsia="el"/>
          </w:rPr>
          <w:t>Τροποποίηση 4389/2016, Άρθρο 60</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0" w:history="1">
        <w:r>
          <w:rPr>
            <w:rStyle w:val="Hyperlink"/>
            <w:b/>
            <w:bCs/>
            <w:color w:val="0000EE"/>
            <w:u w:color="0000EE"/>
            <w:lang w:val="el" w:eastAsia="el"/>
          </w:rPr>
          <w:t>Τροποποίηση 3752/2009, Άρθρο 10</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4" w:history="1">
        <w:r>
          <w:rPr>
            <w:rStyle w:val="Hyperlink"/>
            <w:b/>
            <w:bCs/>
            <w:color w:val="0000EE"/>
            <w:u w:color="0000EE"/>
            <w:lang w:val="el" w:eastAsia="el"/>
          </w:rPr>
          <w:t>Τροποποίηση 3833/2010, Άρθρο 14</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4" w:history="1">
        <w:r>
          <w:rPr>
            <w:rStyle w:val="Hyperlink"/>
            <w:b/>
            <w:bCs/>
            <w:color w:val="0000EE"/>
            <w:u w:color="0000EE"/>
            <w:lang w:val="el" w:eastAsia="el"/>
          </w:rPr>
          <w:t>Τροποποίηση 3845/2010, Άρθρο 4</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92" w:history="1">
        <w:r>
          <w:rPr>
            <w:rStyle w:val="Hyperlink"/>
            <w:b/>
            <w:bCs/>
            <w:color w:val="0000EE"/>
            <w:u w:color="0000EE"/>
            <w:lang w:val="el" w:eastAsia="el"/>
          </w:rPr>
          <w:t>Τροποποίηση 4583/2018, Άρθρο 92</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92" w:history="1">
        <w:r>
          <w:rPr>
            <w:rStyle w:val="Hyperlink"/>
            <w:b/>
            <w:bCs/>
            <w:color w:val="0000EE"/>
            <w:u w:color="0000EE"/>
            <w:lang w:val="el" w:eastAsia="el"/>
          </w:rPr>
          <w:t>Τροποποίηση 4583/2018, Άρθρο 92</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6" w:history="1">
        <w:r>
          <w:rPr>
            <w:rStyle w:val="Hyperlink"/>
            <w:b/>
            <w:bCs/>
            <w:color w:val="0000EE"/>
            <w:u w:color="0000EE"/>
            <w:lang w:val="el" w:eastAsia="el"/>
          </w:rPr>
          <w:t>Τροποποίηση 3899/2010, Άρθρο 6</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6" w:history="1">
        <w:r>
          <w:rPr>
            <w:rStyle w:val="Hyperlink"/>
            <w:b/>
            <w:bCs/>
            <w:color w:val="0000EE"/>
            <w:u w:color="0000EE"/>
            <w:lang w:val="el" w:eastAsia="el"/>
          </w:rPr>
          <w:t>Τροποποίηση 3899/2010, Άρθρο 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 w:history="1">
        <w:r>
          <w:rPr>
            <w:rStyle w:val="Hyperlink"/>
            <w:b/>
            <w:bCs/>
            <w:color w:val="0000EE"/>
            <w:u w:color="0000EE"/>
            <w:lang w:val="el" w:eastAsia="el"/>
          </w:rPr>
          <w:t>Τροποποίηση 4093/2012, Άρθρο 2</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6" w:history="1">
        <w:r>
          <w:rPr>
            <w:rStyle w:val="Hyperlink"/>
            <w:b/>
            <w:bCs/>
            <w:color w:val="0000EE"/>
            <w:u w:color="0000EE"/>
            <w:lang w:val="el" w:eastAsia="el"/>
          </w:rPr>
          <w:t>Τροποποίηση 3899/2010, Άρθρο 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36" w:history="1">
        <w:r>
          <w:rPr>
            <w:rStyle w:val="Hyperlink"/>
            <w:b/>
            <w:bCs/>
            <w:color w:val="0000EE"/>
            <w:u w:color="0000EE"/>
            <w:lang w:val="el" w:eastAsia="el"/>
          </w:rPr>
          <w:t>Τροποποίηση 3986/2011, Άρθρο 36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Τροποποίηση 4093/2012, Άρθρο 1</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69" w:history="1">
        <w:r>
          <w:rPr>
            <w:rStyle w:val="Hyperlink"/>
            <w:b/>
            <w:bCs/>
            <w:color w:val="0000EE"/>
            <w:u w:color="0000EE"/>
            <w:lang w:val="el" w:eastAsia="el"/>
          </w:rPr>
          <w:t>Τροποποίηση 4235/2014, Άρθρο 69</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60" w:history="1">
        <w:r>
          <w:rPr>
            <w:rStyle w:val="Hyperlink"/>
            <w:b/>
            <w:bCs/>
            <w:color w:val="0000EE"/>
            <w:u w:color="0000EE"/>
            <w:lang w:val="el" w:eastAsia="el"/>
          </w:rPr>
          <w:t>Τροποποίηση 4389/2016, Άρθρο 60</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60" w:history="1">
        <w:r>
          <w:rPr>
            <w:rStyle w:val="Hyperlink"/>
            <w:b/>
            <w:bCs/>
            <w:color w:val="0000EE"/>
            <w:u w:color="0000EE"/>
            <w:lang w:val="el" w:eastAsia="el"/>
          </w:rPr>
          <w:t>Τροποποίηση 4389/2016, Άρθρο 60</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 w:history="1">
        <w:r>
          <w:rPr>
            <w:rStyle w:val="Hyperlink"/>
            <w:b/>
            <w:bCs/>
            <w:color w:val="0000EE"/>
            <w:u w:color="0000EE"/>
            <w:lang w:val="el" w:eastAsia="el"/>
          </w:rPr>
          <w:t>Τροποποίηση 4093/2012, Άρθρο 2</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30" w:history="1">
        <w:r>
          <w:rPr>
            <w:rStyle w:val="Hyperlink"/>
            <w:b/>
            <w:bCs/>
            <w:color w:val="0000EE"/>
            <w:u w:color="0000EE"/>
            <w:lang w:val="el" w:eastAsia="el"/>
          </w:rPr>
          <w:t>Προσθήκη 3943/2011, Άρθρο 30</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Προσθήκη 4410/2016,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 w:history="1">
        <w:r>
          <w:rPr>
            <w:rStyle w:val="Hyperlink"/>
            <w:b/>
            <w:bCs/>
            <w:color w:val="0000EE"/>
            <w:u w:color="0000EE"/>
            <w:lang w:val="el" w:eastAsia="el"/>
          </w:rPr>
          <w:t>Προσθήκη 4410/2016, Άρθρο 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3" w:history="1">
        <w:r>
          <w:rPr>
            <w:rStyle w:val="Hyperlink"/>
            <w:b/>
            <w:bCs/>
            <w:color w:val="0000EE"/>
            <w:u w:color="0000EE"/>
            <w:lang w:val="el" w:eastAsia="el"/>
          </w:rPr>
          <w:t>Προσθήκη 4410/2016, Άρθρο 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16" w:history="1">
        <w:r>
          <w:rPr>
            <w:rStyle w:val="Hyperlink"/>
            <w:b/>
            <w:bCs/>
            <w:color w:val="0000EE"/>
            <w:u w:color="0000EE"/>
            <w:lang w:val="el" w:eastAsia="el"/>
          </w:rPr>
          <w:t>Τροποποίηση 4537/2018, Άρθρο 116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16" w:history="1">
        <w:r>
          <w:rPr>
            <w:rStyle w:val="Hyperlink"/>
            <w:b/>
            <w:bCs/>
            <w:color w:val="0000EE"/>
            <w:u w:color="0000EE"/>
            <w:lang w:val="el" w:eastAsia="el"/>
          </w:rPr>
          <w:t>Αφαίρεση 4537/2018, Άρθρο 116</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 w:history="1">
        <w:r>
          <w:rPr>
            <w:rStyle w:val="Hyperlink"/>
            <w:b/>
            <w:bCs/>
            <w:color w:val="0000EE"/>
            <w:u w:color="0000EE"/>
            <w:lang w:val="el" w:eastAsia="el"/>
          </w:rPr>
          <w:t>Τροποποίηση 3583/2007, Άρθρο 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Τροποποίηση 3583/2007,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6" w:history="1">
        <w:r>
          <w:rPr>
            <w:rStyle w:val="Hyperlink"/>
            <w:b/>
            <w:bCs/>
            <w:color w:val="0000EE"/>
            <w:u w:color="0000EE"/>
            <w:lang w:val="el" w:eastAsia="el"/>
          </w:rPr>
          <w:t>Τροποποίηση 3899/2010, Άρθρο 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36" w:history="1">
        <w:r>
          <w:rPr>
            <w:rStyle w:val="Hyperlink"/>
            <w:b/>
            <w:bCs/>
            <w:color w:val="0000EE"/>
            <w:u w:color="0000EE"/>
            <w:lang w:val="el" w:eastAsia="el"/>
          </w:rPr>
          <w:t>Τροποποίηση 3986/2011, Άρθρο 36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 w:history="1">
        <w:r>
          <w:rPr>
            <w:rStyle w:val="Hyperlink"/>
            <w:b/>
            <w:bCs/>
            <w:color w:val="0000EE"/>
            <w:u w:color="0000EE"/>
            <w:lang w:val="el" w:eastAsia="el"/>
          </w:rPr>
          <w:t>Τροποποίηση 3583/2007, Άρθρο 1</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Τροποποίηση 3583/2007, Άρθρο 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 w:history="1">
        <w:r>
          <w:rPr>
            <w:rStyle w:val="Hyperlink"/>
            <w:b/>
            <w:bCs/>
            <w:color w:val="0000EE"/>
            <w:u w:color="0000EE"/>
            <w:lang w:val="el" w:eastAsia="el"/>
          </w:rPr>
          <w:t>Προσθήκη 3583/2007, Άρθρο 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5" w:history="1">
        <w:r>
          <w:rPr>
            <w:rStyle w:val="Hyperlink"/>
            <w:b/>
            <w:bCs/>
            <w:color w:val="0000EE"/>
            <w:u w:color="0000EE"/>
            <w:lang w:val="el" w:eastAsia="el"/>
          </w:rPr>
          <w:t>Προσθήκη 4410/2016, Άρθρο 5</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5" w:history="1">
        <w:r>
          <w:rPr>
            <w:rStyle w:val="Hyperlink"/>
            <w:b/>
            <w:bCs/>
            <w:color w:val="0000EE"/>
            <w:u w:color="0000EE"/>
            <w:lang w:val="el" w:eastAsia="el"/>
          </w:rPr>
          <w:t>Προσθήκη 4410/2016, Άρθρο 5</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03" w:history="1">
        <w:r>
          <w:rPr>
            <w:rStyle w:val="Hyperlink"/>
            <w:b/>
            <w:bCs/>
            <w:color w:val="0000EE"/>
            <w:u w:color="0000EE"/>
            <w:lang w:val="el" w:eastAsia="el"/>
          </w:rPr>
          <w:t>Τροποποίηση 4446/2016, Άρθρο 103</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24" w:history="1">
        <w:r>
          <w:rPr>
            <w:rStyle w:val="Hyperlink"/>
            <w:b/>
            <w:bCs/>
            <w:color w:val="0000EE"/>
            <w:u w:color="0000EE"/>
            <w:lang w:val="el" w:eastAsia="el"/>
          </w:rPr>
          <w:t>Τροποποίηση 4514/2018, Άρθρο 124</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5" w:history="1">
        <w:r>
          <w:rPr>
            <w:rStyle w:val="Hyperlink"/>
            <w:b/>
            <w:bCs/>
            <w:color w:val="0000EE"/>
            <w:u w:color="0000EE"/>
            <w:lang w:val="el" w:eastAsia="el"/>
          </w:rPr>
          <w:t>Τροποποίηση 3833/2010, Άρθρο 15</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Προσθήκη 3583/2007, Άρθρο 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8" w:history="1">
        <w:r>
          <w:rPr>
            <w:rStyle w:val="Hyperlink"/>
            <w:b/>
            <w:bCs/>
            <w:color w:val="0000EE"/>
            <w:u w:color="0000EE"/>
            <w:lang w:val="el" w:eastAsia="el"/>
          </w:rPr>
          <w:t>Προσθήκη 3634/2008, Άρθρο 28</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5" w:history="1">
        <w:r>
          <w:rPr>
            <w:rStyle w:val="Hyperlink"/>
            <w:b/>
            <w:bCs/>
            <w:color w:val="0000EE"/>
            <w:u w:color="0000EE"/>
            <w:lang w:val="el" w:eastAsia="el"/>
          </w:rPr>
          <w:t>Τροποποίηση 3899/2010, Άρθρο 5</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8" w:history="1">
        <w:r>
          <w:rPr>
            <w:rStyle w:val="Hyperlink"/>
            <w:b/>
            <w:bCs/>
            <w:color w:val="0000EE"/>
            <w:u w:color="0000EE"/>
            <w:lang w:val="el" w:eastAsia="el"/>
          </w:rPr>
          <w:t>Προσθήκη 3634/2008, Άρθρο 28</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5" w:history="1">
        <w:r>
          <w:rPr>
            <w:rStyle w:val="Hyperlink"/>
            <w:b/>
            <w:bCs/>
            <w:color w:val="0000EE"/>
            <w:u w:color="0000EE"/>
            <w:lang w:val="el" w:eastAsia="el"/>
          </w:rPr>
          <w:t>Αφαίρεση 3899/2010, Άρθρο 5</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5" w:history="1">
        <w:r>
          <w:rPr>
            <w:rStyle w:val="Hyperlink"/>
            <w:b/>
            <w:bCs/>
            <w:color w:val="0000EE"/>
            <w:u w:color="0000EE"/>
            <w:lang w:val="el" w:eastAsia="el"/>
          </w:rPr>
          <w:t>Προσθήκη 3833/2010, Άρθρο 15</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36" w:history="1">
        <w:r>
          <w:rPr>
            <w:rStyle w:val="Hyperlink"/>
            <w:b/>
            <w:bCs/>
            <w:color w:val="0000EE"/>
            <w:u w:color="0000EE"/>
            <w:lang w:val="el" w:eastAsia="el"/>
          </w:rPr>
          <w:t>Τροποποίηση 3986/2011, Άρθρο 36</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15" w:history="1">
        <w:r>
          <w:rPr>
            <w:rStyle w:val="Hyperlink"/>
            <w:b/>
            <w:bCs/>
            <w:color w:val="0000EE"/>
            <w:u w:color="0000EE"/>
            <w:lang w:val="el" w:eastAsia="el"/>
          </w:rPr>
          <w:t>Τροποποίηση 4537/2018, Άρθρο 115</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03" w:history="1">
        <w:r>
          <w:rPr>
            <w:rStyle w:val="Hyperlink"/>
            <w:b/>
            <w:bCs/>
            <w:color w:val="0000EE"/>
            <w:u w:color="0000EE"/>
            <w:lang w:val="el" w:eastAsia="el"/>
          </w:rPr>
          <w:t>Προσθήκη 4446/2016, Άρθρο 103</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24" w:history="1">
        <w:r>
          <w:rPr>
            <w:rStyle w:val="Hyperlink"/>
            <w:b/>
            <w:bCs/>
            <w:color w:val="0000EE"/>
            <w:u w:color="0000EE"/>
            <w:lang w:val="el" w:eastAsia="el"/>
          </w:rPr>
          <w:t>Τροποποίηση 4514/2018, Άρθρο 124</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8" w:history="1">
        <w:r>
          <w:rPr>
            <w:rStyle w:val="Hyperlink"/>
            <w:b/>
            <w:bCs/>
            <w:color w:val="0000EE"/>
            <w:u w:color="0000EE"/>
            <w:lang w:val="el" w:eastAsia="el"/>
          </w:rPr>
          <w:t>Τροποποίηση 3634/2008, Άρθρο 28</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5" w:history="1">
        <w:r>
          <w:rPr>
            <w:rStyle w:val="Hyperlink"/>
            <w:b/>
            <w:bCs/>
            <w:color w:val="0000EE"/>
            <w:u w:color="0000EE"/>
            <w:lang w:val="el" w:eastAsia="el"/>
          </w:rPr>
          <w:t>Τροποποίηση 3833/2010, Άρθρο 15</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03" w:history="1">
        <w:r>
          <w:rPr>
            <w:rStyle w:val="Hyperlink"/>
            <w:b/>
            <w:bCs/>
            <w:color w:val="0000EE"/>
            <w:u w:color="0000EE"/>
            <w:lang w:val="el" w:eastAsia="el"/>
          </w:rPr>
          <w:t>Προσθήκη 4446/2016, Άρθρο 103</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Τροποποίηση 3583/2007, Άρθρο 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85" w:history="1">
        <w:r>
          <w:rPr>
            <w:rStyle w:val="Hyperlink"/>
            <w:b/>
            <w:bCs/>
            <w:color w:val="0000EE"/>
            <w:u w:color="0000EE"/>
            <w:lang w:val="el" w:eastAsia="el"/>
          </w:rPr>
          <w:t>Τροποποίηση 3842/2010, Άρθρο 85</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85" w:history="1">
        <w:r>
          <w:rPr>
            <w:rStyle w:val="Hyperlink"/>
            <w:b/>
            <w:bCs/>
            <w:color w:val="0000EE"/>
            <w:u w:color="0000EE"/>
            <w:lang w:val="el" w:eastAsia="el"/>
          </w:rPr>
          <w:t>Τροποποίηση 3842/2010, Άρθρο 85</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85" w:history="1">
        <w:r>
          <w:rPr>
            <w:rStyle w:val="Hyperlink"/>
            <w:b/>
            <w:bCs/>
            <w:color w:val="0000EE"/>
            <w:u w:color="0000EE"/>
            <w:lang w:val="el" w:eastAsia="el"/>
          </w:rPr>
          <w:t>Τροποποίηση 3842/2010, Άρθρο 85</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85" w:history="1">
        <w:r>
          <w:rPr>
            <w:rStyle w:val="Hyperlink"/>
            <w:b/>
            <w:bCs/>
            <w:color w:val="0000EE"/>
            <w:u w:color="0000EE"/>
            <w:lang w:val="el" w:eastAsia="el"/>
          </w:rPr>
          <w:t>Τροποποίηση 3842/2010, Άρθρο 85</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85" w:history="1">
        <w:r>
          <w:rPr>
            <w:rStyle w:val="Hyperlink"/>
            <w:b/>
            <w:bCs/>
            <w:color w:val="0000EE"/>
            <w:u w:color="0000EE"/>
            <w:lang w:val="el" w:eastAsia="el"/>
          </w:rPr>
          <w:t>Τροποποίηση 3842/2010, Άρθρο 85</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85" w:history="1">
        <w:r>
          <w:rPr>
            <w:rStyle w:val="Hyperlink"/>
            <w:b/>
            <w:bCs/>
            <w:color w:val="0000EE"/>
            <w:u w:color="0000EE"/>
            <w:lang w:val="el" w:eastAsia="el"/>
          </w:rPr>
          <w:t>Τροποποίηση 3842/2010, Άρθρο 85</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 w:history="1">
        <w:r>
          <w:rPr>
            <w:rStyle w:val="Hyperlink"/>
            <w:b/>
            <w:bCs/>
            <w:color w:val="0000EE"/>
            <w:u w:color="0000EE"/>
            <w:lang w:val="el" w:eastAsia="el"/>
          </w:rPr>
          <w:t>Τροποποίηση 3583/2007, Άρθρο 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3583/2007,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85" w:history="1">
        <w:r>
          <w:rPr>
            <w:rStyle w:val="Hyperlink"/>
            <w:b/>
            <w:bCs/>
            <w:color w:val="0000EE"/>
            <w:u w:color="0000EE"/>
            <w:lang w:val="el" w:eastAsia="el"/>
          </w:rPr>
          <w:t>Τροποποίηση 3842/2010, Άρθρο 85</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85" w:history="1">
        <w:r>
          <w:rPr>
            <w:rStyle w:val="Hyperlink"/>
            <w:b/>
            <w:bCs/>
            <w:color w:val="0000EE"/>
            <w:u w:color="0000EE"/>
            <w:lang w:val="el" w:eastAsia="el"/>
          </w:rPr>
          <w:t>Τροποποίηση 3842/2010, Άρθρο 85</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85" w:history="1">
        <w:r>
          <w:rPr>
            <w:rStyle w:val="Hyperlink"/>
            <w:b/>
            <w:bCs/>
            <w:color w:val="0000EE"/>
            <w:u w:color="0000EE"/>
            <w:lang w:val="el" w:eastAsia="el"/>
          </w:rPr>
          <w:t>Προσθήκη 3842/2010, Άρθρο 85</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6" w:history="1">
        <w:r>
          <w:rPr>
            <w:rStyle w:val="Hyperlink"/>
            <w:b/>
            <w:bCs/>
            <w:color w:val="0000EE"/>
            <w:u w:color="0000EE"/>
            <w:lang w:val="el" w:eastAsia="el"/>
          </w:rPr>
          <w:t>Τροποποίηση 3943/2011, Άρθρο 26</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10" w:history="1">
        <w:r>
          <w:rPr>
            <w:rStyle w:val="Hyperlink"/>
            <w:b/>
            <w:bCs/>
            <w:color w:val="0000EE"/>
            <w:u w:color="0000EE"/>
            <w:lang w:val="el" w:eastAsia="el"/>
          </w:rPr>
          <w:t>Προσθήκη 4549/2018, Άρθρο 110</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1" w:history="1">
        <w:r>
          <w:rPr>
            <w:rStyle w:val="Hyperlink"/>
            <w:b/>
            <w:bCs/>
            <w:color w:val="0000EE"/>
            <w:u w:color="0000EE"/>
            <w:lang w:val="el" w:eastAsia="el"/>
          </w:rPr>
          <w:t>Προσθήκη 4378/2016, Άρθρο 11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Αφαίρεση 3583/2007,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60" w:history="1">
        <w:r>
          <w:rPr>
            <w:rStyle w:val="Hyperlink"/>
            <w:b/>
            <w:bCs/>
            <w:color w:val="0000EE"/>
            <w:u w:color="0000EE"/>
            <w:lang w:val="el" w:eastAsia="el"/>
          </w:rPr>
          <w:t>Τροποποίηση 4410/2016, Άρθρο 60</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59" w:history="1">
        <w:r>
          <w:rPr>
            <w:rStyle w:val="Hyperlink"/>
            <w:b/>
            <w:bCs/>
            <w:color w:val="0000EE"/>
            <w:u w:color="0000EE"/>
            <w:lang w:val="el" w:eastAsia="el"/>
          </w:rPr>
          <w:t>Τροποποίηση 4389/2016, Άρθρο 59</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3" w:history="1">
        <w:r>
          <w:rPr>
            <w:rStyle w:val="Hyperlink"/>
            <w:b/>
            <w:bCs/>
            <w:color w:val="0000EE"/>
            <w:u w:color="0000EE"/>
            <w:lang w:val="el" w:eastAsia="el"/>
          </w:rPr>
          <w:t>Τροποποίηση 4254/2014, Άρθρο 3</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59" w:history="1">
        <w:r>
          <w:rPr>
            <w:rStyle w:val="Hyperlink"/>
            <w:b/>
            <w:bCs/>
            <w:color w:val="0000EE"/>
            <w:u w:color="0000EE"/>
            <w:lang w:val="el" w:eastAsia="el"/>
          </w:rPr>
          <w:t>Προσθήκη 4389/2016, Άρθρο 59</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59" w:history="1">
        <w:r>
          <w:rPr>
            <w:rStyle w:val="Hyperlink"/>
            <w:b/>
            <w:bCs/>
            <w:color w:val="0000EE"/>
            <w:u w:color="0000EE"/>
            <w:lang w:val="el" w:eastAsia="el"/>
          </w:rPr>
          <w:t>Τροποποίηση 4389/2016, Άρθρο 59</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63" w:history="1">
        <w:r>
          <w:rPr>
            <w:rStyle w:val="Hyperlink"/>
            <w:b/>
            <w:bCs/>
            <w:color w:val="0000EE"/>
            <w:u w:color="0000EE"/>
            <w:lang w:val="el" w:eastAsia="el"/>
          </w:rPr>
          <w:t>Προσθήκη 4583/2018, Άρθρο 63</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4625/2019, Άρθρο 6</w:t>
      </w:r>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59" w:history="1">
        <w:r>
          <w:rPr>
            <w:rStyle w:val="Hyperlink"/>
            <w:b/>
            <w:bCs/>
            <w:color w:val="0000EE"/>
            <w:u w:color="0000EE"/>
            <w:lang w:val="el" w:eastAsia="el"/>
          </w:rPr>
          <w:t>Τροποποίηση 4389/2016, Άρθρο 59</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60" w:history="1">
        <w:r>
          <w:rPr>
            <w:rStyle w:val="Hyperlink"/>
            <w:b/>
            <w:bCs/>
            <w:color w:val="0000EE"/>
            <w:u w:color="0000EE"/>
            <w:lang w:val="el" w:eastAsia="el"/>
          </w:rPr>
          <w:t>Τροποποίηση 4410/2016, Άρθρο 60</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 w:history="1">
        <w:r>
          <w:rPr>
            <w:rStyle w:val="Hyperlink"/>
            <w:b/>
            <w:bCs/>
            <w:color w:val="0000EE"/>
            <w:u w:color="0000EE"/>
            <w:lang w:val="el" w:eastAsia="el"/>
          </w:rPr>
          <w:t>Προσθήκη 3583/2007, Άρθρο 1</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Προσθήκη 3583/2007, Άρθρο 1</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59" w:history="1">
        <w:r>
          <w:rPr>
            <w:rStyle w:val="Hyperlink"/>
            <w:b/>
            <w:bCs/>
            <w:color w:val="0000EE"/>
            <w:u w:color="0000EE"/>
            <w:lang w:val="el" w:eastAsia="el"/>
          </w:rPr>
          <w:t>Τροποποίηση 4389/2016, Άρθρο 59</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17" w:history="1">
        <w:r>
          <w:rPr>
            <w:rStyle w:val="Hyperlink"/>
            <w:b/>
            <w:bCs/>
            <w:color w:val="0000EE"/>
            <w:u w:color="0000EE"/>
            <w:lang w:val="el" w:eastAsia="el"/>
          </w:rPr>
          <w:t>Προσθήκη 4537/2018, Άρθρο 117</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 w:history="1">
        <w:r>
          <w:rPr>
            <w:rStyle w:val="Hyperlink"/>
            <w:b/>
            <w:bCs/>
            <w:color w:val="0000EE"/>
            <w:u w:color="0000EE"/>
            <w:lang w:val="el" w:eastAsia="el"/>
          </w:rPr>
          <w:t>Προσθήκη 3583/2007, Άρθρο 1</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59" w:history="1">
        <w:r>
          <w:rPr>
            <w:rStyle w:val="Hyperlink"/>
            <w:b/>
            <w:bCs/>
            <w:color w:val="0000EE"/>
            <w:u w:color="0000EE"/>
            <w:lang w:val="el" w:eastAsia="el"/>
          </w:rPr>
          <w:t>Τροποποίηση 4389/2016, Άρθρο 59</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4625/2019, Άρθρο 6</w:t>
      </w:r>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17" w:history="1">
        <w:r>
          <w:rPr>
            <w:rStyle w:val="Hyperlink"/>
            <w:b/>
            <w:bCs/>
            <w:color w:val="0000EE"/>
            <w:u w:color="0000EE"/>
            <w:lang w:val="el" w:eastAsia="el"/>
          </w:rPr>
          <w:t>Τροποποίηση 4537/2018, Άρθρο 117</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1" w:history="1">
        <w:r>
          <w:rPr>
            <w:rStyle w:val="Hyperlink"/>
            <w:b/>
            <w:bCs/>
            <w:color w:val="0000EE"/>
            <w:u w:color="0000EE"/>
            <w:lang w:val="el" w:eastAsia="el"/>
          </w:rPr>
          <w:t>Προσθήκη 4378/2016, Άρθρο 11</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 w:history="1">
        <w:r>
          <w:rPr>
            <w:rStyle w:val="Hyperlink"/>
            <w:b/>
            <w:bCs/>
            <w:color w:val="0000EE"/>
            <w:u w:color="0000EE"/>
            <w:lang w:val="el" w:eastAsia="el"/>
          </w:rPr>
          <w:t>Τροποποίηση 3583/2007, Άρθρο 1</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26" w:history="1">
        <w:r>
          <w:rPr>
            <w:rStyle w:val="Hyperlink"/>
            <w:b/>
            <w:bCs/>
            <w:color w:val="0000EE"/>
            <w:u w:color="0000EE"/>
            <w:lang w:val="el" w:eastAsia="el"/>
          </w:rPr>
          <w:t>Προσθήκη 3763/2009, Άρθρο 26</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 w:history="1">
        <w:r>
          <w:rPr>
            <w:rStyle w:val="Hyperlink"/>
            <w:b/>
            <w:bCs/>
            <w:color w:val="0000EE"/>
            <w:u w:color="0000EE"/>
            <w:lang w:val="el" w:eastAsia="el"/>
          </w:rPr>
          <w:t>Τροποποίηση 3583/2007, Άρθρο 1</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Προσθήκη 3583/2007, Άρθρο 1</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17" w:history="1">
        <w:r>
          <w:rPr>
            <w:rStyle w:val="Hyperlink"/>
            <w:b/>
            <w:bCs/>
            <w:color w:val="0000EE"/>
            <w:u w:color="0000EE"/>
            <w:lang w:val="el" w:eastAsia="el"/>
          </w:rPr>
          <w:t>Προσθήκη 4537/2018, Άρθρο 117</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17" w:history="1">
        <w:r>
          <w:rPr>
            <w:rStyle w:val="Hyperlink"/>
            <w:b/>
            <w:bCs/>
            <w:color w:val="0000EE"/>
            <w:u w:color="0000EE"/>
            <w:lang w:val="el" w:eastAsia="el"/>
          </w:rPr>
          <w:t>Τροποποίηση 4537/2018, Άρθρο 117</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 w:history="1">
        <w:r>
          <w:rPr>
            <w:rStyle w:val="Hyperlink"/>
            <w:b/>
            <w:bCs/>
            <w:color w:val="0000EE"/>
            <w:u w:color="0000EE"/>
            <w:lang w:val="el" w:eastAsia="el"/>
          </w:rPr>
          <w:t>Τροποποίηση 3583/2007, Άρθρο 1</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29" w:history="1">
        <w:r>
          <w:rPr>
            <w:rStyle w:val="Hyperlink"/>
            <w:b/>
            <w:bCs/>
            <w:color w:val="0000EE"/>
            <w:u w:color="0000EE"/>
            <w:lang w:val="el" w:eastAsia="el"/>
          </w:rPr>
          <w:t>Τροποποίηση 3634/2008, Άρθρο 29</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5" w:history="1">
        <w:r>
          <w:rPr>
            <w:rStyle w:val="Hyperlink"/>
            <w:b/>
            <w:bCs/>
            <w:color w:val="0000EE"/>
            <w:u w:color="0000EE"/>
            <w:lang w:val="el" w:eastAsia="el"/>
          </w:rPr>
          <w:t>Τροποποίηση 4211/2013, Άρθρο 5</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59" w:history="1">
        <w:r>
          <w:rPr>
            <w:rStyle w:val="Hyperlink"/>
            <w:b/>
            <w:bCs/>
            <w:color w:val="0000EE"/>
            <w:u w:color="0000EE"/>
            <w:lang w:val="el" w:eastAsia="el"/>
          </w:rPr>
          <w:t>Τροποποίηση 4389/2016, Άρθρο 59</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 w:history="1">
        <w:r>
          <w:rPr>
            <w:rStyle w:val="Hyperlink"/>
            <w:b/>
            <w:bCs/>
            <w:color w:val="0000EE"/>
            <w:u w:color="0000EE"/>
            <w:lang w:val="el" w:eastAsia="el"/>
          </w:rPr>
          <w:t>Τροποποίηση 3583/2007, Άρθρο 1</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6" w:history="1">
        <w:r>
          <w:rPr>
            <w:rStyle w:val="Hyperlink"/>
            <w:b/>
            <w:bCs/>
            <w:color w:val="0000EE"/>
            <w:u w:color="0000EE"/>
            <w:lang w:val="el" w:eastAsia="el"/>
          </w:rPr>
          <w:t>Τροποποίηση 3763/2009, Άρθρο 26</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59" w:history="1">
        <w:r>
          <w:rPr>
            <w:rStyle w:val="Hyperlink"/>
            <w:b/>
            <w:bCs/>
            <w:color w:val="0000EE"/>
            <w:u w:color="0000EE"/>
            <w:lang w:val="el" w:eastAsia="el"/>
          </w:rPr>
          <w:t>Αφαίρεση 4389/2016, Άρθρο 59</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 w:history="1">
        <w:r>
          <w:rPr>
            <w:rStyle w:val="Hyperlink"/>
            <w:b/>
            <w:bCs/>
            <w:color w:val="0000EE"/>
            <w:u w:color="0000EE"/>
            <w:lang w:val="el" w:eastAsia="el"/>
          </w:rPr>
          <w:t>Προσθήκη 3583/2007,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1" w:history="1">
        <w:r>
          <w:rPr>
            <w:rStyle w:val="Hyperlink"/>
            <w:b/>
            <w:bCs/>
            <w:color w:val="0000EE"/>
            <w:u w:color="0000EE"/>
            <w:lang w:val="el" w:eastAsia="el"/>
          </w:rPr>
          <w:t>Προσθήκη 4378/2016, Άρθρο 11</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 w:history="1">
        <w:r>
          <w:rPr>
            <w:rStyle w:val="Hyperlink"/>
            <w:b/>
            <w:bCs/>
            <w:color w:val="0000EE"/>
            <w:u w:color="0000EE"/>
            <w:lang w:val="el" w:eastAsia="el"/>
          </w:rPr>
          <w:t>Τροποποίηση 3583/2007, Άρθρο 1</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64" w:history="1">
        <w:r>
          <w:rPr>
            <w:rStyle w:val="Hyperlink"/>
            <w:b/>
            <w:bCs/>
            <w:color w:val="0000EE"/>
            <w:u w:color="0000EE"/>
            <w:lang w:val="el" w:eastAsia="el"/>
          </w:rPr>
          <w:t>Τροποποίηση 4583/2018, Άρθρο 64</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64" w:history="1">
        <w:r>
          <w:rPr>
            <w:rStyle w:val="Hyperlink"/>
            <w:b/>
            <w:bCs/>
            <w:color w:val="0000EE"/>
            <w:u w:color="0000EE"/>
            <w:lang w:val="el" w:eastAsia="el"/>
          </w:rPr>
          <w:t>Τροποποίηση 4583/2018, Άρθρο 64</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64" w:history="1">
        <w:r>
          <w:rPr>
            <w:rStyle w:val="Hyperlink"/>
            <w:b/>
            <w:bCs/>
            <w:color w:val="0000EE"/>
            <w:u w:color="0000EE"/>
            <w:lang w:val="el" w:eastAsia="el"/>
          </w:rPr>
          <w:t>Τροποποίηση 4583/2018, Άρθρο 64</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 w:history="1">
        <w:r>
          <w:rPr>
            <w:rStyle w:val="Hyperlink"/>
            <w:b/>
            <w:bCs/>
            <w:color w:val="0000EE"/>
            <w:u w:color="0000EE"/>
            <w:lang w:val="el" w:eastAsia="el"/>
          </w:rPr>
          <w:t>Προσθήκη 3583/2007, Άρθρο 1</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1" w:history="1">
        <w:r>
          <w:rPr>
            <w:rStyle w:val="Hyperlink"/>
            <w:b/>
            <w:bCs/>
            <w:color w:val="0000EE"/>
            <w:u w:color="0000EE"/>
            <w:lang w:val="el" w:eastAsia="el"/>
          </w:rPr>
          <w:t>Προσθήκη 3583/2007, Άρθρο 1</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 w:history="1">
        <w:r>
          <w:rPr>
            <w:rStyle w:val="Hyperlink"/>
            <w:b/>
            <w:bCs/>
            <w:color w:val="0000EE"/>
            <w:u w:color="0000EE"/>
            <w:lang w:val="el" w:eastAsia="el"/>
          </w:rPr>
          <w:t>Προσθήκη 3583/2007, Άρθρο 1</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62" w:history="1">
        <w:r>
          <w:rPr>
            <w:rStyle w:val="Hyperlink"/>
            <w:b/>
            <w:bCs/>
            <w:color w:val="0000EE"/>
            <w:u w:color="0000EE"/>
            <w:lang w:val="el" w:eastAsia="el"/>
          </w:rPr>
          <w:t>Προσθήκη 4370/2016, Άρθρο 62</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 w:history="1">
        <w:r>
          <w:rPr>
            <w:rStyle w:val="Hyperlink"/>
            <w:b/>
            <w:bCs/>
            <w:color w:val="0000EE"/>
            <w:u w:color="0000EE"/>
            <w:lang w:val="el" w:eastAsia="el"/>
          </w:rPr>
          <w:t>Τροποποίηση 3583/2007, Άρθρο 1</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65" w:history="1">
        <w:r>
          <w:rPr>
            <w:rStyle w:val="Hyperlink"/>
            <w:b/>
            <w:bCs/>
            <w:color w:val="0000EE"/>
            <w:u w:color="0000EE"/>
            <w:lang w:val="el" w:eastAsia="el"/>
          </w:rPr>
          <w:t>Προσθήκη 4583/2018, Άρθρο 65</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Τροποποίηση 3583/2007, Άρθρο 1</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3" w:history="1">
        <w:r>
          <w:rPr>
            <w:rStyle w:val="Hyperlink"/>
            <w:b/>
            <w:bCs/>
            <w:color w:val="0000EE"/>
            <w:u w:color="0000EE"/>
            <w:lang w:val="el" w:eastAsia="el"/>
          </w:rPr>
          <w:t>Τροποποίηση 4254/2014, Άρθρο 3</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65" w:history="1">
        <w:r>
          <w:rPr>
            <w:rStyle w:val="Hyperlink"/>
            <w:b/>
            <w:bCs/>
            <w:color w:val="0000EE"/>
            <w:u w:color="0000EE"/>
            <w:lang w:val="el" w:eastAsia="el"/>
          </w:rPr>
          <w:t>Προσθήκη 4583/2018, Άρθρο 65</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13" w:history="1">
        <w:r>
          <w:rPr>
            <w:rStyle w:val="Hyperlink"/>
            <w:b/>
            <w:bCs/>
            <w:color w:val="0000EE"/>
            <w:u w:color="0000EE"/>
            <w:lang w:val="el" w:eastAsia="el"/>
          </w:rPr>
          <w:t>Τροποποίηση 4514/2018, Άρθρο 113</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13" w:history="1">
        <w:r>
          <w:rPr>
            <w:rStyle w:val="Hyperlink"/>
            <w:b/>
            <w:bCs/>
            <w:color w:val="0000EE"/>
            <w:u w:color="0000EE"/>
            <w:lang w:val="el" w:eastAsia="el"/>
          </w:rPr>
          <w:t>Προσθήκη 4514/2018, Άρθρο 113</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24" w:history="1">
        <w:r>
          <w:rPr>
            <w:rStyle w:val="Hyperlink"/>
            <w:b/>
            <w:bCs/>
            <w:color w:val="0000EE"/>
            <w:u w:color="0000EE"/>
            <w:lang w:val="el" w:eastAsia="el"/>
          </w:rPr>
          <w:t>Τροποποίηση 3610/2007, Άρθρο 24</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6" w:history="1">
        <w:r>
          <w:rPr>
            <w:rStyle w:val="Hyperlink"/>
            <w:b/>
            <w:bCs/>
            <w:color w:val="0000EE"/>
            <w:u w:color="0000EE"/>
            <w:lang w:val="el" w:eastAsia="el"/>
          </w:rPr>
          <w:t>Τροποποίηση 3259/2004, Άρθρο 16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9" w:history="1">
        <w:r>
          <w:rPr>
            <w:rStyle w:val="Hyperlink"/>
            <w:b/>
            <w:bCs/>
            <w:color w:val="0000EE"/>
            <w:u w:color="0000EE"/>
            <w:lang w:val="el" w:eastAsia="el"/>
          </w:rPr>
          <w:t>Προσθήκη 3790/2009, Άρθρο 9</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3" w:history="1">
        <w:r>
          <w:rPr>
            <w:rStyle w:val="Hyperlink"/>
            <w:b/>
            <w:bCs/>
            <w:color w:val="0000EE"/>
            <w:u w:color="0000EE"/>
            <w:lang w:val="el" w:eastAsia="el"/>
          </w:rPr>
          <w:t>Προσθήκη 4138/2013, Άρθρο 13</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7" w:history="1">
        <w:r>
          <w:rPr>
            <w:rStyle w:val="Hyperlink"/>
            <w:b/>
            <w:bCs/>
            <w:color w:val="0000EE"/>
            <w:u w:color="0000EE"/>
            <w:lang w:val="el" w:eastAsia="el"/>
          </w:rPr>
          <w:t>Τροποποίηση 4238/2014, Άρθρο 27</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3" w:history="1">
        <w:r>
          <w:rPr>
            <w:rStyle w:val="Hyperlink"/>
            <w:b/>
            <w:bCs/>
            <w:color w:val="0000EE"/>
            <w:u w:color="0000EE"/>
            <w:lang w:val="el" w:eastAsia="el"/>
          </w:rPr>
          <w:t>Τροποποίηση 4254/2014, Άρθρο 3</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55" w:history="1">
        <w:r>
          <w:rPr>
            <w:rStyle w:val="Hyperlink"/>
            <w:b/>
            <w:bCs/>
            <w:color w:val="0000EE"/>
            <w:u w:color="0000EE"/>
            <w:lang w:val="el" w:eastAsia="el"/>
          </w:rPr>
          <w:t>Τροποποίηση 4410/2016, Άρθρο 55</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43" w:history="1">
        <w:r>
          <w:rPr>
            <w:rStyle w:val="Hyperlink"/>
            <w:b/>
            <w:bCs/>
            <w:color w:val="0000EE"/>
            <w:u w:color="0000EE"/>
            <w:lang w:val="el" w:eastAsia="el"/>
          </w:rPr>
          <w:t>Τροποποίηση 4537/2018, Άρθρο 143</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143" w:history="1">
        <w:r>
          <w:rPr>
            <w:rStyle w:val="Hyperlink"/>
            <w:b/>
            <w:bCs/>
            <w:color w:val="0000EE"/>
            <w:u w:color="0000EE"/>
            <w:lang w:val="el" w:eastAsia="el"/>
          </w:rPr>
          <w:t>Τροποποίηση 4537/2018, Άρθρο 143</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3" w:history="1">
        <w:r>
          <w:rPr>
            <w:rStyle w:val="Hyperlink"/>
            <w:b/>
            <w:bCs/>
            <w:color w:val="0000EE"/>
            <w:u w:color="0000EE"/>
            <w:lang w:val="el" w:eastAsia="el"/>
          </w:rPr>
          <w:t>Τροποποίηση 4254/2014, Άρθρο 3</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13" w:history="1">
        <w:r>
          <w:rPr>
            <w:rStyle w:val="Hyperlink"/>
            <w:b/>
            <w:bCs/>
            <w:color w:val="0000EE"/>
            <w:u w:color="0000EE"/>
            <w:lang w:val="el" w:eastAsia="el"/>
          </w:rPr>
          <w:t>Τροποποίηση 4514/2018, Άρθρο 113</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 w:history="1">
        <w:r>
          <w:rPr>
            <w:rStyle w:val="Hyperlink"/>
            <w:b/>
            <w:bCs/>
            <w:color w:val="0000EE"/>
            <w:u w:color="0000EE"/>
            <w:lang w:val="el" w:eastAsia="el"/>
          </w:rPr>
          <w:t>Τροποποίηση 3583/2007, Άρθρο 1</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7" w:history="1">
        <w:r>
          <w:rPr>
            <w:rStyle w:val="Hyperlink"/>
            <w:b/>
            <w:bCs/>
            <w:color w:val="0000EE"/>
            <w:u w:color="0000EE"/>
            <w:lang w:val="el" w:eastAsia="el"/>
          </w:rPr>
          <w:t>Τροποποίηση 3453/2006, Άρθρο 7</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3" w:history="1">
        <w:r>
          <w:rPr>
            <w:rStyle w:val="Hyperlink"/>
            <w:b/>
            <w:bCs/>
            <w:color w:val="0000EE"/>
            <w:u w:color="0000EE"/>
            <w:lang w:val="el" w:eastAsia="el"/>
          </w:rPr>
          <w:t>Τροποποίηση 4254/2014, Άρθρο 3</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1" w:history="1">
        <w:r>
          <w:rPr>
            <w:rStyle w:val="Hyperlink"/>
            <w:b/>
            <w:bCs/>
            <w:color w:val="0000EE"/>
            <w:u w:color="0000EE"/>
            <w:lang w:val="el" w:eastAsia="el"/>
          </w:rPr>
          <w:t>Προσθήκη 4378/2016, Άρθρο 11</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 w:history="1">
        <w:r>
          <w:rPr>
            <w:rStyle w:val="Hyperlink"/>
            <w:b/>
            <w:bCs/>
            <w:color w:val="0000EE"/>
            <w:u w:color="0000EE"/>
            <w:lang w:val="el" w:eastAsia="el"/>
          </w:rPr>
          <w:t>Τροποποίηση 3583/2007, Άρθρο 1</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3" w:history="1">
        <w:r>
          <w:rPr>
            <w:rStyle w:val="Hyperlink"/>
            <w:b/>
            <w:bCs/>
            <w:color w:val="0000EE"/>
            <w:u w:color="0000EE"/>
            <w:lang w:val="el" w:eastAsia="el"/>
          </w:rPr>
          <w:t>Τροποποίηση 4254/2014, Άρθρο 3</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 w:history="1">
        <w:r>
          <w:rPr>
            <w:rStyle w:val="Hyperlink"/>
            <w:b/>
            <w:bCs/>
            <w:color w:val="0000EE"/>
            <w:u w:color="0000EE"/>
            <w:lang w:val="el" w:eastAsia="el"/>
          </w:rPr>
          <w:t>Τροποποίηση 3583/2007, Άρθρο 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 w:history="1">
        <w:r>
          <w:rPr>
            <w:rStyle w:val="Hyperlink"/>
            <w:b/>
            <w:bCs/>
            <w:color w:val="0000EE"/>
            <w:u w:color="0000EE"/>
            <w:lang w:val="el" w:eastAsia="el"/>
          </w:rPr>
          <w:t>Τροποποίηση 3583/2007, Άρθρο 1</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59" w:history="1">
        <w:r>
          <w:rPr>
            <w:rStyle w:val="Hyperlink"/>
            <w:b/>
            <w:bCs/>
            <w:color w:val="0000EE"/>
            <w:u w:color="0000EE"/>
            <w:lang w:val="el" w:eastAsia="el"/>
          </w:rPr>
          <w:t>Προσθήκη 4389/2016, Άρθρο 59</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 w:history="1">
        <w:r>
          <w:rPr>
            <w:rStyle w:val="Hyperlink"/>
            <w:b/>
            <w:bCs/>
            <w:color w:val="0000EE"/>
            <w:u w:color="0000EE"/>
            <w:lang w:val="el" w:eastAsia="el"/>
          </w:rPr>
          <w:t>Τροποποίηση 3583/2007, Άρθρο 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1" w:history="1">
        <w:r>
          <w:rPr>
            <w:rStyle w:val="Hyperlink"/>
            <w:b/>
            <w:bCs/>
            <w:color w:val="0000EE"/>
            <w:u w:color="0000EE"/>
            <w:lang w:val="el" w:eastAsia="el"/>
          </w:rPr>
          <w:t>Τροποποίηση 3583/2007, Άρθρο 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1" w:history="1">
        <w:r>
          <w:rPr>
            <w:rStyle w:val="Hyperlink"/>
            <w:b/>
            <w:bCs/>
            <w:color w:val="0000EE"/>
            <w:u w:color="0000EE"/>
            <w:lang w:val="el" w:eastAsia="el"/>
          </w:rPr>
          <w:t>Προσθήκη 3583/2007, Άρθρο 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1" w:history="1">
        <w:r>
          <w:rPr>
            <w:rStyle w:val="Hyperlink"/>
            <w:b/>
            <w:bCs/>
            <w:color w:val="0000EE"/>
            <w:u w:color="0000EE"/>
            <w:lang w:val="el" w:eastAsia="el"/>
          </w:rPr>
          <w:t>Τροποποίηση 3583/2007, Άρθρο 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1" w:history="1">
        <w:r>
          <w:rPr>
            <w:rStyle w:val="Hyperlink"/>
            <w:b/>
            <w:bCs/>
            <w:color w:val="0000EE"/>
            <w:u w:color="0000EE"/>
            <w:lang w:val="el" w:eastAsia="el"/>
          </w:rPr>
          <w:t>Τροποποίηση 3583/2007, Άρθρο 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1" w:history="1">
        <w:r>
          <w:rPr>
            <w:rStyle w:val="Hyperlink"/>
            <w:b/>
            <w:bCs/>
            <w:color w:val="0000EE"/>
            <w:u w:color="0000EE"/>
            <w:lang w:val="el" w:eastAsia="el"/>
          </w:rPr>
          <w:t>Τροποποίηση 3583/2007, Άρθρο 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1" w:history="1">
        <w:r>
          <w:rPr>
            <w:rStyle w:val="Hyperlink"/>
            <w:b/>
            <w:bCs/>
            <w:color w:val="0000EE"/>
            <w:u w:color="0000EE"/>
            <w:lang w:val="el" w:eastAsia="el"/>
          </w:rPr>
          <w:t>Προσθήκη 3583/2007, Άρθρο 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1" w:history="1">
        <w:r>
          <w:rPr>
            <w:rStyle w:val="Hyperlink"/>
            <w:b/>
            <w:bCs/>
            <w:color w:val="0000EE"/>
            <w:u w:color="0000EE"/>
            <w:lang w:val="el" w:eastAsia="el"/>
          </w:rPr>
          <w:t>Προσθήκη 3583/2007, Άρθρο 1</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4" w:history="1">
        <w:r>
          <w:rPr>
            <w:rStyle w:val="Hyperlink"/>
            <w:b/>
            <w:bCs/>
            <w:color w:val="0000EE"/>
            <w:u w:color="0000EE"/>
            <w:lang w:val="el" w:eastAsia="el"/>
          </w:rPr>
          <w:t>Προσθήκη 3610/2007, Άρθρο 24</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5" w:history="1">
        <w:r>
          <w:rPr>
            <w:rStyle w:val="Hyperlink"/>
            <w:b/>
            <w:bCs/>
            <w:color w:val="0000EE"/>
            <w:u w:color="0000EE"/>
            <w:lang w:val="el" w:eastAsia="el"/>
          </w:rPr>
          <w:t>Προσθήκη 3899/2010, Άρθρο 5</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320" w:history="1">
        <w:r>
          <w:rPr>
            <w:rStyle w:val="Hyperlink"/>
            <w:b/>
            <w:bCs/>
            <w:color w:val="0000EE"/>
            <w:u w:color="0000EE"/>
            <w:lang w:val="el" w:eastAsia="el"/>
          </w:rPr>
          <w:t>Τροποποίηση 4072/2012, Άρθρο 320</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39" w:history="1">
        <w:r>
          <w:rPr>
            <w:rStyle w:val="Hyperlink"/>
            <w:b/>
            <w:bCs/>
            <w:color w:val="0000EE"/>
            <w:u w:color="0000EE"/>
            <w:lang w:val="el" w:eastAsia="el"/>
          </w:rPr>
          <w:t>Τροποποίηση 4141/2013, Άρθρο 39</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66" w:history="1">
        <w:r>
          <w:rPr>
            <w:rStyle w:val="Hyperlink"/>
            <w:b/>
            <w:bCs/>
            <w:color w:val="0000EE"/>
            <w:u w:color="0000EE"/>
            <w:lang w:val="el" w:eastAsia="el"/>
          </w:rPr>
          <w:t>Προσθήκη 4583/2018, Άρθρο 66</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0" w:history="1">
        <w:r>
          <w:rPr>
            <w:rStyle w:val="Hyperlink"/>
            <w:b/>
            <w:bCs/>
            <w:color w:val="0000EE"/>
            <w:u w:color="0000EE"/>
            <w:lang w:val="el" w:eastAsia="el"/>
          </w:rPr>
          <w:t>Τροποποίηση 4410/2016, Άρθρο 10</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1" w:history="1">
        <w:r>
          <w:rPr>
            <w:rStyle w:val="Hyperlink"/>
            <w:b/>
            <w:bCs/>
            <w:color w:val="0000EE"/>
            <w:u w:color="0000EE"/>
            <w:lang w:val="el" w:eastAsia="el"/>
          </w:rPr>
          <w:t>Προσθήκη 3583/2007, Άρθρο 1</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1" w:history="1">
        <w:r>
          <w:rPr>
            <w:rStyle w:val="Hyperlink"/>
            <w:b/>
            <w:bCs/>
            <w:color w:val="0000EE"/>
            <w:u w:color="0000EE"/>
            <w:lang w:val="el" w:eastAsia="el"/>
          </w:rPr>
          <w:t>Τροποποίηση 3583/2007, Άρθρο 1</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 w:history="1">
        <w:r>
          <w:rPr>
            <w:rStyle w:val="Hyperlink"/>
            <w:b/>
            <w:bCs/>
            <w:color w:val="0000EE"/>
            <w:u w:color="0000EE"/>
            <w:lang w:val="el" w:eastAsia="el"/>
          </w:rPr>
          <w:t>Τροποποίηση 3583/2007, Άρθρο 1</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6" w:history="1">
        <w:r>
          <w:rPr>
            <w:rStyle w:val="Hyperlink"/>
            <w:b/>
            <w:bCs/>
            <w:color w:val="0000EE"/>
            <w:u w:color="0000EE"/>
            <w:lang w:val="el" w:eastAsia="el"/>
          </w:rPr>
          <w:t>Προσθήκη 3583/2007, Άρθρο 6</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3618/2019, Άρθρο 26</w:t>
      </w:r>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2" w:history="1">
        <w:r>
          <w:rPr>
            <w:rStyle w:val="Hyperlink"/>
            <w:b/>
            <w:bCs/>
            <w:color w:val="0000EE"/>
            <w:u w:color="0000EE"/>
            <w:lang w:val="el" w:eastAsia="el"/>
          </w:rPr>
          <w:t>Τροποποίηση 4469/2017, Άρθρο 22</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 w:history="1">
        <w:r>
          <w:rPr>
            <w:rStyle w:val="Hyperlink"/>
            <w:b/>
            <w:bCs/>
            <w:color w:val="0000EE"/>
            <w:u w:color="0000EE"/>
            <w:lang w:val="el" w:eastAsia="el"/>
          </w:rPr>
          <w:t>Αφαίρεση 3583/2007, Άρθρο 1</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38" w:history="1">
        <w:r>
          <w:rPr>
            <w:rStyle w:val="Hyperlink"/>
            <w:b/>
            <w:bCs/>
            <w:color w:val="0000EE"/>
            <w:u w:color="0000EE"/>
            <w:lang w:val="el" w:eastAsia="el"/>
          </w:rPr>
          <w:t>Τροποποίηση 4646/2019, Άρθρο 38</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 w:history="1">
        <w:r>
          <w:rPr>
            <w:rStyle w:val="Hyperlink"/>
            <w:b/>
            <w:bCs/>
            <w:color w:val="0000EE"/>
            <w:u w:color="0000EE"/>
            <w:lang w:val="el" w:eastAsia="el"/>
          </w:rPr>
          <w:t>Τροποποίηση 3583/2007, Άρθρο 1</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 w:history="1">
        <w:r>
          <w:rPr>
            <w:rStyle w:val="Hyperlink"/>
            <w:b/>
            <w:bCs/>
            <w:color w:val="0000EE"/>
            <w:u w:color="0000EE"/>
            <w:lang w:val="el" w:eastAsia="el"/>
          </w:rPr>
          <w:t>Προσθήκη 3583/2007, Άρθρο 1</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 w:history="1">
        <w:r>
          <w:rPr>
            <w:rStyle w:val="Hyperlink"/>
            <w:b/>
            <w:bCs/>
            <w:color w:val="0000EE"/>
            <w:u w:color="0000EE"/>
            <w:lang w:val="el" w:eastAsia="el"/>
          </w:rPr>
          <w:t>Αφαίρεση 3583/2007, Άρθρο 1</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 w:history="1">
        <w:r>
          <w:rPr>
            <w:rStyle w:val="Hyperlink"/>
            <w:b/>
            <w:bCs/>
            <w:color w:val="0000EE"/>
            <w:u w:color="0000EE"/>
            <w:lang w:val="el" w:eastAsia="el"/>
          </w:rPr>
          <w:t>Προσθήκη 3610/2007, Άρθρο 1</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4474/2007, Άρθρο 9</w:t>
      </w:r>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1" w:history="1">
        <w:r>
          <w:rPr>
            <w:rStyle w:val="Hyperlink"/>
            <w:b/>
            <w:bCs/>
            <w:color w:val="0000EE"/>
            <w:u w:color="0000EE"/>
            <w:lang w:val="el" w:eastAsia="el"/>
          </w:rPr>
          <w:t>Τροποποίηση 3583/2007, Άρθρο 1</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1" w:history="1">
        <w:r>
          <w:rPr>
            <w:rStyle w:val="Hyperlink"/>
            <w:b/>
            <w:bCs/>
            <w:color w:val="0000EE"/>
            <w:u w:color="0000EE"/>
            <w:lang w:val="el" w:eastAsia="el"/>
          </w:rPr>
          <w:t>Τροποποίηση 3583/2007, Άρθρο 1</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45" w:history="1">
        <w:r>
          <w:rPr>
            <w:rStyle w:val="Hyperlink"/>
            <w:b/>
            <w:bCs/>
            <w:color w:val="0000EE"/>
            <w:u w:color="0000EE"/>
            <w:lang w:val="el" w:eastAsia="el"/>
          </w:rPr>
          <w:t>Αφαίρεση 2992/2002, Άρθρο 45</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3" w:history="1">
        <w:r>
          <w:rPr>
            <w:rStyle w:val="Hyperlink"/>
            <w:b/>
            <w:bCs/>
            <w:color w:val="0000EE"/>
            <w:u w:color="0000EE"/>
            <w:lang w:val="el" w:eastAsia="el"/>
          </w:rPr>
          <w:t>Τροποποίηση 4254/2014, Άρθρο 3</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8" w:history="1">
        <w:r>
          <w:rPr>
            <w:rStyle w:val="Hyperlink"/>
            <w:b/>
            <w:bCs/>
            <w:color w:val="0000EE"/>
            <w:u w:color="0000EE"/>
            <w:lang w:val="el" w:eastAsia="el"/>
          </w:rPr>
          <w:t>Τροποποίηση 4474/2017, Άρθρο 8</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16" w:history="1">
        <w:r>
          <w:rPr>
            <w:rStyle w:val="Hyperlink"/>
            <w:b/>
            <w:bCs/>
            <w:color w:val="0000EE"/>
            <w:u w:color="0000EE"/>
            <w:lang w:val="el" w:eastAsia="el"/>
          </w:rPr>
          <w:t>Προσθήκη 3259/2004, Άρθρο 16</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1" w:history="1">
        <w:r>
          <w:rPr>
            <w:rStyle w:val="Hyperlink"/>
            <w:b/>
            <w:bCs/>
            <w:color w:val="0000EE"/>
            <w:u w:color="0000EE"/>
            <w:lang w:val="el" w:eastAsia="el"/>
          </w:rPr>
          <w:t>Τροποποίηση 3583/2007, Άρθρο 1</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36" w:history="1">
        <w:r>
          <w:rPr>
            <w:rStyle w:val="Hyperlink"/>
            <w:b/>
            <w:bCs/>
            <w:color w:val="0000EE"/>
            <w:u w:color="0000EE"/>
            <w:lang w:val="el" w:eastAsia="el"/>
          </w:rPr>
          <w:t>Τροποποίηση 3986/2011, Άρθρο 36</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 w:history="1">
        <w:r>
          <w:rPr>
            <w:rStyle w:val="Hyperlink"/>
            <w:b/>
            <w:bCs/>
            <w:color w:val="0000EE"/>
            <w:u w:color="0000EE"/>
            <w:lang w:val="el" w:eastAsia="el"/>
          </w:rPr>
          <w:t>Τροποποίηση 3583/2007, Άρθρο 1</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 w:history="1">
        <w:r>
          <w:rPr>
            <w:rStyle w:val="Hyperlink"/>
            <w:b/>
            <w:bCs/>
            <w:color w:val="0000EE"/>
            <w:u w:color="0000EE"/>
            <w:lang w:val="el" w:eastAsia="el"/>
          </w:rPr>
          <w:t>Προσθήκη 3336/2005, Άρθρο 1</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1" w:history="1">
        <w:r>
          <w:rPr>
            <w:rStyle w:val="Hyperlink"/>
            <w:b/>
            <w:bCs/>
            <w:color w:val="0000EE"/>
            <w:u w:color="0000EE"/>
            <w:lang w:val="el" w:eastAsia="el"/>
          </w:rPr>
          <w:t>Προσθήκη 3583/2007, Άρθρο 1</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84" w:history="1">
        <w:r>
          <w:rPr>
            <w:rStyle w:val="Hyperlink"/>
            <w:b/>
            <w:bCs/>
            <w:color w:val="0000EE"/>
            <w:u w:color="0000EE"/>
            <w:lang w:val="el" w:eastAsia="el"/>
          </w:rPr>
          <w:t>Προσθήκη 4623/2019, Άρθρο 84</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84" w:history="1">
        <w:r>
          <w:rPr>
            <w:rStyle w:val="Hyperlink"/>
            <w:b/>
            <w:bCs/>
            <w:color w:val="0000EE"/>
            <w:u w:color="0000EE"/>
            <w:lang w:val="el" w:eastAsia="el"/>
          </w:rPr>
          <w:t>Προσθήκη 4623/2019, Άρθρο 84</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7/06/28/3583" TargetMode="External" /><Relationship Id="rId101" Type="http://schemas.openxmlformats.org/officeDocument/2006/relationships/hyperlink" Target="http://data.aade.gr/eli/pri/law/2008/01/29/3634" TargetMode="External" /><Relationship Id="rId102" Type="http://schemas.openxmlformats.org/officeDocument/2006/relationships/hyperlink" Target="http://data.aade.gr/eli/pri/law/2008/01/29/3634" TargetMode="External" /><Relationship Id="rId103" Type="http://schemas.openxmlformats.org/officeDocument/2006/relationships/hyperlink" Target="http://data.aade.gr/eli/pri/law/2012/11/12/4093" TargetMode="External" /><Relationship Id="rId104" Type="http://schemas.openxmlformats.org/officeDocument/2006/relationships/hyperlink" Target="http://data.aade.gr/eli/pri/law/2015/08/14/4336" TargetMode="External" /><Relationship Id="rId105" Type="http://schemas.openxmlformats.org/officeDocument/2006/relationships/hyperlink" Target="http://data.aade.gr/eli/pri/law/2015/08/14/4336" TargetMode="External" /><Relationship Id="rId106" Type="http://schemas.openxmlformats.org/officeDocument/2006/relationships/hyperlink" Target="http://data.aade.gr/eli/pri/law/2008/01/29/3634" TargetMode="External" /><Relationship Id="rId107" Type="http://schemas.openxmlformats.org/officeDocument/2006/relationships/hyperlink" Target="http://data.aade.gr/eli/pri/law/2005/04/20/3336" TargetMode="External" /><Relationship Id="rId108" Type="http://schemas.openxmlformats.org/officeDocument/2006/relationships/hyperlink" Target="http://data.aade.gr/eli/pri/law/2018/05/15/4537" TargetMode="External" /><Relationship Id="rId109" Type="http://schemas.openxmlformats.org/officeDocument/2006/relationships/hyperlink" Target="http://data.aade.gr/eli/pri/law/2008/01/29/3634"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07/06/28/3583" TargetMode="External" /><Relationship Id="rId111" Type="http://schemas.openxmlformats.org/officeDocument/2006/relationships/hyperlink" Target="http://data.aade.gr/eli/pri/law/2017/05/19/4472" TargetMode="External" /><Relationship Id="rId112" Type="http://schemas.openxmlformats.org/officeDocument/2006/relationships/hyperlink" Target="http://data.aade.gr/eli/pri/law/2010/03/15/3833" TargetMode="External" /><Relationship Id="rId113" Type="http://schemas.openxmlformats.org/officeDocument/2006/relationships/hyperlink" Target="http://data.aade.gr/eli/pri/law/2010/05/06/3845" TargetMode="External" /><Relationship Id="rId114" Type="http://schemas.openxmlformats.org/officeDocument/2006/relationships/hyperlink" Target="http://data.aade.gr/eli/pri/law/2005/04/20/3336" TargetMode="External" /><Relationship Id="rId115" Type="http://schemas.openxmlformats.org/officeDocument/2006/relationships/hyperlink" Target="http://data.aade.gr/eli/pri/law/2009/03/04/3752" TargetMode="External" /><Relationship Id="rId116" Type="http://schemas.openxmlformats.org/officeDocument/2006/relationships/hyperlink" Target="http://data.aade.gr/eli/pri/law/2010/03/15/3833" TargetMode="External" /><Relationship Id="rId117" Type="http://schemas.openxmlformats.org/officeDocument/2006/relationships/hyperlink" Target="http://data.aade.gr/eli/pri/law/2010/05/06/3845" TargetMode="External" /><Relationship Id="rId118" Type="http://schemas.openxmlformats.org/officeDocument/2006/relationships/hyperlink" Target="http://data.aade.gr/eli/pri/law/2016/05/27/4389" TargetMode="External" /><Relationship Id="rId119" Type="http://schemas.openxmlformats.org/officeDocument/2006/relationships/hyperlink" Target="http://data.aade.gr/eli/pri/law/2007/06/28/3583"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7/05/19/4472" TargetMode="External" /><Relationship Id="rId121" Type="http://schemas.openxmlformats.org/officeDocument/2006/relationships/hyperlink" Target="http://data.aade.gr/eli/pri/law/2007/06/28/3583" TargetMode="External" /><Relationship Id="rId122" Type="http://schemas.openxmlformats.org/officeDocument/2006/relationships/hyperlink" Target="http://data.aade.gr/eli/pri/law/2017/05/19/4472" TargetMode="External" /><Relationship Id="rId123" Type="http://schemas.openxmlformats.org/officeDocument/2006/relationships/hyperlink" Target="http://data.aade.gr/eli/pri/law/2007/06/28/3583" TargetMode="External" /><Relationship Id="rId124" Type="http://schemas.openxmlformats.org/officeDocument/2006/relationships/hyperlink" Target="http://data.aade.gr/eli/pri/law/2007/06/28/3583" TargetMode="External" /><Relationship Id="rId125" Type="http://schemas.openxmlformats.org/officeDocument/2006/relationships/hyperlink" Target="http://data.aade.gr/eli/pri/law/2017/05/19/4472" TargetMode="External" /><Relationship Id="rId126" Type="http://schemas.openxmlformats.org/officeDocument/2006/relationships/hyperlink" Target="http://data.aade.gr/eli/pri/law/2017/05/19/4472" TargetMode="External" /><Relationship Id="rId127" Type="http://schemas.openxmlformats.org/officeDocument/2006/relationships/hyperlink" Target="http://data.aade.gr/eli/pri/law/2007/06/28/3583" TargetMode="External" /><Relationship Id="rId128" Type="http://schemas.openxmlformats.org/officeDocument/2006/relationships/hyperlink" Target="http://data.aade.gr/eli/pri/law/2007/06/28/3583" TargetMode="External" /><Relationship Id="rId129" Type="http://schemas.openxmlformats.org/officeDocument/2006/relationships/hyperlink" Target="http://data.aade.gr/eli/pri/law/2017/05/19/4472"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10/04/23/3842" TargetMode="External" /><Relationship Id="rId131" Type="http://schemas.openxmlformats.org/officeDocument/2006/relationships/hyperlink" Target="http://data.aade.gr/eli/pri/law/2009/03/04/3752" TargetMode="External" /><Relationship Id="rId132" Type="http://schemas.openxmlformats.org/officeDocument/2006/relationships/hyperlink" Target="http://data.aade.gr/eli/pri/law/2010/03/15/3833" TargetMode="External" /><Relationship Id="rId133" Type="http://schemas.openxmlformats.org/officeDocument/2006/relationships/hyperlink" Target="http://data.aade.gr/eli/pri/law/2010/05/06/3845" TargetMode="External" /><Relationship Id="rId134" Type="http://schemas.openxmlformats.org/officeDocument/2006/relationships/hyperlink" Target="http://data.aade.gr/eli/pri/law/2016/05/27/4389" TargetMode="External" /><Relationship Id="rId135" Type="http://schemas.openxmlformats.org/officeDocument/2006/relationships/hyperlink" Target="http://data.aade.gr/eli/pri/law/2009/03/04/3752" TargetMode="External" /><Relationship Id="rId136" Type="http://schemas.openxmlformats.org/officeDocument/2006/relationships/hyperlink" Target="http://data.aade.gr/eli/pri/law/2010/03/15/3833" TargetMode="External" /><Relationship Id="rId137" Type="http://schemas.openxmlformats.org/officeDocument/2006/relationships/hyperlink" Target="http://data.aade.gr/eli/pri/law/2010/05/06/3845" TargetMode="External" /><Relationship Id="rId138" Type="http://schemas.openxmlformats.org/officeDocument/2006/relationships/hyperlink" Target="http://data.aade.gr/eli/pri/law/2016/05/27/4389" TargetMode="External" /><Relationship Id="rId139" Type="http://schemas.openxmlformats.org/officeDocument/2006/relationships/hyperlink" Target="http://data.aade.gr/eli/pri/law/2009/03/04/3752"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0/03/15/3833" TargetMode="External" /><Relationship Id="rId141" Type="http://schemas.openxmlformats.org/officeDocument/2006/relationships/hyperlink" Target="http://data.aade.gr/eli/pri/law/2010/05/06/3845" TargetMode="External" /><Relationship Id="rId142" Type="http://schemas.openxmlformats.org/officeDocument/2006/relationships/hyperlink" Target="http://data.aade.gr/eli/pri/law/2018/12/18/4583" TargetMode="External" /><Relationship Id="rId143" Type="http://schemas.openxmlformats.org/officeDocument/2006/relationships/hyperlink" Target="http://data.aade.gr/eli/pri/law/2018/12/18/4583" TargetMode="External" /><Relationship Id="rId144" Type="http://schemas.openxmlformats.org/officeDocument/2006/relationships/hyperlink" Target="http://data.aade.gr/eli/pri/law/2010/12/17/3899" TargetMode="External" /><Relationship Id="rId145" Type="http://schemas.openxmlformats.org/officeDocument/2006/relationships/hyperlink" Target="http://data.aade.gr/eli/pri/law/2010/12/17/3899" TargetMode="External" /><Relationship Id="rId146" Type="http://schemas.openxmlformats.org/officeDocument/2006/relationships/hyperlink" Target="http://data.aade.gr/eli/pri/law/2012/11/12/4093" TargetMode="External" /><Relationship Id="rId147" Type="http://schemas.openxmlformats.org/officeDocument/2006/relationships/hyperlink" Target="http://data.aade.gr/eli/pri/law/2010/12/17/3899" TargetMode="External" /><Relationship Id="rId148" Type="http://schemas.openxmlformats.org/officeDocument/2006/relationships/hyperlink" Target="http://data.aade.gr/eli/pri/law/2011/07/01/3986" TargetMode="External" /><Relationship Id="rId149" Type="http://schemas.openxmlformats.org/officeDocument/2006/relationships/hyperlink" Target="http://data.aade.gr/eli/pri/law/2012/11/12/4093"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14/02/11/4235" TargetMode="External" /><Relationship Id="rId151" Type="http://schemas.openxmlformats.org/officeDocument/2006/relationships/hyperlink" Target="http://data.aade.gr/eli/pri/law/2016/05/27/4389" TargetMode="External" /><Relationship Id="rId152" Type="http://schemas.openxmlformats.org/officeDocument/2006/relationships/hyperlink" Target="http://data.aade.gr/eli/pri/law/2016/05/27/4389" TargetMode="External" /><Relationship Id="rId153" Type="http://schemas.openxmlformats.org/officeDocument/2006/relationships/hyperlink" Target="http://data.aade.gr/eli/pri/law/2012/11/12/4093" TargetMode="External" /><Relationship Id="rId154" Type="http://schemas.openxmlformats.org/officeDocument/2006/relationships/hyperlink" Target="http://data.aade.gr/eli/pri/law/2011/03/31/3943" TargetMode="External" /><Relationship Id="rId155" Type="http://schemas.openxmlformats.org/officeDocument/2006/relationships/hyperlink" Target="http://data.aade.gr/eli/pri/law/2016/08/03/4410" TargetMode="External" /><Relationship Id="rId156" Type="http://schemas.openxmlformats.org/officeDocument/2006/relationships/hyperlink" Target="http://data.aade.gr/eli/pri/law/2016/08/03/4410" TargetMode="External" /><Relationship Id="rId157" Type="http://schemas.openxmlformats.org/officeDocument/2006/relationships/hyperlink" Target="http://data.aade.gr/eli/pri/law/2016/08/03/4410" TargetMode="External" /><Relationship Id="rId158" Type="http://schemas.openxmlformats.org/officeDocument/2006/relationships/hyperlink" Target="http://data.aade.gr/eli/pri/law/2018/05/15/4537" TargetMode="External" /><Relationship Id="rId159" Type="http://schemas.openxmlformats.org/officeDocument/2006/relationships/hyperlink" Target="http://data.aade.gr/eli/pri/law/2018/05/15/4537" TargetMode="External" /><Relationship Id="rId16" Type="http://schemas.openxmlformats.org/officeDocument/2006/relationships/hyperlink" Target="http://data.aade.gr/eli/pri/law/2013/11/28/4211" TargetMode="External" /><Relationship Id="rId160" Type="http://schemas.openxmlformats.org/officeDocument/2006/relationships/hyperlink" Target="http://data.aade.gr/eli/pri/law/2007/06/28/3583" TargetMode="External" /><Relationship Id="rId161" Type="http://schemas.openxmlformats.org/officeDocument/2006/relationships/hyperlink" Target="http://data.aade.gr/eli/pri/law/2007/06/28/3583" TargetMode="External" /><Relationship Id="rId162" Type="http://schemas.openxmlformats.org/officeDocument/2006/relationships/hyperlink" Target="http://data.aade.gr/eli/pri/law/2010/12/17/3899" TargetMode="External" /><Relationship Id="rId163" Type="http://schemas.openxmlformats.org/officeDocument/2006/relationships/hyperlink" Target="http://data.aade.gr/eli/pri/law/2011/07/01/3986" TargetMode="External" /><Relationship Id="rId164" Type="http://schemas.openxmlformats.org/officeDocument/2006/relationships/hyperlink" Target="http://data.aade.gr/eli/pri/law/2007/06/28/3583" TargetMode="External" /><Relationship Id="rId165" Type="http://schemas.openxmlformats.org/officeDocument/2006/relationships/hyperlink" Target="http://data.aade.gr/eli/pri/law/2007/06/28/3583" TargetMode="External" /><Relationship Id="rId166" Type="http://schemas.openxmlformats.org/officeDocument/2006/relationships/hyperlink" Target="http://data.aade.gr/eli/pri/law/2007/06/28/3583" TargetMode="External" /><Relationship Id="rId167" Type="http://schemas.openxmlformats.org/officeDocument/2006/relationships/hyperlink" Target="http://data.aade.gr/eli/pri/law/2016/08/03/4410" TargetMode="External" /><Relationship Id="rId168" Type="http://schemas.openxmlformats.org/officeDocument/2006/relationships/hyperlink" Target="http://data.aade.gr/eli/pri/law/2016/08/03/4410" TargetMode="External" /><Relationship Id="rId169" Type="http://schemas.openxmlformats.org/officeDocument/2006/relationships/hyperlink" Target="http://data.aade.gr/eli/pri/law/2016/12/22/4446"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18/01/30/4514" TargetMode="External" /><Relationship Id="rId171" Type="http://schemas.openxmlformats.org/officeDocument/2006/relationships/hyperlink" Target="http://data.aade.gr/eli/pri/law/2010/03/15/3833" TargetMode="External" /><Relationship Id="rId172" Type="http://schemas.openxmlformats.org/officeDocument/2006/relationships/hyperlink" Target="http://data.aade.gr/eli/pri/law/2007/06/28/3583" TargetMode="External" /><Relationship Id="rId173" Type="http://schemas.openxmlformats.org/officeDocument/2006/relationships/hyperlink" Target="http://data.aade.gr/eli/pri/law/2008/01/29/3634" TargetMode="External" /><Relationship Id="rId174" Type="http://schemas.openxmlformats.org/officeDocument/2006/relationships/hyperlink" Target="http://data.aade.gr/eli/pri/law/2010/12/17/3899" TargetMode="External" /><Relationship Id="rId175" Type="http://schemas.openxmlformats.org/officeDocument/2006/relationships/hyperlink" Target="http://data.aade.gr/eli/pri/law/2008/01/29/3634" TargetMode="External" /><Relationship Id="rId176" Type="http://schemas.openxmlformats.org/officeDocument/2006/relationships/hyperlink" Target="http://data.aade.gr/eli/pri/law/2010/12/17/3899" TargetMode="External" /><Relationship Id="rId177" Type="http://schemas.openxmlformats.org/officeDocument/2006/relationships/hyperlink" Target="http://data.aade.gr/eli/pri/law/2010/03/15/3833" TargetMode="External" /><Relationship Id="rId178" Type="http://schemas.openxmlformats.org/officeDocument/2006/relationships/hyperlink" Target="http://data.aade.gr/eli/pri/law/2011/07/01/3986" TargetMode="External" /><Relationship Id="rId179" Type="http://schemas.openxmlformats.org/officeDocument/2006/relationships/hyperlink" Target="http://data.aade.gr/eli/pri/law/2018/05/15/4537" TargetMode="External" /><Relationship Id="rId18" Type="http://schemas.openxmlformats.org/officeDocument/2006/relationships/hyperlink" Target="http://data.aade.gr/eli/pri/law/2007/06/28/3583" TargetMode="External" /><Relationship Id="rId180" Type="http://schemas.openxmlformats.org/officeDocument/2006/relationships/hyperlink" Target="http://data.aade.gr/eli/pri/law/2016/12/22/4446" TargetMode="External" /><Relationship Id="rId181" Type="http://schemas.openxmlformats.org/officeDocument/2006/relationships/hyperlink" Target="http://data.aade.gr/eli/pri/law/2018/01/30/4514" TargetMode="External" /><Relationship Id="rId182" Type="http://schemas.openxmlformats.org/officeDocument/2006/relationships/hyperlink" Target="http://data.aade.gr/eli/pri/law/2008/01/29/3634" TargetMode="External" /><Relationship Id="rId183" Type="http://schemas.openxmlformats.org/officeDocument/2006/relationships/hyperlink" Target="http://data.aade.gr/eli/pri/law/2010/03/15/3833" TargetMode="External" /><Relationship Id="rId184" Type="http://schemas.openxmlformats.org/officeDocument/2006/relationships/hyperlink" Target="http://data.aade.gr/eli/pri/law/2016/12/22/4446" TargetMode="External" /><Relationship Id="rId185" Type="http://schemas.openxmlformats.org/officeDocument/2006/relationships/hyperlink" Target="http://data.aade.gr/eli/pri/law/2007/06/28/3583" TargetMode="External" /><Relationship Id="rId186" Type="http://schemas.openxmlformats.org/officeDocument/2006/relationships/hyperlink" Target="http://data.aade.gr/eli/pri/law/2010/04/23/3842" TargetMode="External" /><Relationship Id="rId187" Type="http://schemas.openxmlformats.org/officeDocument/2006/relationships/hyperlink" Target="http://data.aade.gr/eli/pri/law/2010/04/23/3842" TargetMode="External" /><Relationship Id="rId188" Type="http://schemas.openxmlformats.org/officeDocument/2006/relationships/hyperlink" Target="http://data.aade.gr/eli/pri/law/2010/04/23/3842" TargetMode="External" /><Relationship Id="rId189" Type="http://schemas.openxmlformats.org/officeDocument/2006/relationships/hyperlink" Target="http://data.aade.gr/eli/pri/law/2010/04/23/3842" TargetMode="External" /><Relationship Id="rId19" Type="http://schemas.openxmlformats.org/officeDocument/2006/relationships/hyperlink" Target="http://data.aade.gr/eli/pri/law/2012/04/11/4072" TargetMode="External" /><Relationship Id="rId190" Type="http://schemas.openxmlformats.org/officeDocument/2006/relationships/hyperlink" Target="http://data.aade.gr/eli/pri/law/2010/04/23/3842" TargetMode="External" /><Relationship Id="rId191" Type="http://schemas.openxmlformats.org/officeDocument/2006/relationships/hyperlink" Target="http://data.aade.gr/eli/pri/law/2010/04/23/3842" TargetMode="External" /><Relationship Id="rId192" Type="http://schemas.openxmlformats.org/officeDocument/2006/relationships/hyperlink" Target="http://data.aade.gr/eli/pri/law/2007/06/28/3583" TargetMode="External" /><Relationship Id="rId193" Type="http://schemas.openxmlformats.org/officeDocument/2006/relationships/hyperlink" Target="http://data.aade.gr/eli/pri/law/2007/06/28/3583" TargetMode="External" /><Relationship Id="rId194" Type="http://schemas.openxmlformats.org/officeDocument/2006/relationships/hyperlink" Target="http://data.aade.gr/eli/pri/law/2010/04/23/3842" TargetMode="External" /><Relationship Id="rId195" Type="http://schemas.openxmlformats.org/officeDocument/2006/relationships/hyperlink" Target="http://data.aade.gr/eli/pri/law/2010/04/23/3842" TargetMode="External" /><Relationship Id="rId196" Type="http://schemas.openxmlformats.org/officeDocument/2006/relationships/hyperlink" Target="http://data.aade.gr/eli/pri/law/2010/04/23/3842" TargetMode="External" /><Relationship Id="rId197" Type="http://schemas.openxmlformats.org/officeDocument/2006/relationships/hyperlink" Target="http://data.aade.gr/eli/pri/law/2011/03/31/3943" TargetMode="External" /><Relationship Id="rId198" Type="http://schemas.openxmlformats.org/officeDocument/2006/relationships/hyperlink" Target="http://data.aade.gr/eli/pri/law/2018/06/14/4549" TargetMode="External" /><Relationship Id="rId199" Type="http://schemas.openxmlformats.org/officeDocument/2006/relationships/hyperlink" Target="http://data.aade.gr/eli/pri/law/2016/04/05/4378"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16/12/22/4446" TargetMode="External" /><Relationship Id="rId200" Type="http://schemas.openxmlformats.org/officeDocument/2006/relationships/hyperlink" Target="http://data.aade.gr/eli/pri/law/2007/06/28/3583" TargetMode="External" /><Relationship Id="rId201" Type="http://schemas.openxmlformats.org/officeDocument/2006/relationships/hyperlink" Target="http://data.aade.gr/eli/pri/law/2016/08/03/4410" TargetMode="External" /><Relationship Id="rId202" Type="http://schemas.openxmlformats.org/officeDocument/2006/relationships/hyperlink" Target="http://data.aade.gr/eli/pri/law/2016/05/27/4389"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6/05/27/4389" TargetMode="External" /><Relationship Id="rId205" Type="http://schemas.openxmlformats.org/officeDocument/2006/relationships/hyperlink" Target="http://data.aade.gr/eli/pri/law/2016/05/27/4389" TargetMode="External" /><Relationship Id="rId206" Type="http://schemas.openxmlformats.org/officeDocument/2006/relationships/hyperlink" Target="http://data.aade.gr/eli/pri/law/2018/12/18/4583" TargetMode="External" /><Relationship Id="rId207" Type="http://schemas.openxmlformats.org/officeDocument/2006/relationships/hyperlink" Target="http://data.aade.gr/eli/pri/law/2016/05/27/4389" TargetMode="External" /><Relationship Id="rId208" Type="http://schemas.openxmlformats.org/officeDocument/2006/relationships/hyperlink" Target="http://data.aade.gr/eli/pri/law/2016/08/03/4410" TargetMode="External" /><Relationship Id="rId209" Type="http://schemas.openxmlformats.org/officeDocument/2006/relationships/hyperlink" Target="http://data.aade.gr/eli/pri/law/2007/06/28/3583" TargetMode="External" /><Relationship Id="rId21" Type="http://schemas.openxmlformats.org/officeDocument/2006/relationships/hyperlink" Target="http://data.aade.gr/eli/pri/law/2007/06/28/3583" TargetMode="External" /><Relationship Id="rId210" Type="http://schemas.openxmlformats.org/officeDocument/2006/relationships/hyperlink" Target="http://data.aade.gr/eli/pri/law/2007/06/28/3583" TargetMode="External" /><Relationship Id="rId211" Type="http://schemas.openxmlformats.org/officeDocument/2006/relationships/hyperlink" Target="http://data.aade.gr/eli/pri/law/2016/05/27/4389" TargetMode="External" /><Relationship Id="rId212" Type="http://schemas.openxmlformats.org/officeDocument/2006/relationships/hyperlink" Target="http://data.aade.gr/eli/pri/law/2018/05/15/4537" TargetMode="External" /><Relationship Id="rId213" Type="http://schemas.openxmlformats.org/officeDocument/2006/relationships/hyperlink" Target="http://data.aade.gr/eli/pri/law/2007/06/28/3583" TargetMode="External" /><Relationship Id="rId214" Type="http://schemas.openxmlformats.org/officeDocument/2006/relationships/hyperlink" Target="http://data.aade.gr/eli/pri/law/2016/05/27/4389" TargetMode="External" /><Relationship Id="rId215" Type="http://schemas.openxmlformats.org/officeDocument/2006/relationships/hyperlink" Target="http://data.aade.gr/eli/pri/law/2018/05/15/4537" TargetMode="External" /><Relationship Id="rId216" Type="http://schemas.openxmlformats.org/officeDocument/2006/relationships/hyperlink" Target="http://data.aade.gr/eli/pri/law/2016/04/05/4378" TargetMode="External" /><Relationship Id="rId217" Type="http://schemas.openxmlformats.org/officeDocument/2006/relationships/hyperlink" Target="http://data.aade.gr/eli/pri/law/2007/06/28/3583" TargetMode="External" /><Relationship Id="rId218" Type="http://schemas.openxmlformats.org/officeDocument/2006/relationships/hyperlink" Target="http://data.aade.gr/eli/pri/law/2009/05/27/3763" TargetMode="External" /><Relationship Id="rId219"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20" Type="http://schemas.openxmlformats.org/officeDocument/2006/relationships/hyperlink" Target="http://data.aade.gr/eli/pri/law/2007/06/28/3583" TargetMode="External" /><Relationship Id="rId221" Type="http://schemas.openxmlformats.org/officeDocument/2006/relationships/hyperlink" Target="http://data.aade.gr/eli/pri/law/2018/05/15/4537" TargetMode="External" /><Relationship Id="rId222" Type="http://schemas.openxmlformats.org/officeDocument/2006/relationships/hyperlink" Target="http://data.aade.gr/eli/pri/law/2018/05/15/4537" TargetMode="External" /><Relationship Id="rId223" Type="http://schemas.openxmlformats.org/officeDocument/2006/relationships/hyperlink" Target="http://data.aade.gr/eli/pri/law/2007/06/28/3583" TargetMode="External" /><Relationship Id="rId224" Type="http://schemas.openxmlformats.org/officeDocument/2006/relationships/hyperlink" Target="http://data.aade.gr/eli/pri/law/2008/01/29/3634" TargetMode="External" /><Relationship Id="rId225" Type="http://schemas.openxmlformats.org/officeDocument/2006/relationships/hyperlink" Target="http://data.aade.gr/eli/pri/law/2013/11/28/4211" TargetMode="External" /><Relationship Id="rId226" Type="http://schemas.openxmlformats.org/officeDocument/2006/relationships/hyperlink" Target="http://data.aade.gr/eli/pri/law/2016/05/27/4389" TargetMode="External" /><Relationship Id="rId227" Type="http://schemas.openxmlformats.org/officeDocument/2006/relationships/hyperlink" Target="http://data.aade.gr/eli/pri/law/2007/06/28/3583" TargetMode="External" /><Relationship Id="rId228" Type="http://schemas.openxmlformats.org/officeDocument/2006/relationships/hyperlink" Target="http://data.aade.gr/eli/pri/law/2009/05/27/3763" TargetMode="External" /><Relationship Id="rId229" Type="http://schemas.openxmlformats.org/officeDocument/2006/relationships/hyperlink" Target="http://data.aade.gr/eli/pri/law/2016/05/27/4389" TargetMode="External" /><Relationship Id="rId23" Type="http://schemas.openxmlformats.org/officeDocument/2006/relationships/hyperlink" Target="http://data.aade.gr/eli/pri/law/2007/06/28/3583" TargetMode="External" /><Relationship Id="rId230" Type="http://schemas.openxmlformats.org/officeDocument/2006/relationships/hyperlink" Target="http://data.aade.gr/eli/pri/law/2007/06/28/3583" TargetMode="External" /><Relationship Id="rId231" Type="http://schemas.openxmlformats.org/officeDocument/2006/relationships/hyperlink" Target="http://data.aade.gr/eli/pri/law/2016/04/05/4378" TargetMode="External" /><Relationship Id="rId232" Type="http://schemas.openxmlformats.org/officeDocument/2006/relationships/hyperlink" Target="http://data.aade.gr/eli/pri/law/2007/06/28/3583" TargetMode="External" /><Relationship Id="rId233" Type="http://schemas.openxmlformats.org/officeDocument/2006/relationships/hyperlink" Target="http://data.aade.gr/eli/pri/law/2018/12/18/4583" TargetMode="External" /><Relationship Id="rId234" Type="http://schemas.openxmlformats.org/officeDocument/2006/relationships/hyperlink" Target="http://data.aade.gr/eli/pri/law/2018/12/18/4583" TargetMode="External" /><Relationship Id="rId235" Type="http://schemas.openxmlformats.org/officeDocument/2006/relationships/hyperlink" Target="http://data.aade.gr/eli/pri/law/2018/12/18/4583" TargetMode="External" /><Relationship Id="rId236" Type="http://schemas.openxmlformats.org/officeDocument/2006/relationships/hyperlink" Target="http://data.aade.gr/eli/pri/law/2007/06/28/3583" TargetMode="External" /><Relationship Id="rId237" Type="http://schemas.openxmlformats.org/officeDocument/2006/relationships/hyperlink" Target="http://data.aade.gr/eli/pri/law/2007/06/28/3583" TargetMode="External" /><Relationship Id="rId238" Type="http://schemas.openxmlformats.org/officeDocument/2006/relationships/hyperlink" Target="http://data.aade.gr/eli/pri/law/2007/06/28/3583" TargetMode="External" /><Relationship Id="rId239" Type="http://schemas.openxmlformats.org/officeDocument/2006/relationships/hyperlink" Target="http://data.aade.gr/eli/pri/law/2016/03/07/4370" TargetMode="External" /><Relationship Id="rId24" Type="http://schemas.openxmlformats.org/officeDocument/2006/relationships/hyperlink" Target="http://data.aade.gr/eli/pri/law/2007/06/28/3583" TargetMode="External" /><Relationship Id="rId240" Type="http://schemas.openxmlformats.org/officeDocument/2006/relationships/hyperlink" Target="http://data.aade.gr/eli/pri/law/2007/06/28/3583" TargetMode="External" /><Relationship Id="rId241" Type="http://schemas.openxmlformats.org/officeDocument/2006/relationships/hyperlink" Target="http://data.aade.gr/eli/pri/law/2018/12/18/4583" TargetMode="External" /><Relationship Id="rId242" Type="http://schemas.openxmlformats.org/officeDocument/2006/relationships/hyperlink" Target="http://data.aade.gr/eli/pri/law/2007/06/28/3583" TargetMode="External" /><Relationship Id="rId243" Type="http://schemas.openxmlformats.org/officeDocument/2006/relationships/hyperlink" Target="http://data.aade.gr/eli/pri/law/2014/04/07/4254" TargetMode="External" /><Relationship Id="rId244" Type="http://schemas.openxmlformats.org/officeDocument/2006/relationships/hyperlink" Target="http://data.aade.gr/eli/pri/law/2018/12/18/4583" TargetMode="External" /><Relationship Id="rId245" Type="http://schemas.openxmlformats.org/officeDocument/2006/relationships/hyperlink" Target="http://data.aade.gr/eli/pri/law/2018/01/30/4514" TargetMode="External" /><Relationship Id="rId246" Type="http://schemas.openxmlformats.org/officeDocument/2006/relationships/hyperlink" Target="http://data.aade.gr/eli/pri/law/2018/01/30/4514" TargetMode="External" /><Relationship Id="rId247" Type="http://schemas.openxmlformats.org/officeDocument/2006/relationships/hyperlink" Target="http://data.aade.gr/eli/pri/law/2007/11/22/3610" TargetMode="External" /><Relationship Id="rId248" Type="http://schemas.openxmlformats.org/officeDocument/2006/relationships/hyperlink" Target="http://data.aade.gr/eli/pri/law/2004/08/04/3259" TargetMode="External" /><Relationship Id="rId249" Type="http://schemas.openxmlformats.org/officeDocument/2006/relationships/hyperlink" Target="http://data.aade.gr/eli/pri/law/2009/08/07/3790" TargetMode="External" /><Relationship Id="rId25" Type="http://schemas.openxmlformats.org/officeDocument/2006/relationships/hyperlink" Target="http://data.aade.gr/eli/pri/law/2007/06/28/3583" TargetMode="External" /><Relationship Id="rId250" Type="http://schemas.openxmlformats.org/officeDocument/2006/relationships/hyperlink" Target="http://data.aade.gr/eli/pri/law/2013/03/19/4138" TargetMode="External" /><Relationship Id="rId251" Type="http://schemas.openxmlformats.org/officeDocument/2006/relationships/hyperlink" Target="http://data.aade.gr/eli/pri/law/2014/02/17/4238" TargetMode="External" /><Relationship Id="rId252" Type="http://schemas.openxmlformats.org/officeDocument/2006/relationships/hyperlink" Target="http://data.aade.gr/eli/pri/law/2014/04/07/4254" TargetMode="External" /><Relationship Id="rId253" Type="http://schemas.openxmlformats.org/officeDocument/2006/relationships/hyperlink" Target="http://data.aade.gr/eli/pri/law/2016/08/03/4410" TargetMode="External" /><Relationship Id="rId254" Type="http://schemas.openxmlformats.org/officeDocument/2006/relationships/hyperlink" Target="http://data.aade.gr/eli/pri/law/2018/05/15/4537" TargetMode="External" /><Relationship Id="rId255" Type="http://schemas.openxmlformats.org/officeDocument/2006/relationships/hyperlink" Target="http://data.aade.gr/eli/pri/law/2018/05/15/4537" TargetMode="External" /><Relationship Id="rId256" Type="http://schemas.openxmlformats.org/officeDocument/2006/relationships/hyperlink" Target="http://data.aade.gr/eli/pri/law/2014/04/07/4254" TargetMode="External" /><Relationship Id="rId257" Type="http://schemas.openxmlformats.org/officeDocument/2006/relationships/hyperlink" Target="http://data.aade.gr/eli/pri/law/2018/01/30/4514" TargetMode="External" /><Relationship Id="rId258" Type="http://schemas.openxmlformats.org/officeDocument/2006/relationships/hyperlink" Target="http://data.aade.gr/eli/pri/law/2007/06/28/3583" TargetMode="External" /><Relationship Id="rId259" Type="http://schemas.openxmlformats.org/officeDocument/2006/relationships/hyperlink" Target="http://data.aade.gr/eli/pri/law/2006/04/07/3453" TargetMode="External" /><Relationship Id="rId26" Type="http://schemas.openxmlformats.org/officeDocument/2006/relationships/hyperlink" Target="http://data.aade.gr/eli/pri/law/2007/06/28/3583" TargetMode="External" /><Relationship Id="rId260" Type="http://schemas.openxmlformats.org/officeDocument/2006/relationships/hyperlink" Target="http://data.aade.gr/eli/pri/law/2014/04/07/4254" TargetMode="External" /><Relationship Id="rId261" Type="http://schemas.openxmlformats.org/officeDocument/2006/relationships/hyperlink" Target="http://data.aade.gr/eli/pri/law/2016/04/05/4378" TargetMode="External" /><Relationship Id="rId262" Type="http://schemas.openxmlformats.org/officeDocument/2006/relationships/hyperlink" Target="http://data.aade.gr/eli/pri/law/2007/06/28/3583" TargetMode="External" /><Relationship Id="rId263" Type="http://schemas.openxmlformats.org/officeDocument/2006/relationships/hyperlink" Target="http://data.aade.gr/eli/pri/law/2014/04/07/4254" TargetMode="External" /><Relationship Id="rId264" Type="http://schemas.openxmlformats.org/officeDocument/2006/relationships/hyperlink" Target="http://data.aade.gr/eli/pri/law/2007/06/28/3583" TargetMode="External" /><Relationship Id="rId265" Type="http://schemas.openxmlformats.org/officeDocument/2006/relationships/hyperlink" Target="http://data.aade.gr/eli/pri/law/2007/06/28/3583" TargetMode="External" /><Relationship Id="rId266" Type="http://schemas.openxmlformats.org/officeDocument/2006/relationships/hyperlink" Target="http://data.aade.gr/eli/pri/law/2016/05/27/4389" TargetMode="External" /><Relationship Id="rId267" Type="http://schemas.openxmlformats.org/officeDocument/2006/relationships/hyperlink" Target="http://data.aade.gr/eli/pri/law/2007/06/28/3583" TargetMode="External" /><Relationship Id="rId268" Type="http://schemas.openxmlformats.org/officeDocument/2006/relationships/hyperlink" Target="http://data.aade.gr/eli/pri/law/2007/06/28/3583" TargetMode="External" /><Relationship Id="rId269" Type="http://schemas.openxmlformats.org/officeDocument/2006/relationships/hyperlink" Target="http://data.aade.gr/eli/pri/law/2007/06/28/3583" TargetMode="External" /><Relationship Id="rId27" Type="http://schemas.openxmlformats.org/officeDocument/2006/relationships/hyperlink" Target="http://data.aade.gr/eli/pri/law/2005/04/20/3336" TargetMode="External" /><Relationship Id="rId270" Type="http://schemas.openxmlformats.org/officeDocument/2006/relationships/hyperlink" Target="http://data.aade.gr/eli/pri/law/2007/06/28/3583" TargetMode="External" /><Relationship Id="rId271" Type="http://schemas.openxmlformats.org/officeDocument/2006/relationships/hyperlink" Target="http://data.aade.gr/eli/pri/law/2007/06/28/3583" TargetMode="External" /><Relationship Id="rId272" Type="http://schemas.openxmlformats.org/officeDocument/2006/relationships/hyperlink" Target="http://data.aade.gr/eli/pri/law/2007/06/28/3583" TargetMode="External" /><Relationship Id="rId273" Type="http://schemas.openxmlformats.org/officeDocument/2006/relationships/hyperlink" Target="http://data.aade.gr/eli/pri/law/2007/06/28/3583" TargetMode="External" /><Relationship Id="rId274" Type="http://schemas.openxmlformats.org/officeDocument/2006/relationships/hyperlink" Target="http://data.aade.gr/eli/pri/law/2007/06/28/3583" TargetMode="External" /><Relationship Id="rId275" Type="http://schemas.openxmlformats.org/officeDocument/2006/relationships/hyperlink" Target="http://data.aade.gr/eli/pri/law/2007/11/22/3610" TargetMode="External" /><Relationship Id="rId276" Type="http://schemas.openxmlformats.org/officeDocument/2006/relationships/hyperlink" Target="http://data.aade.gr/eli/pri/law/2010/12/17/3899" TargetMode="External" /><Relationship Id="rId277" Type="http://schemas.openxmlformats.org/officeDocument/2006/relationships/hyperlink" Target="http://data.aade.gr/eli/pri/law/2012/04/11/4072" TargetMode="External" /><Relationship Id="rId278" Type="http://schemas.openxmlformats.org/officeDocument/2006/relationships/hyperlink" Target="http://data.aade.gr/eli/pri/law/2013/04/05/4141" TargetMode="External" /><Relationship Id="rId279" Type="http://schemas.openxmlformats.org/officeDocument/2006/relationships/hyperlink" Target="http://data.aade.gr/eli/pri/law/2018/12/18/4583" TargetMode="External" /><Relationship Id="rId28" Type="http://schemas.openxmlformats.org/officeDocument/2006/relationships/hyperlink" Target="http://data.aade.gr/eli/pri/law/2016/08/03/4410" TargetMode="External" /><Relationship Id="rId280" Type="http://schemas.openxmlformats.org/officeDocument/2006/relationships/hyperlink" Target="http://data.aade.gr/eli/pri/law/2016/08/03/4410" TargetMode="External" /><Relationship Id="rId281" Type="http://schemas.openxmlformats.org/officeDocument/2006/relationships/hyperlink" Target="http://data.aade.gr/eli/pri/law/2007/06/28/3583" TargetMode="External" /><Relationship Id="rId282" Type="http://schemas.openxmlformats.org/officeDocument/2006/relationships/hyperlink" Target="http://data.aade.gr/eli/pri/law/2007/06/28/3583" TargetMode="External" /><Relationship Id="rId283" Type="http://schemas.openxmlformats.org/officeDocument/2006/relationships/hyperlink" Target="http://data.aade.gr/eli/pri/law/2007/06/28/3583" TargetMode="External" /><Relationship Id="rId284" Type="http://schemas.openxmlformats.org/officeDocument/2006/relationships/hyperlink" Target="http://data.aade.gr/eli/pri/law/2007/06/28/3583" TargetMode="External" /><Relationship Id="rId285" Type="http://schemas.openxmlformats.org/officeDocument/2006/relationships/hyperlink" Target="http://data.aade.gr/eli/pri/law/2017/05/03/4469" TargetMode="External" /><Relationship Id="rId286" Type="http://schemas.openxmlformats.org/officeDocument/2006/relationships/hyperlink" Target="http://data.aade.gr/eli/pri/law/2007/06/28/3583" TargetMode="External" /><Relationship Id="rId287" Type="http://schemas.openxmlformats.org/officeDocument/2006/relationships/hyperlink" Target="http://data.aade.gr/eli/pri/law/2019/12/12/4646" TargetMode="External" /><Relationship Id="rId288" Type="http://schemas.openxmlformats.org/officeDocument/2006/relationships/hyperlink" Target="http://data.aade.gr/eli/pri/law/2007/06/28/3583" TargetMode="External" /><Relationship Id="rId289" Type="http://schemas.openxmlformats.org/officeDocument/2006/relationships/hyperlink" Target="http://data.aade.gr/eli/pri/law/2007/06/28/3583" TargetMode="External" /><Relationship Id="rId29" Type="http://schemas.openxmlformats.org/officeDocument/2006/relationships/hyperlink" Target="http://data.aade.gr/eli/pri/law/2016/08/03/4410" TargetMode="External" /><Relationship Id="rId290" Type="http://schemas.openxmlformats.org/officeDocument/2006/relationships/hyperlink" Target="http://data.aade.gr/eli/pri/law/2007/06/28/3583" TargetMode="External" /><Relationship Id="rId291" Type="http://schemas.openxmlformats.org/officeDocument/2006/relationships/hyperlink" Target="http://data.aade.gr/eli/pri/law/2007/11/22/3610" TargetMode="External" /><Relationship Id="rId292" Type="http://schemas.openxmlformats.org/officeDocument/2006/relationships/hyperlink" Target="http://data.aade.gr/eli/pri/law/2007/06/28/3583" TargetMode="External" /><Relationship Id="rId293" Type="http://schemas.openxmlformats.org/officeDocument/2006/relationships/hyperlink" Target="http://data.aade.gr/eli/pri/law/2007/06/28/3583" TargetMode="External" /><Relationship Id="rId294" Type="http://schemas.openxmlformats.org/officeDocument/2006/relationships/hyperlink" Target="http://data.aade.gr/eli/pri/law/2002/03/20/2992" TargetMode="External" /><Relationship Id="rId295" Type="http://schemas.openxmlformats.org/officeDocument/2006/relationships/hyperlink" Target="http://data.aade.gr/eli/pri/law/2014/04/07/4254" TargetMode="External" /><Relationship Id="rId296" Type="http://schemas.openxmlformats.org/officeDocument/2006/relationships/hyperlink" Target="http://data.aade.gr/eli/pri/law/2017/06/07/4474" TargetMode="External" /><Relationship Id="rId297" Type="http://schemas.openxmlformats.org/officeDocument/2006/relationships/hyperlink" Target="http://data.aade.gr/eli/pri/law/2004/08/04/3259" TargetMode="External" /><Relationship Id="rId298" Type="http://schemas.openxmlformats.org/officeDocument/2006/relationships/hyperlink" Target="http://data.aade.gr/eli/pri/law/2007/06/28/3583" TargetMode="External" /><Relationship Id="rId299" Type="http://schemas.openxmlformats.org/officeDocument/2006/relationships/hyperlink" Target="http://data.aade.gr/eli/pri/law/2011/07/01/3986"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00" Type="http://schemas.openxmlformats.org/officeDocument/2006/relationships/hyperlink" Target="http://data.aade.gr/eli/pri/law/2007/06/28/3583" TargetMode="External" /><Relationship Id="rId301" Type="http://schemas.openxmlformats.org/officeDocument/2006/relationships/hyperlink" Target="http://data.aade.gr/eli/pri/law/2005/04/20/3336" TargetMode="External" /><Relationship Id="rId302" Type="http://schemas.openxmlformats.org/officeDocument/2006/relationships/hyperlink" Target="http://data.aade.gr/eli/pri/law/2007/06/28/3583" TargetMode="External" /><Relationship Id="rId303" Type="http://schemas.openxmlformats.org/officeDocument/2006/relationships/hyperlink" Target="http://data.aade.gr/eli/pri/law/2019/08/09/4623" TargetMode="External" /><Relationship Id="rId304" Type="http://schemas.openxmlformats.org/officeDocument/2006/relationships/hyperlink" Target="http://data.aade.gr/eli/pri/law/2019/08/09/4623" TargetMode="External" /><Relationship Id="rId305" Type="http://schemas.openxmlformats.org/officeDocument/2006/relationships/hyperlink" Target="http://data.aade.gr/eli/pri/law/2005/04/20/3336"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07/06/28/3583"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6/08/03/4410"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2/04/11/407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3/11/28/4211"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07/06/28/3583"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07/06/28/3583" TargetMode="External" /><Relationship Id="rId51" Type="http://schemas.openxmlformats.org/officeDocument/2006/relationships/hyperlink" Target="http://data.aade.gr/eli/pri/law/2007/06/28/3583" TargetMode="External" /><Relationship Id="rId52" Type="http://schemas.openxmlformats.org/officeDocument/2006/relationships/hyperlink" Target="http://data.aade.gr/eli/pri/law/2005/04/20/3336" TargetMode="External" /><Relationship Id="rId53" Type="http://schemas.openxmlformats.org/officeDocument/2006/relationships/hyperlink" Target="http://data.aade.gr/eli/pri/law/2018/12/18/4583" TargetMode="External" /><Relationship Id="rId54" Type="http://schemas.openxmlformats.org/officeDocument/2006/relationships/hyperlink" Target="http://data.aade.gr/eli/pri/law/2005/04/20/3336" TargetMode="External" /><Relationship Id="rId55" Type="http://schemas.openxmlformats.org/officeDocument/2006/relationships/hyperlink" Target="http://data.aade.gr/eli/pri/law/2010/05/06/3845" TargetMode="External" /><Relationship Id="rId56" Type="http://schemas.openxmlformats.org/officeDocument/2006/relationships/hyperlink" Target="http://data.aade.gr/eli/pri/law/2010/03/15/3833" TargetMode="External" /><Relationship Id="rId57" Type="http://schemas.openxmlformats.org/officeDocument/2006/relationships/hyperlink" Target="http://data.aade.gr/eli/pri/law/2010/12/17/3899" TargetMode="External" /><Relationship Id="rId58" Type="http://schemas.openxmlformats.org/officeDocument/2006/relationships/hyperlink" Target="http://data.aade.gr/eli/pri/law/2011/07/01/3986" TargetMode="External" /><Relationship Id="rId59" Type="http://schemas.openxmlformats.org/officeDocument/2006/relationships/hyperlink" Target="http://data.aade.gr/eli/pri/law/2012/11/08/4092"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2/11/12/4093" TargetMode="External" /><Relationship Id="rId61" Type="http://schemas.openxmlformats.org/officeDocument/2006/relationships/hyperlink" Target="http://data.aade.gr/eli/pri/law/2016/05/27/4389" TargetMode="External" /><Relationship Id="rId62" Type="http://schemas.openxmlformats.org/officeDocument/2006/relationships/hyperlink" Target="http://data.aade.gr/eli/pri/law/2016/05/27/4389" TargetMode="External" /><Relationship Id="rId63" Type="http://schemas.openxmlformats.org/officeDocument/2006/relationships/hyperlink" Target="http://data.aade.gr/eli/pri/law/2009/07/21/3775" TargetMode="External" /><Relationship Id="rId64" Type="http://schemas.openxmlformats.org/officeDocument/2006/relationships/hyperlink" Target="http://data.aade.gr/eli/pri/law/2009/07/21/3775" TargetMode="External" /><Relationship Id="rId65" Type="http://schemas.openxmlformats.org/officeDocument/2006/relationships/hyperlink" Target="http://data.aade.gr/eli/pri/law/2018/12/18/4583" TargetMode="External" /><Relationship Id="rId66" Type="http://schemas.openxmlformats.org/officeDocument/2006/relationships/hyperlink" Target="http://data.aade.gr/eli/pri/law/2018/12/18/4583" TargetMode="External" /><Relationship Id="rId67" Type="http://schemas.openxmlformats.org/officeDocument/2006/relationships/hyperlink" Target="http://data.aade.gr/eli/pri/law/2006/08/07/3483" TargetMode="External" /><Relationship Id="rId68" Type="http://schemas.openxmlformats.org/officeDocument/2006/relationships/hyperlink" Target="http://data.aade.gr/eli/pri/law/2010/12/17/3899"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11/07/01/3986" TargetMode="External" /><Relationship Id="rId71" Type="http://schemas.openxmlformats.org/officeDocument/2006/relationships/hyperlink" Target="http://data.aade.gr/eli/pri/law/2011/07/01/3986" TargetMode="External" /><Relationship Id="rId72" Type="http://schemas.openxmlformats.org/officeDocument/2006/relationships/hyperlink" Target="http://data.aade.gr/eli/pri/law/2011/10/27/4024" TargetMode="External" /><Relationship Id="rId73" Type="http://schemas.openxmlformats.org/officeDocument/2006/relationships/hyperlink" Target="http://data.aade.gr/eli/pri/law/2014/10/07/4301" TargetMode="External" /><Relationship Id="rId74" Type="http://schemas.openxmlformats.org/officeDocument/2006/relationships/hyperlink" Target="http://data.aade.gr/eli/pri/law/2016/05/27/4389" TargetMode="External" /><Relationship Id="rId75" Type="http://schemas.openxmlformats.org/officeDocument/2006/relationships/hyperlink" Target="http://data.aade.gr/eli/pri/law/2005/04/20/3336" TargetMode="External" /><Relationship Id="rId76" Type="http://schemas.openxmlformats.org/officeDocument/2006/relationships/hyperlink" Target="http://data.aade.gr/eli/pri/law/2010/03/15/3833" TargetMode="External" /><Relationship Id="rId77" Type="http://schemas.openxmlformats.org/officeDocument/2006/relationships/hyperlink" Target="http://data.aade.gr/eli/pri/law/2011/07/01/3986" TargetMode="External" /><Relationship Id="rId78" Type="http://schemas.openxmlformats.org/officeDocument/2006/relationships/hyperlink" Target="http://data.aade.gr/eli/pri/law/2019/04/24/4607" TargetMode="External" /><Relationship Id="rId79" Type="http://schemas.openxmlformats.org/officeDocument/2006/relationships/hyperlink" Target="http://data.aade.gr/eli/pri/law/2018/01/30/4514"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5/04/20/3336" TargetMode="External" /><Relationship Id="rId81" Type="http://schemas.openxmlformats.org/officeDocument/2006/relationships/hyperlink" Target="http://data.aade.gr/eli/pri/law/2005/04/20/3336" TargetMode="External" /><Relationship Id="rId82" Type="http://schemas.openxmlformats.org/officeDocument/2006/relationships/hyperlink" Target="http://data.aade.gr/eli/pri/law/2010/04/23/3842" TargetMode="External" /><Relationship Id="rId83" Type="http://schemas.openxmlformats.org/officeDocument/2006/relationships/hyperlink" Target="http://data.aade.gr/eli/pri/law/2005/04/20/3336" TargetMode="External" /><Relationship Id="rId84" Type="http://schemas.openxmlformats.org/officeDocument/2006/relationships/hyperlink" Target="http://data.aade.gr/eli/pri/law/2005/04/20/3336" TargetMode="External" /><Relationship Id="rId85" Type="http://schemas.openxmlformats.org/officeDocument/2006/relationships/hyperlink" Target="http://data.aade.gr/eli/pri/law/2008/01/29/3634" TargetMode="External" /><Relationship Id="rId86" Type="http://schemas.openxmlformats.org/officeDocument/2006/relationships/hyperlink" Target="http://data.aade.gr/eli/pri/law/2016/05/27/4389" TargetMode="External" /><Relationship Id="rId87" Type="http://schemas.openxmlformats.org/officeDocument/2006/relationships/hyperlink" Target="http://data.aade.gr/eli/pri/law/2007/06/28/3583" TargetMode="External" /><Relationship Id="rId88" Type="http://schemas.openxmlformats.org/officeDocument/2006/relationships/hyperlink" Target="http://data.aade.gr/eli/pri/law/2014/05/05/4261" TargetMode="External" /><Relationship Id="rId89" Type="http://schemas.openxmlformats.org/officeDocument/2006/relationships/hyperlink" Target="http://data.aade.gr/eli/pri/law/2010/03/15/383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18/12/18/4583" TargetMode="External" /><Relationship Id="rId91" Type="http://schemas.openxmlformats.org/officeDocument/2006/relationships/hyperlink" Target="http://data.aade.gr/eli/pri/law/2018/12/18/4583" TargetMode="External" /><Relationship Id="rId92" Type="http://schemas.openxmlformats.org/officeDocument/2006/relationships/hyperlink" Target="http://data.aade.gr/eli/pri/law/2007/06/28/3583" TargetMode="External" /><Relationship Id="rId93" Type="http://schemas.openxmlformats.org/officeDocument/2006/relationships/hyperlink" Target="http://data.aade.gr/eli/pri/law/2007/06/28/3583" TargetMode="External" /><Relationship Id="rId94" Type="http://schemas.openxmlformats.org/officeDocument/2006/relationships/hyperlink" Target="http://data.aade.gr/eli/pri/law/2010/03/15/3833" TargetMode="External" /><Relationship Id="rId95" Type="http://schemas.openxmlformats.org/officeDocument/2006/relationships/hyperlink" Target="http://data.aade.gr/eli/pri/law/2007/06/28/3583" TargetMode="External" /><Relationship Id="rId96" Type="http://schemas.openxmlformats.org/officeDocument/2006/relationships/hyperlink" Target="http://data.aade.gr/eli/pri/law/2008/01/29/3634" TargetMode="External" /><Relationship Id="rId97" Type="http://schemas.openxmlformats.org/officeDocument/2006/relationships/hyperlink" Target="http://data.aade.gr/eli/pri/law/2007/06/28/3583" TargetMode="External" /><Relationship Id="rId98" Type="http://schemas.openxmlformats.org/officeDocument/2006/relationships/hyperlink" Target="http://data.aade.gr/eli/pri/law/2006/08/07/3483" TargetMode="External" /><Relationship Id="rId99" Type="http://schemas.openxmlformats.org/officeDocument/2006/relationships/hyperlink" Target="http://data.aade.gr/eli/pri/law/2018/12/18/4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