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rStyle w:val="Hyperlink"/>
          <w:b/>
          <w:bCs/>
          <w:color w:val="000000"/>
          <w:sz w:val="20"/>
          <w:szCs w:val="20"/>
          <w:u w:val="none" w:color="0000EE"/>
          <w:vertAlign w:val="superscript"/>
          <w:lang w:val="el" w:eastAsia="el"/>
        </w:rPr>
        <w:footnoteReference w:id="14"/>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40.000.000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
      </w:r>
      <w:r>
        <w:rPr>
          <w:rStyle w:val="Hyperlink"/>
          <w:b/>
          <w:bCs/>
          <w:color w:val="000000"/>
          <w:sz w:val="20"/>
          <w:szCs w:val="20"/>
          <w:u w:val="none" w:color="0000EE"/>
          <w:vertAlign w:val="superscript"/>
          <w:lang w:val="el" w:eastAsia="el"/>
        </w:rPr>
        <w:footnoteReference w:id="20"/>
      </w:r>
      <w:r>
        <w:rPr>
          <w:b/>
          <w:bCs/>
          <w:lang w:val="el" w:eastAsia="el"/>
        </w:rPr>
        <w:t>Ειδικά για τις αποθήκες τελωνειακής αποταμίευσης, στις οποίες κατέχονται ενεργειακά προϊόντα της παρ. 1 του άρθρου 73, εγκαθίστανται ολοκληρωμένα συστήματα παρακολούθησης και ηλεκτρονικής αποστολής δεδομένων εισροών-εκροών. Με κοινές αποφάσεις του Υπουργού Οικονομικών, του Υπουργού Ανάπτυξης και Επενδύσεων, του Υπουργού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αποθήκες αποταμίευσης ενεργειακών προϊόντων του παρόντος, καθώς και κάθε άλλο σχετικό θέμα.</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
      </w:r>
      <w:r>
        <w:rPr>
          <w:rStyle w:val="Hyperlink"/>
          <w:b/>
          <w:bCs/>
          <w:color w:val="000000"/>
          <w:sz w:val="20"/>
          <w:szCs w:val="20"/>
          <w:u w:val="none" w:color="0000EE"/>
          <w:vertAlign w:val="superscript"/>
          <w:lang w:val="el" w:eastAsia="el"/>
        </w:rPr>
        <w:footnoteReference w:id="23"/>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8"/>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30"/>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rStyle w:val="Hyperlink"/>
          <w:b/>
          <w:bCs/>
          <w:color w:val="000000"/>
          <w:sz w:val="20"/>
          <w:szCs w:val="20"/>
          <w:u w:val="none" w:color="0000EE"/>
          <w:vertAlign w:val="superscript"/>
          <w:lang w:val="el" w:eastAsia="el"/>
        </w:rPr>
        <w:footnoteReference w:id="33"/>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85437070 ή σε ειδικούς περιέκτες επαναπλήρωσης ή φιαλίδια μίας χρήσης που προορίζονται να ενσωματωθούν σε συσκευές ηλεκτρονικού τσιγάρου, τα οποία κατατάσσονται στους κωδικούς Σ.Ο. 38249956 και 38249957. Οι συσκευές ηλεκτρονικού τσιγάρου του κωδικού Σ.Ο. 85437070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Στα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 1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 β`, τρία (3) ευρώ ανά κιλό καθαρού βάρους που περιέχεται στο τελικό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 δ`,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προϊόντα της περ.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 στ`, εκατόν πενήντα έξι ευρώ και εβδομήντα λεπτά (156,70)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 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4.</w:t>
      </w:r>
      <w:r>
        <w:rPr>
          <w:b/>
          <w:bCs/>
          <w:lang w:val="el" w:eastAsia="el"/>
        </w:rPr>
        <w:t xml:space="preserve"> Τα προϊόντα της παρ. 1 τα οποία παράγονται εγχωρίως ή παραλαμβάνονται από άλλα κράτη - μέλη της Ε.Ε. στο εσωτερικό της Χώρας ή εισάγονται από τρίτη χώρα και έχουν τεθεί σε ελεύθερη κυκλοφορία, δύνανται να τίθενται σε καθεστώς φορολογικής αποθήκης και για το χρονικό διάστημα που παραμένουν στο καθεστώς αυτό τελούν σε αναστολή καταβολής του φόρου κατανάλωσης και του Φ.Π.Α., σύμφωνα με το άρθρο 25 του κώδικα Φ.Π.Α. (ν. 2859/2000, Α` 248).</w:t>
      </w:r>
    </w:p>
    <w:p>
      <w:pPr>
        <w:pStyle w:val="MainText"/>
        <w:spacing w:before="120" w:after="0"/>
        <w:rPr>
          <w:lang w:val="el" w:eastAsia="el"/>
        </w:rPr>
      </w:pPr>
      <w:r>
        <w:rPr>
          <w:b/>
          <w:bCs/>
          <w:lang w:val="el" w:eastAsia="el"/>
        </w:rPr>
        <w:t>5.</w:t>
      </w:r>
      <w:r>
        <w:rPr>
          <w:b/>
          <w:bCs/>
          <w:lang w:val="el" w:eastAsia="el"/>
        </w:rPr>
        <w:t xml:space="preserve"> Το άρθρο 56, αναφορικά με το απαιτητό του φόρου κατά τον χρόνο θέσης σε ανάλωση και το άρθρο 109 αναφορικά με τη διαδικασία και τις διατυπώσεις για τη βεβαίωση και είσπραξη του φόρου εφαρμόζονται κατ` αναλογία και στα προϊόντα του παρόντος άρθρου.</w:t>
      </w:r>
    </w:p>
    <w:p>
      <w:pPr>
        <w:spacing w:before="240" w:after="240"/>
        <w:rPr>
          <w:lang w:val="el" w:eastAsia="el"/>
        </w:rPr>
      </w:pPr>
      <w:r>
        <w:rPr>
          <w:b/>
          <w:bCs/>
          <w:lang w:val="el" w:eastAsia="el"/>
        </w:rPr>
        <w:t>Το άρθρο 65 εφαρμόζεται και για τα υγρά αναπλήρωσης ηλεκτρονικού τσιγάρου, τα προϊόντα καφέ ή με βάση τον καφέ και το μείγμα καπνού για το ηλεκτρικά θερμαινόμενο προϊόν καπνού της παρ. 1, τα οποία τελούν υπό καθεστώς αναστολής. Η καταστροφή των προϊόντων διενεργείται κατόπιν αίτησης του ενδιαφερόμενου προσώπου, από την επιτροπή του άρθρου 37, με την εξαίρεση του ηλεκτρικά θερμαινόμενου προϊόντος καπνού, η καταστροφή του οποίου διενεργείται από την επιτροπή του άρθρου 105.</w:t>
      </w:r>
    </w:p>
    <w:p>
      <w:pPr>
        <w:spacing w:before="240" w:after="240"/>
        <w:rPr>
          <w:lang w:val="el" w:eastAsia="el"/>
        </w:rPr>
      </w:pPr>
      <w:r>
        <w:rPr>
          <w:b/>
          <w:bCs/>
          <w:lang w:val="el" w:eastAsia="el"/>
        </w:rPr>
        <w:t>Τα άρθρα 102, 105, 106 και 108 εφαρμόζονται αναλόγως και για το μείγμα καπνού για ηλεκτρικά θερμαινόμενο προϊόν καπνού της περ. στ` της παρ. 1.</w:t>
      </w:r>
    </w:p>
    <w:p>
      <w:pPr>
        <w:pStyle w:val="MainText"/>
        <w:spacing w:before="120" w:after="0"/>
        <w:rPr>
          <w:lang w:val="el" w:eastAsia="el"/>
        </w:rPr>
      </w:pPr>
      <w:r>
        <w:rPr>
          <w:b/>
          <w:bCs/>
          <w:lang w:val="el" w:eastAsia="el"/>
        </w:rPr>
        <w:t>5α.</w:t>
      </w:r>
      <w:r>
        <w:rPr>
          <w:b/>
          <w:bCs/>
          <w:lang w:val="el" w:eastAsia="el"/>
        </w:rPr>
        <w:t xml:space="preserve"> Τα προϊόντα των περ. α`,β`, δ`, ε` και στ` της παρ. 1, που αποκτά ιδιώτης για δική του χρήση και τα οποία μεταφέρει στη Χώρα αυτοπροσώπως από άλλο κράτος - μέλος της Ε.Ε. ή τρίτη χώρα, απαλλάσσονται από τον φόρο κατανάλωσης. Για να προσδιοριστεί κατά πόσο τα προϊόντα αυτά προορίζονται για ίδια χρήση, λαμβάνονται υπόψη από τις αρμόδιες Αρχές τα εξής τουλάχιστον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 για την οποία, ως αποδεικτικό στοιχείο, ορίΖεται για τα προϊόντα της περ. α` της παρ. 1 το ποσοτικό όριο των είκοσι (20) χιλιοστόλιτρων (ml) υγρών αναπλήρωσης που περιέχονται στα ηλεκτρονικά τσιγάρα, για τα προϊόντα της περ. στ) της παρ. 1 το ποσοτικό όριο των δεκατριών (13) γραμμαρίων μείγματος καπνού που περιέχεται στο ηλεκτρικά θερμαινόμενο προϊόν καπνού και για τα προϊόντα καφέ των περ. β`, δ` και ε` της παρ. 1 το ποσοτικό όριο των τριών (3) κιλών.</w:t>
      </w:r>
    </w:p>
    <w:p>
      <w:pPr>
        <w:pStyle w:val="MainText"/>
        <w:spacing w:before="120" w:after="0"/>
        <w:rPr>
          <w:lang w:val="el" w:eastAsia="el"/>
        </w:rPr>
      </w:pPr>
      <w:r>
        <w:rPr>
          <w:b/>
          <w:bCs/>
          <w:lang w:val="el" w:eastAsia="el"/>
        </w:rPr>
        <w:t>6.</w:t>
      </w:r>
      <w:r>
        <w:rPr>
          <w:b/>
          <w:bCs/>
          <w:lang w:val="el" w:eastAsia="el"/>
        </w:rPr>
        <w:t xml:space="preserve"> Η υποχρέωση καταβολής του φόρου κατανάλωσης που επιβάλλεται στα προϊόντα της παρ. 1, στην περίπτωση παραλαβής των προϊόντων αυτών από άλλα κράτη - μέλη της Ε.Ε. γεννάται κατά την παραλαβή τους στο εσωτερικό της χώρας.</w:t>
      </w:r>
    </w:p>
    <w:p>
      <w:pPr>
        <w:pStyle w:val="MainText"/>
        <w:spacing w:before="120" w:after="0"/>
        <w:rPr>
          <w:lang w:val="el" w:eastAsia="el"/>
        </w:rPr>
      </w:pPr>
      <w:r>
        <w:rPr>
          <w:b/>
          <w:bCs/>
          <w:lang w:val="el" w:eastAsia="el"/>
        </w:rPr>
        <w:t>7.</w:t>
      </w:r>
      <w:r>
        <w:rPr>
          <w:b/>
          <w:bCs/>
          <w:lang w:val="el" w:eastAsia="el"/>
        </w:rPr>
        <w:t xml:space="preserve"> Υπόχρεος για την καταβολή του φόρου είναι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 πρόσωπο που εισάγει από τρίτη χώρα τα ανωτέρω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αποκτά από άλλο κράτος - μέλος της Ε.Ε. τα ανωτέρω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παράγει εγχωρίως τα ανωτέρω προϊόντα,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ο εγκεκριμένος αποθηκευτής των προϊόντων αυτών, ε) ειδικά για τα προϊόντα καφέ των περ. β`, γ` δ` και ε` της παρ. 1, κάθε πρόσωπο το οποίο έχει εγκριθεί ως δικαιούχος υποβολής αίτησης επιστροφής φόρου κατανάλωσης, και αποκτά τα προϊόντα αυτά από εγκεκριμένο αποθηκευτή- πωλητή, το οποίο δύναται να καταβάλει με την υποβολή του προβλεπόμενου τελωνειακού παραστατικού τον φόρο κατανάλωσης που αναλογεί στα αποκτώμενα προϊόντα κατά τη θέση τους σε ανάλωση.</w:t>
      </w:r>
    </w:p>
    <w:p>
      <w:pPr>
        <w:pStyle w:val="MainText"/>
        <w:spacing w:before="120" w:after="0"/>
        <w:rPr>
          <w:lang w:val="el" w:eastAsia="el"/>
        </w:rPr>
      </w:pPr>
      <w:r>
        <w:rPr>
          <w:b/>
          <w:bCs/>
          <w:lang w:val="el" w:eastAsia="el"/>
        </w:rPr>
        <w:t>8.</w:t>
      </w:r>
      <w:r>
        <w:rPr>
          <w:b/>
          <w:bCs/>
          <w:lang w:val="el" w:eastAsia="el"/>
        </w:rPr>
        <w:t xml:space="preserve"> Η βεβαίωση και είσπραξη του φόρου κατανάλωσης που επιβάλλεται στα προϊόντα της παρ. 1 ενεργείται από την αρμόδια Αρχή,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Ως προς την εισαγωγή, κατά την ίδια χρονική στιγμή που βεβαιώνονται και εισπράττονται οι λοιπές δασμοφορολογικές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Ως προς την απόκτηση από άλλο κράτος - μέλος, το αργότερο εντός δέκα (10) ημερών από τη γένεση της υποχρέωσης, εκτός εάν τα προϊόντα τεθούν άμεσα σε καθεστώς φορολογικής αποθήκης της παρ. 4.</w:t>
      </w:r>
    </w:p>
    <w:p>
      <w:pPr>
        <w:pStyle w:val="StructureList1"/>
        <w:spacing w:before="120" w:after="0"/>
        <w:rPr>
          <w:lang w:val="el" w:eastAsia="el"/>
        </w:rPr>
      </w:pPr>
      <w:r>
        <w:rPr>
          <w:b/>
          <w:bCs/>
          <w:lang w:val="el" w:eastAsia="el"/>
        </w:rPr>
        <w:t>γ)</w:t>
      </w:r>
      <w:r>
        <w:rPr>
          <w:b/>
          <w:bCs/>
          <w:lang w:val="en" w:eastAsia="en"/>
        </w:rPr>
        <w:tab/>
      </w:r>
      <w:r>
        <w:rPr>
          <w:b/>
          <w:bCs/>
          <w:lang w:val="el" w:eastAsia="el"/>
        </w:rPr>
        <w:t>Ως προς την εγχώρια παραγωγή των προϊόντων αυτών, εκτός καθεστώτος αναστολής, το αργότερο εντός δέκα (10) ημερών από τη γένεση της υποχρέωσης.</w:t>
      </w:r>
    </w:p>
    <w:p>
      <w:pPr>
        <w:pStyle w:val="StructureList1"/>
        <w:spacing w:before="120" w:after="0"/>
        <w:rPr>
          <w:lang w:val="el" w:eastAsia="el"/>
        </w:rPr>
      </w:pPr>
      <w:r>
        <w:rPr>
          <w:b/>
          <w:bCs/>
          <w:lang w:val="el" w:eastAsia="el"/>
        </w:rPr>
        <w:t>δ)</w:t>
      </w:r>
      <w:r>
        <w:rPr>
          <w:b/>
          <w:bCs/>
          <w:lang w:val="en" w:eastAsia="en"/>
        </w:rPr>
        <w:tab/>
      </w:r>
      <w:r>
        <w:rPr>
          <w:b/>
          <w:bCs/>
          <w:lang w:val="el" w:eastAsia="el"/>
        </w:rPr>
        <w:t>Ως προς την έξοδο από τη φορολογική αποθήκη, ήτοι από το καθεστώς αναστολής των φορολογικών επιβαρύνσεων, το αργότερο μέχρι τις 25 του επόμενου μήνα από τον μήνα εξόδου από το καθεστώς αναστολής με την επιφύλαξη των επομένων εδαφίων. Για τα προϊόντα καφέ των περ. β`, γ`, δ` και ε` της παρ. 1, η οποία πραγματοποιείται από τα υπόχρεα πρόσωπα της περ. ε` της παρ. 7, η βεβαίωση και είσπραξη του φόρου κατανάλωσης ενεργείται κατά τον χρόνο θέσης σε ανάλωση των προϊόντων στο εσωτερικό της Χώρας με Δήλωση Ειδικού Φόρου Κατανάλωσης και λοιπών φορολογιών (ΔΕΦΚ), που υποβάλλεται από τα πρόσωπα αυτά. Για το μείγμα καπνού που περιέχεται στο ηλεκτρικά θερμαινόμενο προϊόν καπνού εφαρμόζονται αναλόγως τα άρθρα 104 και 111.</w:t>
      </w:r>
    </w:p>
    <w:p>
      <w:pPr>
        <w:pStyle w:val="MainText"/>
        <w:spacing w:before="120" w:after="0"/>
        <w:rPr>
          <w:lang w:val="el" w:eastAsia="el"/>
        </w:rPr>
      </w:pPr>
      <w:r>
        <w:rPr>
          <w:b/>
          <w:bCs/>
          <w:lang w:val="el" w:eastAsia="el"/>
        </w:rPr>
        <w:t>9.</w:t>
      </w:r>
      <w:r>
        <w:rPr>
          <w:b/>
          <w:bCs/>
          <w:lang w:val="el" w:eastAsia="el"/>
        </w:rPr>
        <w:t xml:space="preserve"> Με τον φόρο κατανάλωσης των ανωτέρω προϊόντων βεβαιώνεται και εισπράττεται, κατά την ίδια χρονική στιγμή, ο αναλογών Φ.Π.Α. Κατ` εξαίρεση, ο αναλογών Φ.Π.Α. των προϊόντων καφέ των περ. β), γ), δ) και ε) της παρ. 1, βεβαιώνεται και εισπράττεται με δήλωση που υποβάλλεται από τον εγκεκριμένο αποθηκευτή-πωλητή, το αργότερο μέχρι τις 25 του επόμενου μήνα από τον μήνα εξόδου από το καθεστώς αναστολής, σε περίπτωση που ο φόρος κατανάλωσης βεβαιώνεται και εισπράττεται σύμφωνα με τα οριζόμενα στο δεύτερο εδάφιο της περ. δ` της παρ. 8.</w:t>
      </w:r>
    </w:p>
    <w:p>
      <w:pPr>
        <w:spacing w:before="240" w:after="240"/>
        <w:rPr>
          <w:lang w:val="el" w:eastAsia="el"/>
        </w:rPr>
      </w:pPr>
      <w:r>
        <w:rPr>
          <w:b/>
          <w:bCs/>
          <w:lang w:val="el" w:eastAsia="el"/>
        </w:rPr>
        <w:t>Η φορολογητέα αξία διαμορφώνεται με βάση τα άρθρα 19 και 20 του ν. 2859/2000 (Α` 248).</w:t>
      </w:r>
    </w:p>
    <w:p>
      <w:pPr>
        <w:spacing w:before="240" w:after="240"/>
        <w:rPr>
          <w:lang w:val="el" w:eastAsia="el"/>
        </w:rPr>
      </w:pPr>
      <w:r>
        <w:rPr>
          <w:b/>
          <w:bCs/>
          <w:lang w:val="el" w:eastAsia="el"/>
        </w:rPr>
        <w:t>Οι εγκεκριμένοι αποθηκευτές των προϊόντων του παρόντος ασκούν το δικαίωμα έκπτωσης του ΦΠΑ των εισροών τους με την υποβολή του προβλεπόμενου παραστατικού στην αρμόδια τελωνειακή αρχή.</w:t>
      </w:r>
    </w:p>
    <w:p>
      <w:pPr>
        <w:pStyle w:val="MainText"/>
        <w:spacing w:before="120" w:after="0"/>
        <w:rPr>
          <w:lang w:val="el" w:eastAsia="el"/>
        </w:rPr>
      </w:pPr>
      <w:r>
        <w:rPr>
          <w:b/>
          <w:bCs/>
          <w:lang w:val="el" w:eastAsia="el"/>
        </w:rPr>
        <w:t>9α.</w:t>
      </w:r>
      <w:r>
        <w:rPr>
          <w:b/>
          <w:bCs/>
          <w:lang w:val="el" w:eastAsia="el"/>
        </w:rPr>
        <w:t xml:space="preserve"> Επιστρέφεται το ποσό του φόρου κατανάλωσης που έχει εισπραχθεί κατά τα οριζόμενα στην παρ. 8, για τα εισαγόμενα από τρίτες χώρες, προερχόμενα από άλλα κράτη - μέλη της Ευρωπαϊκής Ένωσης (ΕΕ), εγχωρίως παραγόμενα και για τα εξερχόμενα από φορολογική αποθήκη προϊόντα καφέ των περ. β`, γ`, δ` και ε` της παρ. 1, τα οποία, μετά τη θέση τους σε ανάλωση, αυτούσια ή κατόπιν επεξεργασίας τους, συμπεριλαμβανομένων και των συνήθων εργασιών που δεν μεταβάλλουν τη Δασμολογική τους Κλάση, εξάγονται σε τρίτες χώρες ή αποστέλλονται σε άλλα κράτη - μέλη της Ε.Ε. Δικαιούχοι επιστροφής του φόρου κατανάλωσης είναι τα πρόσωπα της παρ.</w:t>
      </w:r>
    </w:p>
    <w:p>
      <w:pPr>
        <w:spacing w:before="240" w:after="240"/>
        <w:rPr>
          <w:lang w:val="el" w:eastAsia="el"/>
        </w:rPr>
      </w:pPr>
      <w:r>
        <w:rPr>
          <w:b/>
          <w:bCs/>
          <w:lang w:val="el" w:eastAsia="el"/>
        </w:rPr>
        <w:t>7, κατά περίπτωση, τα οποία διενεργούν την εξαγωγή ή την παράδοσή τους σε άλλο κράτος - μέλος και τα οποία έχουν εγκριθεί για την υποβολή αίτησης επιστροφής του φόρου κατανάλωσης.</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όροι και οι προϋποθέσεις για τη χορήγηση άδειας φορολογικής αποθήκης και εγκεκριμένου αποθηκευτή των ανωτέρω προϊόντων, οι διαδικασίες επιβολής του Φόρου Κατανάλωσης, η παρακολούθηση και ο έλεγχος των προϊόντων του παρόντος άρθρου, καθώς και οι λοιπές λεπτομέρειες εφαρμογής των διατάξεων των προηγουμένων παραγράφων. Με όμοια απόφαση καθορίζονται οι όροι, οι προϋποθέσεις και η διαδικασία για την επιστροφή του φόρου κατανάλωσης της παρ. 9.</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6"/>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w:t>
      </w:r>
    </w:p>
    <w:p>
      <w:pPr>
        <w:spacing w:before="240" w:after="240"/>
        <w:rPr>
          <w:lang w:val="el" w:eastAsia="el"/>
        </w:rPr>
      </w:pPr>
      <w:r>
        <w:rPr>
          <w:b/>
          <w:bCs/>
          <w:lang w:val="el" w:eastAsia="el"/>
        </w:rPr>
        <w:t>αα. ο Προμηθευτής φυσικού αερίου, κατά την έννοια της περίπτωσης κβ΄ της παρ. 2 του άρθρου 2 του ν. 4001/ 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περίπτωσης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rStyle w:val="Hyperlink"/>
          <w:b/>
          <w:bCs/>
          <w:color w:val="000000"/>
          <w:sz w:val="20"/>
          <w:szCs w:val="20"/>
          <w:u w:val="none" w:color="0000EE"/>
          <w:vertAlign w:val="superscript"/>
          <w:lang w:val="el" w:eastAsia="el"/>
        </w:rPr>
        <w:footnoteReference w:id="38"/>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40"/>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42"/>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r>
        <w:rPr>
          <w:rStyle w:val="Hyperlink"/>
          <w:b/>
          <w:bCs/>
          <w:color w:val="000000"/>
          <w:sz w:val="20"/>
          <w:szCs w:val="20"/>
          <w:u w:val="none" w:color="0000EE"/>
          <w:vertAlign w:val="superscript"/>
          <w:lang w:val="el" w:eastAsia="el"/>
        </w:rPr>
        <w:footnoteReference w:id="46"/>
      </w:r>
      <w:r>
        <w:rPr>
          <w:b/>
          <w:bCs/>
          <w:lang w:val="el" w:eastAsia="el"/>
        </w:rPr>
        <w:t>Οι τελωνειακές αρχές ασκούν εποπτεία και έλεγχο κατά τρόπο διαρκή ή περιοδικό στις φορολογικές αποθήκες, σύμφωνα με την απόφαση της παρ. 2.</w:t>
      </w:r>
    </w:p>
    <w:p>
      <w:pPr>
        <w:spacing w:before="240" w:after="240"/>
        <w:rPr>
          <w:lang w:val="el" w:eastAsia="el"/>
        </w:rPr>
      </w:pPr>
      <w:r>
        <w:rPr>
          <w:b/>
          <w:bCs/>
          <w:lang w:val="el" w:eastAsia="el"/>
        </w:rPr>
        <w:t>Για τα βιομηχανοποιημένα καπνά οι όροι και προϋποθέσεις για την εποπτεία και τον έλεγχο των φορολογικών αποθηκών με διαρκή παρουσία υπαλλήλων των αρμόδιων τελωνειακών αρχών καθορίζονται με απόφαση του Υπουργού Οικονομικών. Για τις φορολογικές αποθήκες ενεργειακών προϊόντων της παρ. 1 του άρθρου 73 εγκαθίστανται ολοκληρωμένα συστήματα παρακολούθησης και ηλεκτρονικής αποστολής δεδομένων εισροών-εκροών.</w:t>
      </w:r>
    </w:p>
    <w:p>
      <w:pPr>
        <w:spacing w:before="240" w:after="240"/>
        <w:rPr>
          <w:lang w:val="el" w:eastAsia="el"/>
        </w:rPr>
      </w:pPr>
      <w:r>
        <w:rPr>
          <w:b/>
          <w:bCs/>
          <w:lang w:val="el" w:eastAsia="el"/>
        </w:rPr>
        <w:t>Με κοινές αποφάσεις των Υπουργών Οικονομικών, Ανάπτυξης και Επενδύσεων,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φορολογικές αποθήκες ενεργειακών προϊόντων του παρόντος, καθώς και κάθε άλλο σχετικό θέμα.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7"/>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8"/>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9"/>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1"/>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2"/>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3"/>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6"/>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5"/>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6"/>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7"/>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87"/>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88"/>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1"/>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93"/>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4"/>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96"/>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97"/>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43, 2710 19 46 και 2710 20 11, 2710 20 15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43, 2710 19 46 και 2710 20 11, 2710 20 15, καθώς και το φωτιστικό πετρέλαιο (κηροζίνη), το ελαφρύ πετρέλαιο (WHITE SPIRIT) και τα άλλα ελαφρά λάδια των περιπτώσεων ιβ΄, κδ΄ και κε΄, αντιστοίχως,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100"/>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03"/>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rStyle w:val="Hyperlink"/>
          <w:b/>
          <w:bCs/>
          <w:color w:val="000000"/>
          <w:sz w:val="20"/>
          <w:szCs w:val="20"/>
          <w:u w:val="none" w:color="0000EE"/>
          <w:vertAlign w:val="superscript"/>
          <w:lang w:val="el" w:eastAsia="el"/>
        </w:rPr>
        <w:footnoteReference w:id="10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8"/>
        <w:gridCol w:w="1629"/>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και δασικών συνεταιρισμών άρθρου 5 του ν.827/1978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και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109"/>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0"/>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1"/>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2"/>
            </w:r>
            <w:r>
              <w:rPr>
                <w:rStyle w:val="Hyperlink"/>
                <w:b w:val="0"/>
                <w:bCs w:val="0"/>
                <w:i w:val="0"/>
                <w:iCs w:val="0"/>
                <w:smallCaps w:val="0"/>
                <w:color w:val="000000"/>
                <w:sz w:val="20"/>
                <w:szCs w:val="20"/>
                <w:u w:val="none" w:color="0000EE"/>
                <w:vertAlign w:val="superscript"/>
                <w:lang w:val="el" w:eastAsia="el"/>
              </w:rPr>
              <w:footnoteReference w:id="113"/>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4"/>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b/>
          <w:bCs/>
          <w:lang w:val="el" w:eastAsia="el"/>
        </w:rPr>
        <w:t>Για το πετρέλαιο εσωτερικής καύσης (DIESEL) των κωδικών της Σ.Ο. 2710 19 43 και 2710 20 11 της περίπτωσης στ΄ της παραγράφου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17"/>
      </w:r>
      <w:r>
        <w:rPr>
          <w:b/>
          <w:bCs/>
          <w:lang w:val="el" w:eastAsia="el"/>
        </w:rPr>
        <w:t>Σε αλιείς, δικαιούχους απαλλαγής του Ειδικού Φόρου Κατανάλωσης (Ε.Φ.Κ.) καυσίμων σύμφωνα με την περ. β` της παρ. 1, κατοίκους μικρών και απομακρυσμένων νησιών όπου δεν υφίσταται φορολογική αποθήκη καυσίμων ναυτιλίας, παρέχεται δυνατότητα προκαταβολής της επιστροφής του Ε.Φ.Κ. καυσίμων που αναλογεί στις ετήσιες καταναλώσεις καυσίμων κινητήρων για τις ανάγκες τους.</w:t>
      </w:r>
    </w:p>
    <w:p>
      <w:pPr>
        <w:spacing w:before="240" w:after="240"/>
        <w:rPr>
          <w:lang w:val="el" w:eastAsia="el"/>
        </w:rPr>
      </w:pPr>
      <w:r>
        <w:rPr>
          <w:b/>
          <w:bCs/>
          <w:lang w:val="el" w:eastAsia="el"/>
        </w:rPr>
        <w:t>Η δυνατότητα προκαταβολής της δικαιούμενης, σύμφωνα με την περ. β` της παρ. 1, επιστροφής ισχύει και για νομικά πρόσωπα, καθώς και για οποιαδήποτε νομική οντότητα με αντικείμενο την επαγγελματική αλιεία, υπό την προϋπόθεση ότι όλοι οι μέτοχοι ή εταίροι είναι κάτοικοι μικρών και απομακρυσμένων νησιών.</w:t>
      </w:r>
    </w:p>
    <w:p>
      <w:pPr>
        <w:spacing w:before="240" w:after="240"/>
        <w:rPr>
          <w:lang w:val="el" w:eastAsia="el"/>
        </w:rPr>
      </w:pPr>
      <w:r>
        <w:rPr>
          <w:b/>
          <w:bCs/>
          <w:lang w:val="el" w:eastAsia="el"/>
        </w:rPr>
        <w:t>Η προκαταβολή της παρούσας είναι ακατάσχετη και δεν συμψηφίζεται με βεβαιωμένες οφειλές προς τη Φορολογική Διοίκηση και το Δημόσιο εν γένει, τους δήμους, τις περιφέρειες και τα ασφαλιστικά ταμεία.</w:t>
      </w:r>
    </w:p>
    <w:p>
      <w:pPr>
        <w:spacing w:before="240" w:after="240"/>
        <w:rPr>
          <w:lang w:val="el" w:eastAsia="el"/>
        </w:rPr>
      </w:pPr>
      <w:r>
        <w:rPr>
          <w:b/>
          <w:bCs/>
          <w:lang w:val="el" w:eastAsia="el"/>
        </w:rPr>
        <w:t>Με απόφαση του Υπουργού Οικονομικών, η οποία εκδίδεται ύστερα από εισήγηση του Διοικητή της Α.Α.Δ.Ε., καθορίζονται τα νησιά που υπάγονται στη ρύθμιση της παρούσας, τα κριτήρια για τον προσδιορισμό του ύψους της προκαταβολής, καθώς και κάθε άλλο σχετικό θέμα.</w:t>
      </w:r>
    </w:p>
    <w:p>
      <w:pPr>
        <w:pStyle w:val="MainText"/>
        <w:spacing w:before="120" w:after="0"/>
        <w:rPr>
          <w:lang w:val="el" w:eastAsia="el"/>
        </w:rPr>
      </w:pPr>
      <w:r>
        <w:rPr>
          <w:b/>
          <w:bCs/>
          <w:lang w:val="el" w:eastAsia="el"/>
        </w:rPr>
        <w:t>4Β.</w:t>
      </w:r>
      <w:r>
        <w:rPr>
          <w:b/>
          <w:bCs/>
          <w:lang w:val="el" w:eastAsia="el"/>
        </w:rPr>
        <w:t xml:space="preserve"> </w:t>
      </w:r>
      <w:r>
        <w:rPr>
          <w:rStyle w:val="Hyperlink"/>
          <w:b/>
          <w:bCs/>
          <w:color w:val="000000"/>
          <w:sz w:val="20"/>
          <w:szCs w:val="20"/>
          <w:u w:val="none" w:color="0000EE"/>
          <w:vertAlign w:val="superscript"/>
          <w:lang w:val="el" w:eastAsia="el"/>
        </w:rPr>
        <w:footnoteReference w:id="118"/>
      </w:r>
      <w:r>
        <w:rPr>
          <w:b/>
          <w:bCs/>
          <w:lang w:val="el" w:eastAsia="el"/>
        </w:rPr>
        <w:t>α. Για το πετρέλαιο εσωτερικής καύσης (DIESEL) κινητήρων, της περ. στ’ της παρ. 1 του άρθρου 73 του παρόντος, που χρησιμοποιείται αποκλειστικά στη γεωργία καθορίζεται, από την 1η Ιανουαρίου 2022 έως και την 31η Δεκεμβρίου 2022, μηδενικός συντελεστής ειδικού φόρου κατανάλωσης ανά χιλιόλιτρο. Για το διάστημα ισχύος του μηδενικού συντελεστή ειδικού φόρου κατανάλωσης, κατά τη θέση σε ανάλωση του ως άνω προϊόντος, εφαρμόζεται ο συντελεστής ειδικού φόρου κατανάλωσης της περ. στ’ της παρ. 1 του άρθρου 73 και επιστρέφεται, κατά τον χρόνο που καθορίζεται με την κανονιστική πράξη της περ. β’, ποσό ειδικού φόρου κατανάλωσης ίσο με τον ως άνω οριζόμενο συντελεστή σύμφωνα με τους λοιπούς όρους που καθορίζονται στην ίδια πράξη.</w:t>
      </w:r>
    </w:p>
    <w:p>
      <w:pPr>
        <w:spacing w:before="240" w:after="240"/>
        <w:rPr>
          <w:lang w:val="el" w:eastAsia="el"/>
        </w:rPr>
      </w:pPr>
      <w:r>
        <w:rPr>
          <w:b/>
          <w:bCs/>
          <w:lang w:val="el" w:eastAsia="el"/>
        </w:rPr>
        <w:t>β. Με κοινή απόφαση των Υπουργών Οικονομικών, Αγροτικής Ανάπτυξης και Τροφίμων και του Διοικητή της Α.Α.Δ.Ε., καθορίζονται οι όροι, οι προϋποθέσεις και η διαδικασία επιστροφής του ειδικού φόρου κατανάλωσης, ο χρόνος επιστροφής, τα δικαιούχα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spacing w:before="240" w:after="240"/>
        <w:rPr>
          <w:lang w:val="el" w:eastAsia="el"/>
        </w:rPr>
      </w:pP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25"/>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26"/>
      </w:r>
    </w:p>
    <w:p>
      <w:pPr>
        <w:spacing w:before="240" w:after="240"/>
        <w:rPr>
          <w:lang w:val="el" w:eastAsia="el"/>
        </w:rPr>
      </w:pPr>
      <w:r>
        <w:rPr>
          <w:rStyle w:val="Hyperlink"/>
          <w:b/>
          <w:bCs/>
          <w:color w:val="000000"/>
          <w:sz w:val="20"/>
          <w:szCs w:val="20"/>
          <w:u w:val="none" w:color="0000EE"/>
          <w:vertAlign w:val="superscript"/>
          <w:lang w:val="el" w:eastAsia="el"/>
        </w:rPr>
        <w:footnoteReference w:id="127"/>
      </w:r>
      <w:r>
        <w:rPr>
          <w:b/>
          <w:bCs/>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Στο προϊόν απόσταξης, που παράγεται από τους διήμερους μικρούς αποσταγματοποιούς (παραδοσιακό απόσταγμα διημέρων) της παρ. 5 του άρθρου 5 του ν. 2969/2001 (Α’ 281) από πρώτες ύλες παραγωγής των ιδίων, σύμφωνα με όσα ορίζονται στην παρ. Ε’ του άρθρου 7 του ιδίου νόμου, το οποίο δεν δύναται να υπερβαίνει τα πέντε (5) εκατόλιτρα καθαρής (άνυδρης) αλκοόλης κατ’ έτος και των οποίων η παραγωγή δεν δύναται να υπερβαίνει τις οκτώ (8) ημέρες, κατ’ ανώτατο ετήσιο όριο, εφαρμόζεται μειωμένος έως και ογδόντα πέντε τοις εκατό (85%) συντελεστής ειδικού φόρου κατανάλωσης (Ε.Φ.Κ.) αιθυλικής αλκοόλης έναντι του ισχύοντος κανονικού συντελεστή αιθυλικής αλκοόλης.</w:t>
      </w:r>
    </w:p>
    <w:p>
      <w:pPr>
        <w:pStyle w:val="MainText"/>
        <w:spacing w:before="120" w:after="0"/>
        <w:rPr>
          <w:lang w:val="el" w:eastAsia="el"/>
        </w:rPr>
      </w:pPr>
      <w:r>
        <w:rPr>
          <w:b/>
          <w:bCs/>
          <w:lang w:val="el" w:eastAsia="el"/>
        </w:rPr>
        <w:t>2.</w:t>
      </w:r>
      <w:r>
        <w:rPr>
          <w:b/>
          <w:bCs/>
          <w:lang w:val="el" w:eastAsia="el"/>
        </w:rPr>
        <w:t xml:space="preserve"> Ο μειωμένος αυτός συντελεστής καθορίζεται σε τριακόσια εβδομήντα (370) ευρώ ανά εκατόλιτρο άνυδρης αιθυλικής αλκοόλης και εφαρμόζεται εφάπαξ και κατ’ αποκοπή.</w:t>
      </w:r>
    </w:p>
    <w:p>
      <w:pPr>
        <w:pStyle w:val="MainText"/>
        <w:spacing w:before="120" w:after="0"/>
        <w:rPr>
          <w:lang w:val="el" w:eastAsia="el"/>
        </w:rPr>
      </w:pPr>
      <w:r>
        <w:rPr>
          <w:b/>
          <w:bCs/>
          <w:lang w:val="el" w:eastAsia="el"/>
        </w:rPr>
        <w:t>3.</w:t>
      </w:r>
      <w:r>
        <w:rPr>
          <w:b/>
          <w:bCs/>
          <w:lang w:val="el" w:eastAsia="el"/>
        </w:rPr>
        <w:t xml:space="preserve"> Το προϊόν απόσταξης των διήμερων μικρών αποσταγματοποιών δεν επιβαρύνεται με το δικαίωμα υπέρ του Ειδικού Ταμείου Ελέγχου Παραγωγής και Ποιότητας Αλκοόλης - Αλκοολούχων Ποτών της περ. β’ της παρ. 5 του άρθρου 26 του ν. 2127/1993 (Α’ 48).</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που αναλογεί στο προϊόν απόσταξης των διήμερων μικρών αποσταγματοποιών πραγματοποιείται κατά την έκδοση της άδειας απόσταξης της υποπαρ. 3 της παρ. Ε’ του άρθρου 7 του ν. 2969/2001. Κατ’ εξαίρεση της παρ. 5 του άρθρου 109 του παρόντος, κατά τη βεβαίωση και είσπραξη του Ειδικού Φόρου Κατανάλωσης, σύμφωνα με το πρώτο εδάφιο της παρούσας, δεν γεννάται υποχρέωση καταβολής Φ.Π.Α. Με τη διάθεση του προϊόντος απόσταξης στην κατανάλωση, αποδίδεται, σύμφωνα με όσα ειδικότερα ορίζονται στον Κώδικα Φ.Π.Α. (ν. 2859/2000, Α’ 248), ο αναλογών Φ.Π.Α.</w:t>
      </w:r>
    </w:p>
    <w:p>
      <w:pPr>
        <w:pStyle w:val="MainText"/>
        <w:spacing w:before="120" w:after="0"/>
        <w:rPr>
          <w:lang w:val="el" w:eastAsia="el"/>
        </w:rPr>
      </w:pPr>
      <w:r>
        <w:rPr>
          <w:b/>
          <w:bCs/>
          <w:lang w:val="el" w:eastAsia="el"/>
        </w:rPr>
        <w:t>5.</w:t>
      </w:r>
      <w:r>
        <w:rPr>
          <w:b/>
          <w:bCs/>
          <w:lang w:val="el" w:eastAsia="el"/>
        </w:rPr>
        <w:t xml:space="preserve"> Η διάθεση στην κατανάλωση του προϊόντος απόσταξης των διήμερων μικρών αποσταγματοποιών πραγματοποιείται σύμφωνα με την παρ. Ε’ του άρθρου 7 του ν. 2969/2001.</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Ανεξάρτητης Αρχής Δημοσίων Εσόδων (Α.Α.Δ.Ε.), καθορίζονται η διαδικασία βεβαίωσης και είσπραξης του Ειδικού Φόρου Κατανάλωσης, καθώς και κάθε άλλο ειδικότερο θέμα για την εφαρμογή του παρόντος. </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παρόντος απαλλάσσονται του Ειδικού Φόρου Κατανάλωσης (Ε.Φ.Κ.) αιθυλικής αλκοόλης,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διανέμονται με τη μορφή αιθυλικής αλκοόλης, η οποία έχει υποστεί πλήρη μετουσίωση, σύμφωνα με τις ισχύουσες διατάξεις περί 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υποστεί μετουσίωση, σύμφωνα με τις προδιαγραφές της ελληνικής νομοθεσίας ή της νομοθεσίας άλλου κράτους μέλους της Ε.Ε. και χρησιμοποιούνται ως μέρος της διαδικασίας παρασκευής οποιουδήποτε προϊόντος που δεν προορίζεται για ανθρώπινη κατανάλωση, υπό την προϋπόθεση ότι:</w:t>
      </w:r>
    </w:p>
    <w:p>
      <w:pPr>
        <w:pStyle w:val="StructureList1"/>
        <w:spacing w:before="120" w:after="0"/>
        <w:rPr>
          <w:lang w:val="el" w:eastAsia="el"/>
        </w:rPr>
      </w:pPr>
      <w:r>
        <w:rPr>
          <w:b/>
          <w:bCs/>
          <w:lang w:val="el" w:eastAsia="el"/>
        </w:rPr>
        <w:t>βα)</w:t>
      </w:r>
      <w:r>
        <w:rPr>
          <w:b/>
          <w:bCs/>
          <w:lang w:val="en" w:eastAsia="en"/>
        </w:rPr>
        <w:tab/>
      </w:r>
      <w:r>
        <w:rPr>
          <w:b/>
          <w:bCs/>
          <w:lang w:val="el" w:eastAsia="el"/>
        </w:rPr>
        <w:t>έχουν ενσωματωθεί στο προϊόν αυτό ή</w:t>
      </w:r>
    </w:p>
    <w:p>
      <w:pPr>
        <w:pStyle w:val="StructureList1"/>
        <w:spacing w:before="120" w:after="0"/>
        <w:rPr>
          <w:lang w:val="el" w:eastAsia="el"/>
        </w:rPr>
      </w:pPr>
      <w:r>
        <w:rPr>
          <w:b/>
          <w:bCs/>
          <w:lang w:val="el" w:eastAsia="el"/>
        </w:rPr>
        <w:t>ββ)</w:t>
      </w:r>
      <w:r>
        <w:rPr>
          <w:b/>
          <w:bCs/>
          <w:lang w:val="en" w:eastAsia="en"/>
        </w:rPr>
        <w:tab/>
      </w:r>
      <w:r>
        <w:rPr>
          <w:b/>
          <w:bCs/>
          <w:lang w:val="el" w:eastAsia="el"/>
        </w:rPr>
        <w:t>χρησιμοποιούνται για τη συντήρηση και τον καθαρισμό του εξοπλισμού παρασκευής που χρησιμοποιείται για τη συγκεκριμένη διαδικασία παρασκευής.</w:t>
      </w:r>
    </w:p>
    <w:p>
      <w:pPr>
        <w:spacing w:before="240" w:after="240"/>
        <w:rPr>
          <w:lang w:val="el" w:eastAsia="el"/>
        </w:rPr>
      </w:pPr>
      <w:r>
        <w:rPr>
          <w:b/>
          <w:bCs/>
          <w:lang w:val="el" w:eastAsia="el"/>
        </w:rPr>
        <w:t>Με απόφαση του Υπουργού Οικονομικών, η οποία εκδίδεται σύμφωνα με τις ισχύουσες ενωσιακές διατάξεις, κατόπιν εισήγησης του Διοικητή της Α.Α.Δ.Ε., καθορίζονται το είδος και το 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χρησιμοποιούνται για την παραγωγή ξυδιού, σύμφωνα με τον 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χρησιμοποιούνται αυτούσια για την παραγωγή φαρμάκων που προορίζονται για ανθρώπινη και κτηνιατρική χρήση, όπως η παραγωγή και η κυκλοφορία αυτών ορίζονται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τους,</w:t>
      </w:r>
    </w:p>
    <w:p>
      <w:pPr>
        <w:pStyle w:val="StructureList1"/>
        <w:spacing w:before="120" w:after="0"/>
        <w:rPr>
          <w:lang w:val="el" w:eastAsia="el"/>
        </w:rPr>
      </w:pPr>
      <w:r>
        <w:rPr>
          <w:b/>
          <w:bCs/>
          <w:lang w:val="el" w:eastAsia="el"/>
        </w:rPr>
        <w:t>ε)</w:t>
      </w:r>
      <w:r>
        <w:rPr>
          <w:b/>
          <w:bCs/>
          <w:lang w:val="en" w:eastAsia="en"/>
        </w:rPr>
        <w:tab/>
      </w:r>
      <w:r>
        <w:rPr>
          <w:b/>
          <w:bCs/>
          <w:lang w:val="el" w:eastAsia="el"/>
        </w:rPr>
        <w:t>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1,2% vol.,</w:t>
      </w:r>
    </w:p>
    <w:p>
      <w:pPr>
        <w:pStyle w:val="StructureList1"/>
        <w:spacing w:before="120" w:after="0"/>
        <w:rPr>
          <w:lang w:val="el" w:eastAsia="el"/>
        </w:rPr>
      </w:pPr>
      <w:r>
        <w:rPr>
          <w:b/>
          <w:bCs/>
          <w:lang w:val="el" w:eastAsia="el"/>
        </w:rPr>
        <w:t>στ)</w:t>
      </w:r>
      <w:r>
        <w:rPr>
          <w:b/>
          <w:bCs/>
          <w:lang w:val="en" w:eastAsia="en"/>
        </w:rPr>
        <w:tab/>
      </w:r>
      <w:r>
        <w:rPr>
          <w:b/>
          <w:bCs/>
          <w:lang w:val="el" w:eastAsia="el"/>
        </w:rPr>
        <w:t>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χρησιμοποιούνται ως δείγματα για αναλύσεις για τη διεξαγωγή 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χρησιμοποιούνται στα νοσοκομεία, θεραπευτήρια, κλινικές, νοσηλευτικά ιδρύματα δημόσιου ή ιδιωτικού δικαίου, για ιατρικούς σκοπούς,</w:t>
      </w:r>
    </w:p>
    <w:p>
      <w:pPr>
        <w:pStyle w:val="StructureList1"/>
        <w:spacing w:before="120" w:after="0"/>
        <w:rPr>
          <w:lang w:val="el" w:eastAsia="el"/>
        </w:rPr>
      </w:pPr>
      <w:r>
        <w:rPr>
          <w:b/>
          <w:bCs/>
          <w:lang w:val="el" w:eastAsia="el"/>
        </w:rPr>
        <w:t>ι)</w:t>
      </w:r>
      <w:r>
        <w:rPr>
          <w:b/>
          <w:bCs/>
          <w:lang w:val="en" w:eastAsia="en"/>
        </w:rPr>
        <w:tab/>
      </w:r>
      <w:r>
        <w:rPr>
          <w:b/>
          <w:bCs/>
          <w:lang w:val="el" w:eastAsia="el"/>
        </w:rPr>
        <w:t>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pPr>
        <w:pStyle w:val="StructureList1"/>
        <w:spacing w:before="120" w:after="0"/>
        <w:rPr>
          <w:lang w:val="el" w:eastAsia="el"/>
        </w:rPr>
      </w:pPr>
      <w:r>
        <w:rPr>
          <w:b/>
          <w:bCs/>
          <w:lang w:val="el" w:eastAsia="el"/>
        </w:rPr>
        <w:t>ια)</w:t>
      </w:r>
      <w:r>
        <w:rPr>
          <w:b/>
          <w:bCs/>
          <w:lang w:val="en" w:eastAsia="en"/>
        </w:rPr>
        <w:tab/>
      </w:r>
      <w:r>
        <w:rPr>
          <w:b/>
          <w:bCs/>
          <w:lang w:val="el" w:eastAsia="el"/>
        </w:rPr>
        <w:t>χρησιμοποιούνται για την παρασκευή των συμπληρωμάτων διατροφής που ορίζονται από την Οδηγία 2002/46/ΕΚ του Ευρωπαϊκού Κοινοβουλίου και του Συμβουλίου της 10ης Ιουνίου 2002 για την προσέγγιση των νομοθεσιών των κρατών μελών περί των συμπληρωμάτων διατροφής (L 183) και τα οποία περιέχουν αιθυλική αλκοόλη. Η απαλλαγή της παρούσας περίπτωσης χορηγείται υπό την προϋπόθεση ότι η μονάδα συσκευασίας του συμπληρώματος διατροφής που διατίθεται στην κατανάλωση δεν υπερβαίνει το 0,15 του λίτρου και τα συμπληρώματα διατροφής διατίθενται στην αγορά δυνάμει του άρθρου 10 της ίδιας Οδηγίας.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9"/>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 .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0"/>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1"/>
      </w:r>
      <w:r>
        <w:rPr>
          <w:b/>
          <w:bCs/>
          <w:lang w:val="el" w:eastAsia="el"/>
        </w:rPr>
        <w:t>α) Ο Ειδικός Φόρος Κατανάλωσης (Ε.Φ.Κ.) των προϊόντων του άρθρου 86 του παρόντος καθορίζεται με βάση τον αριθμό των εκατόλιτρων της μπύρας και τους βαθμούς PLATO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σκοπούς μέτρησης των βαθμών PLATO κατά όγκο λαμβάνονται υπόψη όλα τα συστατικά της μπύρας, συμπεριλαμβανομένων εκείνων που προστίθενται μετά την ολοκλήρωση της ζύμωσης. Σε περίπτωση που οι βαθμοί PLATO της μπύρας δεν αντιστοιχούν σε ακέραιο αριθμό, για τον υπολογισμό του Ειδικού Φόρου Κατανάλωσης (Ε.Φ.Κ.) το κλασματικό μέρος στρογγυλοποιείται στον πλησιέστερο ακέραιο αριθμό και συγκεκριμένα, εφόσον το κλάσμα είναι μικρότερο του μισού (0,5), στρογγυλοποιείται στον μικρότερο ακέραιο αριθμό, ενώ εάν είναι ίσο ή μεγαλύτερο του μισού (0,5), στρογγυλο-ποιείται στον μεγαλύτερο 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Διοικητή της Ανεξάρτητης Αρχής Δημοσίων Εσόδων (Α.Α.Δ.Ε.) καθορίζεται κάθε ειδικότερο θέμα για την εφαρμογή της παρούσας παραγράφου.</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7"/>
      </w: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rStyle w:val="Hyperlink"/>
          <w:b/>
          <w:bCs/>
          <w:color w:val="000000"/>
          <w:sz w:val="20"/>
          <w:szCs w:val="20"/>
          <w:u w:val="none" w:color="0000EE"/>
          <w:vertAlign w:val="superscript"/>
          <w:lang w:val="el" w:eastAsia="el"/>
        </w:rPr>
        <w:footnoteReference w:id="162"/>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63"/>
      </w:r>
      <w:r>
        <w:rPr>
          <w:rStyle w:val="Hyperlink"/>
          <w:b/>
          <w:bCs/>
          <w:color w:val="000000"/>
          <w:sz w:val="20"/>
          <w:szCs w:val="20"/>
          <w:u w:val="none" w:color="0000EE"/>
          <w:vertAlign w:val="superscript"/>
          <w:lang w:val="el" w:eastAsia="el"/>
        </w:rPr>
        <w:footnoteReference w:id="164"/>
      </w:r>
      <w:r>
        <w:rPr>
          <w:rStyle w:val="Hyperlink"/>
          <w:b/>
          <w:bCs/>
          <w:color w:val="000000"/>
          <w:sz w:val="20"/>
          <w:szCs w:val="20"/>
          <w:u w:val="none" w:color="0000EE"/>
          <w:vertAlign w:val="superscript"/>
          <w:lang w:val="el" w:eastAsia="el"/>
        </w:rPr>
        <w:footnoteReference w:id="165"/>
      </w:r>
      <w:r>
        <w:rPr>
          <w:rStyle w:val="Hyperlink"/>
          <w:b/>
          <w:bCs/>
          <w:color w:val="000000"/>
          <w:sz w:val="20"/>
          <w:szCs w:val="20"/>
          <w:u w:val="none" w:color="0000EE"/>
          <w:vertAlign w:val="superscript"/>
          <w:lang w:val="el" w:eastAsia="el"/>
        </w:rPr>
        <w:footnoteReference w:id="166"/>
      </w:r>
      <w:r>
        <w:rPr>
          <w:rStyle w:val="Hyperlink"/>
          <w:b/>
          <w:bCs/>
          <w:color w:val="000000"/>
          <w:sz w:val="20"/>
          <w:szCs w:val="20"/>
          <w:u w:val="none" w:color="0000EE"/>
          <w:vertAlign w:val="superscript"/>
          <w:lang w:val="el" w:eastAsia="el"/>
        </w:rPr>
        <w:footnoteReference w:id="167"/>
      </w:r>
      <w:r>
        <w:rPr>
          <w:b/>
          <w:bCs/>
          <w:lang w:val="el" w:eastAsia="el"/>
        </w:rPr>
        <w:t>Ο συντελεστής του ειδικού φόρου κατανάλωσης (Ε.Φ.Κ.), που επιβάλλεται στα προϊόντα του άρθρου 88, ορίζεται σε εκατόν δύο (102) ευρώ ανά εκατόλιτρο τελικού προϊόντος, με εξαίρεση τα προϊόντα που ορίζονται στο παράρτημα VII μέρος II του Κανονισμού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922/72, (ΕΟΚ) 234/79, (ΕΚ) 1037/2001 και (ΕΚ) 1234/2007 του Συμβουλίου (L 347)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8"/>
      </w:r>
      <w:r>
        <w:rPr>
          <w:b/>
          <w:bCs/>
          <w:lang w:val="el" w:eastAsia="el"/>
        </w:rPr>
        <w:t>Ο όρος «αφρώδη κρασιά» περιλαμβάνει όλα τα προϊόντα που υπάγονται στους κωδικούς Σ.Ο. 22.04.10, 22.04.21.06, 22.04.21.07, 22.04.21.08, 22.04.21.09, 22.04.29.10 και 22.05, τα 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 συγκρατούνται με σύρματα ή συνδετήρες ή έχουν υπερπίεση τουλάχιστον 3 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των 1,2 % vol. μέχρι και 15 % vol. με την προϋπόθεση ότι η αλκοόλη που περιέχεται στο 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9"/>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0"/>
      </w:r>
      <w:r>
        <w:rPr>
          <w:b/>
          <w:bCs/>
          <w:lang w:val="el" w:eastAsia="el"/>
        </w:rPr>
        <w:t>«Λοιπά αφρώδη ποτά παρασκευαζόμενα με ζύμωση» θεωρούνται όλα τα προϊόντα που υπάγονται στους κωδικούς Σ.Ο. 22.06.00.31 και 22.06.00.39, καθώς και τα προϊόντα που υπάγονται στους κωδικούς Σ.Ο. 22.04.10, 22.04.21.06, 22.04.21.07, 22.04.21.08, 22.04.21.09, 22.04.29.10 και 22.05, τα οποία δεν αναφέρονται στο άρθρο 90 και τα 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 συγκρατούνται με σύρμα ή συνδετήρα ή έχουν υπερπίεση τουλάχιστον 3 bar, η οποία οφείλεται στο διαλυμένο διοξείδιο του άνθρακα,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1,2% vol. μέχρι και 13% vol. ή</w:t>
      </w:r>
    </w:p>
    <w:p>
      <w:pPr>
        <w:pStyle w:val="StructureList1"/>
        <w:spacing w:before="120" w:after="0"/>
        <w:rPr>
          <w:lang w:val="el" w:eastAsia="el"/>
        </w:rPr>
      </w:pPr>
      <w:r>
        <w:rPr>
          <w:b/>
          <w:bCs/>
          <w:lang w:val="el" w:eastAsia="el"/>
        </w:rPr>
        <w:t>γ)</w:t>
      </w:r>
      <w:r>
        <w:rPr>
          <w:b/>
          <w:bCs/>
          <w:lang w:val="en" w:eastAsia="en"/>
        </w:rPr>
        <w:tab/>
      </w:r>
      <w:r>
        <w:rPr>
          <w:b/>
          <w:bCs/>
          <w:lang w:val="el" w:eastAsia="el"/>
        </w:rPr>
        <w:t>έχουν αποκτημένο ογκομετρικό αλκοολικό τίτλο άνω του 13% vol. μέχρι και 15% vol., με την προϋπόθεση ότι η αλκοόλη που περιέχεται στο 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1"/>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2"/>
      </w:r>
      <w:r>
        <w:rPr>
          <w:b/>
          <w:bCs/>
          <w:lang w:val="el" w:eastAsia="el"/>
        </w:rPr>
        <w:t>Άρθρο 93Α</w:t>
      </w:r>
      <w:r>
        <w:rPr>
          <w:b/>
          <w:bCs/>
          <w:lang w:val="el" w:eastAsia="el"/>
        </w:rPr>
        <w:t xml:space="preserve"> </w:t>
      </w:r>
    </w:p>
    <w:p>
      <w:pPr>
        <w:pStyle w:val="Heading6"/>
        <w:spacing w:before="240" w:after="240"/>
        <w:rPr>
          <w:lang w:val="el" w:eastAsia="el"/>
        </w:rPr>
      </w:pPr>
      <w:r>
        <w:rPr>
          <w:b/>
          <w:bCs/>
          <w:lang w:val="el" w:eastAsia="el"/>
        </w:rPr>
        <w:t>Ηλεκτρονικό Μητρώο Επιτηδευματιών Αλκοολούχων Ποτών</w:t>
      </w:r>
    </w:p>
    <w:p>
      <w:pPr>
        <w:pStyle w:val="MainText"/>
        <w:spacing w:before="120" w:after="0"/>
        <w:rPr>
          <w:lang w:val="el" w:eastAsia="el"/>
        </w:rPr>
      </w:pPr>
      <w:r>
        <w:rPr>
          <w:b/>
          <w:bCs/>
          <w:lang w:val="el" w:eastAsia="el"/>
        </w:rPr>
        <w:t>1.</w:t>
      </w:r>
      <w:r>
        <w:rPr>
          <w:b/>
          <w:bCs/>
          <w:lang w:val="el" w:eastAsia="el"/>
        </w:rPr>
        <w:t xml:space="preserve"> Στην Ανεξάρτητη Αρχή Δημοσίων Εσόδων (Α.Α.Δ.Ε.) δημιουργείται ηλεκτρονικό μητρώο επιτηδευματιών, στο οποίο καταχωρίζονται και τηρούνται τα στοιχεία των φυσικών ή νομικών προσώπων, τα οποία στο πλαίσιο της επαγγελματικής τους δραστηριότητας, παράγουν, εισάγουν, παραλαμβάνουν από άλλα κράτη - μέλη της Ε.Ε., μεταποιούν, διαθέτουν ή αποκτούν μέσω χονδρικής πώλησης στο εσωτερικό της Χώρας έτοιμα προς κατανάλωση αλκοολούχα ποτά του άρθρου 79. Η εγγραφή στο μητρώο είναι υποχρεωτική και γίνεται με ευθύνη των ανωτέρω προσώπων, τα οποία υποχρεούνται στην επικαιροποίηση των καταχωρισθέντων στοιχείων, σε κάθε περίπτωση μεταβολής τους. Με την καταχώριση, στο μητρώο αποδίδεται μοναδικός Αριθμός Επιτηδευματία Αλκοολούχων Ποτών. Οι διατάξεις του παρόντος δεν εφαρμόζονται για τα πρόσωπα της παρ. 5 του άρθρου 5 του ν. 2969/2001 (Α` 281).</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επιμέρους κατηγορίες αλκοολούχων ποτών, για τις οποίες όταν ασκείται επιτήδευμα της παρ. 1, είναι υποχρεωτική η εγγραφή στο μητρώο, τα ειδικότερα στοιχεία που καταχωρίζονται σε αυτό, ο χρόνος καταχώρισης, καθώς και κάθε άλλο θέμα σχετικό με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3"/>
      </w:r>
      <w:r>
        <w:rPr>
          <w:b/>
          <w:bCs/>
          <w:lang w:val="el" w:eastAsia="el"/>
        </w:rPr>
        <w:t xml:space="preserve">Άρθρο 93Β </w:t>
      </w:r>
    </w:p>
    <w:p>
      <w:pPr>
        <w:pStyle w:val="Heading6"/>
        <w:spacing w:before="240" w:after="240"/>
        <w:rPr>
          <w:lang w:val="el" w:eastAsia="el"/>
        </w:rPr>
      </w:pPr>
      <w:r>
        <w:rPr>
          <w:b/>
          <w:bCs/>
          <w:lang w:val="el" w:eastAsia="el"/>
        </w:rPr>
        <w:t>Ηλεκτρονικό Σύστημα Ταυτοποίησης Αλκοολούχων Ποτών</w:t>
      </w:r>
    </w:p>
    <w:p>
      <w:pPr>
        <w:pStyle w:val="MainText"/>
        <w:spacing w:before="120" w:after="0"/>
        <w:rPr>
          <w:lang w:val="el" w:eastAsia="el"/>
        </w:rPr>
      </w:pPr>
      <w:r>
        <w:rPr>
          <w:b/>
          <w:bCs/>
          <w:lang w:val="el" w:eastAsia="el"/>
        </w:rPr>
        <w:t>1.</w:t>
      </w:r>
      <w:r>
        <w:rPr>
          <w:b/>
          <w:bCs/>
          <w:lang w:val="el" w:eastAsia="el"/>
        </w:rPr>
        <w:t xml:space="preserve"> Για την παρακολούθηση έτοιμων προς κατανάλωση αλκοολούχων ποτών του άρθρου 79 καθιερώνεται στην Ανεξάρτητη Αρχή Δημοσίων Εσόδων (Α.Α.Δ.Ε.) ηλεκτρονικό σύστημα ταυτοποίησης με βάση την ένδειξη παρτίδας. Στο ανωτέρω σύστημα καταχωρίζονται στοιχεία σχετικά με την παραλαβή, την παραγωγή, τη μεταποίηση και τις χονδρικές πωλήσεις έτοιμων προς κατανάλωση αλκοολούχων προϊόντων τα οποία παράγονται, εισάγονται, παραλαμβάνονται από άλλα κράτη - μέλη της Ε.Ε. ή διακινούνται στο εσωτερικό της Χώρας. Υπόχρεα για την ενημέρωση του Συστήματος Ταυτοποίησης είναι τα πρόσωπα, τα οποία, στο πλαίσιο της επαγγελματικής τους δραστηριότητας, διενεργούν τις πράξεις του προηγούμενου εδαφίου και τα οποία οφείλουν να έχουν λάβει τον μοναδικό Αριθμό Επιτηδευματία Αλκοολούχων Ποτών του άρθρου 93Α.</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συναλλαγές της εφοδιαστικής αλυσίδας, οι επιμέρους κατηγορίες έτοιμων προς κατανάλωση αλκοολούχων ποτών και τα ειδικότερα στοιχεία που καταχωρίζονται υποχρεωτικά στο ηλεκτρονικό μητρώο, ο χρόνος καταχώρισης, καθώς και κάθε άλλο θέμα σχετικό με την εφαρμογή του παρόντος. Με όμοια απόφαση είναι δυνατόν να προβλε-φθεί η ταυτοποίηση μέσω ηλεκτρονικού μητρώου και σε άλλα στάδια της εφοδιαστικής αλυσίδας έτοιμων προς κατανάλωση αλκοολούχων ποτών.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4"/>
      </w:r>
      <w:r>
        <w:rPr>
          <w:b/>
          <w:bCs/>
          <w:lang w:val="el" w:eastAsia="el"/>
        </w:rPr>
        <w:t xml:space="preserve">Άρθρο 93Γ </w:t>
      </w:r>
    </w:p>
    <w:p>
      <w:pPr>
        <w:pStyle w:val="Heading6"/>
        <w:spacing w:before="240" w:after="240"/>
        <w:rPr>
          <w:lang w:val="el" w:eastAsia="el"/>
        </w:rPr>
      </w:pPr>
      <w:r>
        <w:rPr>
          <w:b/>
          <w:bCs/>
          <w:lang w:val="el" w:eastAsia="el"/>
        </w:rPr>
        <w:t>Πιστοποίηση Ανεξάρτητων Μικρών Παραγωγών</w:t>
      </w:r>
    </w:p>
    <w:p>
      <w:pPr>
        <w:pStyle w:val="MainText"/>
        <w:spacing w:before="120" w:after="0"/>
        <w:rPr>
          <w:lang w:val="el" w:eastAsia="el"/>
        </w:rPr>
      </w:pPr>
      <w:r>
        <w:rPr>
          <w:b/>
          <w:bCs/>
          <w:lang w:val="el" w:eastAsia="el"/>
        </w:rPr>
        <w:t>1.</w:t>
      </w:r>
      <w:r>
        <w:rPr>
          <w:b/>
          <w:bCs/>
          <w:lang w:val="el" w:eastAsia="el"/>
        </w:rPr>
        <w:t xml:space="preserve"> Νοούνται ως Ανεξάρτητοι Μικροί Παραγωγοί για τους σκοπούς του παρόντος και στο πλαίσιο της εφαρμογής από τα κράτη μέλη της Ε.Ε. της Οδηγίας 92/83/ ΕΟΚ, οι παραγωγοί των προϊόντων των άρθρων 80, 86, 88, 90 και 92, κατά περίπτωση, υπό τις εξής ειδικότερες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τους παραγωγούς των προϊόντων του άρθρου 80, το «μικρό αποστακτήριο», ήτοι μια επιχείρηση απόσταξης που λειτουργεί ως νομικώς και οικονομικώς ανεξάρτητη από κάθε άλλη επιχείρηση απόσταξης, δεν λειτουργεί με άδεια εκμετάλλευσης και η ετήσια παραγωγή της δεν υπερβαίνει τα δέκα (10) εκατόλιτρα άνυδρης αλκοόλης.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παραγωγούς των προϊόντων του άρθρου 86, τα «ανεξάρτητα μικρά ζυθοποιεία» της παρ. 3 του άρθρου 87.</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παραγωγούς των προϊόντων του άρθρου 88, ο παραγωγός ενδιάμεσων προϊόντων, ο οποίος είναι νομικώς και οικονομικώς ανεξάρτητος από οποιονδήποτε άλλο παραγωγό ενδιάμεσων προϊόντων,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διακόσια πενήντα (250) εκατόλιτρα ετησίως. Όταν δύο (2) ή περισσότεροι μικροί παραγωγοί συνεργάζονται και η συνδυασμένη ετήσια παραγωγή τους δεν υπερβαίνει τα διακόσια πενήντα (250) εκατόλιτρα, οι εν λόγω παραγωγοί μπορούν να θεωρούνται ως ένας και μόνος ανεξάρτητος μικρός παραγωγός.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τους παραγωγούς των προϊόντων του άρθρου 90, ο οινοπαραγωγός που είναι νομικώς και οικονομικώς ανεξάρτητος από οποιονδήποτε άλλον οινοπαραγωγό, χρησιμοποιεί εγκαταστάσεις που βρίσκονται χωριστά από εκείνες οποιουδήποτε άλλου οινοπαραγωγού, δεν λειτουργεί βάσει άδειας εκμετάλλευσης και η παραγωγή του δεν υπερβαίνει τα χίλια (1.000) εκατόλιτρα ή, στην περίπτωση αποστολής προϊόντων στη Δημοκρατία της Μάλτας, τα είκοσι χιλιάδες (20.000) εκατόλιτρα κρασιού ετησίως. Όταν δύο ή περισσότεροι μικροί οινοπαραγωγοί συνεργάζονται και η συνδυασμένη ετήσια παραγωγή τους δεν υπερβαίνει τα χίλια (1.000) ή τις είκοσι χιλιάδες (20.000) εκατόλιτρα, κατά περίπτωση, οι εν λόγω οινοπαραγωγοί μπορούν να θεωρούνται ως ένας και μόνος ανεξάρτητος μικρός οινοπαραγωγός.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τους παραγωγούς των προϊόντων του άρθρου 92, ο παραγωγός παρασκευαζόμενων με ζύμωση ποτών, ο οποίος είναι νομικώς και οικονομικώς ανεξάρτητος από οποιονδήποτε άλλον παραγωγό λοιπών παρασκευαζόμενων με ζύμωση ποτών,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δεκαπέντε χιλιάδες (15.000) εκατόλιτρα, ετησίως. Όταν δύο ή περισσότεροι μικροί παραγωγοί συνεργάζονται και η συνδυασμένη ετήσια παραγωγή τους δεν υπερβαίνει τα δεκαπέντε χιλιάδες (15.000) εκατόλιτρα, οι εν λόγω παραγωγοί μπορούν να θεωρούνται ως ένας και μόνος ανεξάρτητος μικρός παραγωγός.</w:t>
      </w:r>
    </w:p>
    <w:p>
      <w:pPr>
        <w:pStyle w:val="MainText"/>
        <w:spacing w:before="120" w:after="0"/>
        <w:rPr>
          <w:lang w:val="el" w:eastAsia="el"/>
        </w:rPr>
      </w:pPr>
      <w:r>
        <w:rPr>
          <w:b/>
          <w:bCs/>
          <w:lang w:val="el" w:eastAsia="el"/>
        </w:rPr>
        <w:t>2.</w:t>
      </w:r>
      <w:r>
        <w:rPr>
          <w:b/>
          <w:bCs/>
          <w:lang w:val="el" w:eastAsia="el"/>
        </w:rPr>
        <w:t xml:space="preserve"> Οι τελωνειακές αρχές χορηγούν στα ανεξάρτητα μικρά ζυθοποιεία, κατόπιν αιτήματός τους, ετήσιο πιστοποιητικό, με το οποίο επιβεβαιώνονται η συνολική ετήσια παραγωγή των προϊόντων του άρθρου 86, καθώς και η συμμόρφωσή τους με τα κριτήρια της παρ. 3 του άρθρου 87.</w:t>
      </w:r>
    </w:p>
    <w:p>
      <w:pPr>
        <w:pStyle w:val="MainText"/>
        <w:spacing w:before="120" w:after="0"/>
        <w:rPr>
          <w:lang w:val="el" w:eastAsia="el"/>
        </w:rPr>
      </w:pPr>
      <w:r>
        <w:rPr>
          <w:b/>
          <w:bCs/>
          <w:lang w:val="el" w:eastAsia="el"/>
        </w:rPr>
        <w:t>3.</w:t>
      </w:r>
      <w:r>
        <w:rPr>
          <w:b/>
          <w:bCs/>
          <w:lang w:val="el" w:eastAsia="el"/>
        </w:rPr>
        <w:t xml:space="preserve"> Οι αρμόδιες αρχές του Υπουργείου Αγροτικής Ανάπτυξης και Τροφίμων χορηγούν στους ανεξάρτητους μικρούς οινοπαραγωγούς, κατόπιν αιτήματός τους, ετήσιο πιστοποιητικό, με το οποίο βεβαιώνονται η συνολική ετήσια παραγωγή τους προϊόντων του άρθρου 90, καθώς και η συμμόρφωσή τους με τα κριτήρια της περ. δ’ της παρ. 1 και τις ειδικότερες προϋποθέσεις της κοινής απόφασης της περ. β’ της παρ. 5.</w:t>
      </w:r>
    </w:p>
    <w:p>
      <w:pPr>
        <w:pStyle w:val="MainText"/>
        <w:spacing w:before="120" w:after="0"/>
        <w:rPr>
          <w:lang w:val="el" w:eastAsia="el"/>
        </w:rPr>
      </w:pPr>
      <w:r>
        <w:rPr>
          <w:b/>
          <w:bCs/>
          <w:lang w:val="el" w:eastAsia="el"/>
        </w:rPr>
        <w:t>4.</w:t>
      </w:r>
      <w:r>
        <w:rPr>
          <w:b/>
          <w:bCs/>
          <w:lang w:val="el" w:eastAsia="el"/>
        </w:rPr>
        <w:t xml:space="preserve"> Οι Ανεξάρτητοι Μικροί Παραγωγοί των προϊόντων των άρθρων 80, 88 και 92 μπορούν να πιστοποιούν οι ίδιοι τη συνολική ετήσια παραγωγή τους, καθώς και τη συμμόρφωσή τους με τα κατά περίπτωση κριτήρια των περ. α’, γ’ και ε’ της παρ. 1 για τον χαρακτηρισμό τους ως ανεξάρτητών μικρών παραγωγών.</w:t>
      </w:r>
    </w:p>
    <w:p>
      <w:pPr>
        <w:pStyle w:val="MainText"/>
        <w:spacing w:before="120" w:after="0"/>
        <w:rPr>
          <w:lang w:val="el" w:eastAsia="el"/>
        </w:rPr>
      </w:pPr>
      <w:r>
        <w:rPr>
          <w:b/>
          <w:bCs/>
          <w:lang w:val="el" w:eastAsia="el"/>
        </w:rPr>
        <w:t>5.</w:t>
      </w:r>
      <w:r>
        <w:rPr>
          <w:b/>
          <w:bCs/>
          <w:lang w:val="el" w:eastAsia="el"/>
        </w:rPr>
        <w:t xml:space="preserve"> α. Με απόφαση του Υπουργού Οικονομικών κατόπιν εισήγησης του Διοικητή της Ανεξάρτητης Αρχής Δημοσίων Εσόδων (Α.Α.Δ.Ε.) καθορίζονται οι ειδικότερες προϋποθέσεις και διαδικασίες για την πιστοποίηση των παρ. 2 και 4, οι σχετικές κυρώσεις σε περίπτωση μη τήρησης αυτών και κάθε ειδικότερο θέμα για την εφαρμογή του παρόντος.</w:t>
      </w:r>
    </w:p>
    <w:p>
      <w:pPr>
        <w:spacing w:before="240" w:after="240"/>
        <w:rPr>
          <w:lang w:val="el" w:eastAsia="el"/>
        </w:rPr>
      </w:pPr>
      <w:r>
        <w:rPr>
          <w:b/>
          <w:bCs/>
          <w:lang w:val="el" w:eastAsia="el"/>
        </w:rPr>
        <w:t>β. Με κοινή απόφαση των Υπουργών Οικονομικών και Αγροτικής Ανάπτυξης και Τροφίμων κατόπιν εισήγησης του Διοικητή της Α.Α.Δ.Ε. καθορίζονται οι αρμόδιες αρχές, οι ειδικότερες προϋποθέσεις, η διαδικασία για την πιστοποίηση της παρ. 3, οι επιβαλλόμενες κυρώσεις και κάθε άλλο σχετικό θέμα.</w:t>
      </w:r>
    </w:p>
    <w:p>
      <w:pPr>
        <w:spacing w:before="240" w:after="240"/>
        <w:rPr>
          <w:lang w:val="el" w:eastAsia="el"/>
        </w:rPr>
      </w:pPr>
      <w:r>
        <w:rPr>
          <w:b/>
          <w:bCs/>
          <w:lang w:val="el" w:eastAsia="el"/>
        </w:rPr>
        <w:t>γ. Με απόφαση του Υπουργού Οικονομικών δύνανται να καθορίζονται οι διαδικασίες ή οι ειδικότερες προϋποθέσεις αναγνώρισης στη Χώρα μας των πιστοποιητικών που εκδίδονται σε άλλα κράτη - μέλη της Ε.Ε. για παραγωγούς των προϊόντων των άρθρων 80, 86, 88, 90 και 92, οι οποίοι είναι εγκατεστημένοι σε αυτά και πληρούν κατά περίπτωση τα κριτήρια της παρ. 1</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5"/>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8"/>
      </w:r>
      <w:r>
        <w:rPr>
          <w:rStyle w:val="Hyperlink"/>
          <w:b/>
          <w:bCs/>
          <w:color w:val="000000"/>
          <w:sz w:val="20"/>
          <w:szCs w:val="20"/>
          <w:u w:val="none" w:color="0000EE"/>
          <w:vertAlign w:val="superscript"/>
          <w:lang w:val="el" w:eastAsia="el"/>
        </w:rPr>
        <w:footnoteReference w:id="179"/>
      </w:r>
      <w:r>
        <w:rPr>
          <w:rStyle w:val="Hyperlink"/>
          <w:b/>
          <w:bCs/>
          <w:color w:val="000000"/>
          <w:sz w:val="20"/>
          <w:szCs w:val="20"/>
          <w:u w:val="none" w:color="0000EE"/>
          <w:vertAlign w:val="superscript"/>
          <w:lang w:val="el" w:eastAsia="el"/>
        </w:rPr>
        <w:footnoteReference w:id="180"/>
      </w:r>
      <w:r>
        <w:rPr>
          <w:rStyle w:val="Hyperlink"/>
          <w:b/>
          <w:bCs/>
          <w:color w:val="000000"/>
          <w:sz w:val="20"/>
          <w:szCs w:val="20"/>
          <w:u w:val="none" w:color="0000EE"/>
          <w:vertAlign w:val="superscript"/>
          <w:lang w:val="el" w:eastAsia="el"/>
        </w:rPr>
        <w:footnoteReference w:id="181"/>
      </w: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r>
        <w:rPr>
          <w:rStyle w:val="Hyperlink"/>
          <w:b/>
          <w:bCs/>
          <w:color w:val="000000"/>
          <w:sz w:val="20"/>
          <w:szCs w:val="20"/>
          <w:u w:val="none" w:color="0000EE"/>
          <w:vertAlign w:val="superscript"/>
          <w:lang w:val="el" w:eastAsia="el"/>
        </w:rPr>
        <w:footnoteReference w:id="184"/>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5"/>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6"/>
      </w:r>
      <w:r>
        <w:rPr>
          <w:b/>
          <w:bCs/>
          <w:lang w:val="el" w:eastAsia="el"/>
        </w:rPr>
        <w:t xml:space="preserve">Άρθρο 98Α </w:t>
      </w:r>
    </w:p>
    <w:p>
      <w:pPr>
        <w:pStyle w:val="Heading6"/>
        <w:spacing w:before="240" w:after="240"/>
        <w:rPr>
          <w:lang w:val="el" w:eastAsia="el"/>
        </w:rPr>
      </w:pPr>
      <w:r>
        <w:rPr>
          <w:b/>
          <w:bCs/>
          <w:lang w:val="el" w:eastAsia="el"/>
        </w:rPr>
        <w:t>Λεπτοκομμένος καπνός και άλλα καπνά προοριζόμενα για κάπνισμα -Φορολογητέα αξία για τον υπολογισμό του Φ.Π.Α.</w:t>
      </w:r>
    </w:p>
    <w:p>
      <w:pPr>
        <w:spacing w:before="240" w:after="240"/>
        <w:rPr>
          <w:lang w:val="el" w:eastAsia="el"/>
        </w:rPr>
      </w:pPr>
      <w:r>
        <w:rPr>
          <w:b/>
          <w:bCs/>
          <w:lang w:val="el" w:eastAsia="el"/>
        </w:rPr>
        <w:t>Στις περιπτώσεις παράδοσης, ενδοκοινοτικής απόκτησης ή εισαγωγής από τρίτες χώρες, προϊόντων λεπτοκομμένου καπνού που προορίζονται για την κατασκευή χειροποίητων (στριφτών) τσιγάρων και άλλων καπνών που προορίζονται για κάπνισμα, όπως αυτά ορίζονται στα άρθρα 94 και 95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αποτελούν αντικείμενο λαθρεμπορίας ή</w:t>
      </w:r>
    </w:p>
    <w:p>
      <w:pPr>
        <w:pStyle w:val="StructureList1"/>
        <w:spacing w:before="120" w:after="0"/>
        <w:rPr>
          <w:lang w:val="el" w:eastAsia="el"/>
        </w:rPr>
      </w:pPr>
      <w:r>
        <w:rPr>
          <w:b/>
          <w:bCs/>
          <w:lang w:val="el" w:eastAsia="el"/>
        </w:rPr>
        <w:t>β)</w:t>
      </w:r>
      <w:r>
        <w:rPr>
          <w:b/>
          <w:bCs/>
          <w:lang w:val="en" w:eastAsia="en"/>
        </w:rPr>
        <w:tab/>
      </w:r>
      <w:r>
        <w:rPr>
          <w:b/>
          <w:bCs/>
          <w:lang w:val="el" w:eastAsia="el"/>
        </w:rPr>
        <w:t>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την παρ. 1 του άρθρου 98 και η οποία δεν μπορεί να είναι μεγαλύτερη των πεντακοσίων (500) γραμμαρίων μικτού βάρους ή</w:t>
      </w:r>
    </w:p>
    <w:p>
      <w:pPr>
        <w:pStyle w:val="StructureList1"/>
        <w:spacing w:before="120" w:after="0"/>
        <w:rPr>
          <w:lang w:val="el" w:eastAsia="el"/>
        </w:rPr>
      </w:pPr>
      <w:r>
        <w:rPr>
          <w:b/>
          <w:bCs/>
          <w:lang w:val="el" w:eastAsia="el"/>
        </w:rPr>
        <w:t>γ)</w:t>
      </w:r>
      <w:r>
        <w:rPr>
          <w:b/>
          <w:bCs/>
          <w:lang w:val="en" w:eastAsia="en"/>
        </w:rPr>
        <w:tab/>
      </w:r>
      <w:r>
        <w:rPr>
          <w:b/>
          <w:bCs/>
          <w:lang w:val="el" w:eastAsia="el"/>
        </w:rPr>
        <w:t>παραλαμβάνονται στο εσωτερικό της χώρας με ταχυδρομικά δέματα, σε ποσότητα μεγαλύτερη από εκείνη που επιτρέπεται ατελώς, εφόσον προβλέπεται από την παρ. 1 του άρθρου 98, και όχι πάνω από πεντακόσια (500) γραμμάρια μικτού βάρους και προορίζονται αποκλειστικά για ατομική χρήση ή</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παράγονται κατόπιν ειδικής παραγγελίας και δεν προορίζονται για εμπορία ή</w:t>
      </w:r>
    </w:p>
    <w:p>
      <w:pPr>
        <w:pStyle w:val="StructureList1"/>
        <w:spacing w:before="120" w:after="0"/>
        <w:rPr>
          <w:lang w:val="el" w:eastAsia="el"/>
        </w:rPr>
      </w:pPr>
      <w:r>
        <w:rPr>
          <w:b/>
          <w:bCs/>
          <w:lang w:val="el" w:eastAsia="el"/>
        </w:rPr>
        <w:t>ε)</w:t>
      </w:r>
      <w:r>
        <w:rPr>
          <w:b/>
          <w:bCs/>
          <w:lang w:val="en" w:eastAsia="en"/>
        </w:rPr>
        <w:tab/>
      </w:r>
      <w:r>
        <w:rPr>
          <w:b/>
          <w:bCs/>
          <w:lang w:val="el" w:eastAsia="el"/>
        </w:rPr>
        <w:t>διατίθενται δωρεάν για σκοπούς έρευνας αγοράς, ο Φ.Π.Α. υπολογίζεται με βάση τη μέση, κατ` έτος, σταθμισμένη τιμή λιανικής πώλησης σύμφωνα με τα στοιχεία φορολογίας του προηγούμενου έτους που είναι γνωστά κατά την 1η Ιανουαρίου κάθε έτους. Ως μέση σταθμισμένη τιμή λιανικής πώλησης νοείται το πηλίκο της συνολικής φορολογητέας αξίας του κατά περίπτωση είδους προς τη συνολική ποσότητα του είδους αυτού σε χιλιόγραμμα καθαρού βάρους που τέθηκε σε ανάλωση το προηγούμενο έτος. Η μέση σταθμισμένη τιμή λιανικής πώλησης κάθε έτους καθορίζεται με απόφαση του Διοικητή της Α.Α.Δ.Ε., η οποία εκδίδεται εντός του Ια-νουαρίου κάθε έτους και εφαρμόζεται για όλο το έτος.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7"/>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8"/>
      </w:r>
      <w:r>
        <w:rPr>
          <w:rStyle w:val="Hyperlink"/>
          <w:b/>
          <w:bCs/>
          <w:color w:val="000000"/>
          <w:sz w:val="20"/>
          <w:szCs w:val="20"/>
          <w:u w:val="none" w:color="0000EE"/>
          <w:vertAlign w:val="superscript"/>
          <w:lang w:val="el" w:eastAsia="el"/>
        </w:rPr>
        <w:footnoteReference w:id="189"/>
      </w:r>
      <w:r>
        <w:rPr>
          <w:b/>
          <w:bCs/>
          <w:lang w:val="el" w:eastAsia="el"/>
        </w:rPr>
        <w:t>Για τη διενέργεια των ακόλουθων δραστηριοτήτων, απαιτείται άδεια, η οποία εκδίδεται από τις Τελωνειακές Περιφέρειες της Α.Α.Δ.Ε., κατόπιν αίτησης του ενδιαφερομένου φυσικού ή νομικού προσώπου:</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αποστολή σε άλλο κράτος - μέλος, την παραλαβή από άλλο κράτος - μέλος, καθώς και για την εισαγωγή, εξαγωγή, μεταποίηση, κατοχή, διαμεσολάβηση και χονδρική εμπορία καπνού και τσιγαρόχαρτου για την παραγωγή βιομηχανοποιημένων καπνών,</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την κατασκευή, αποστολή, παραλαβή, εισαγωγή, εξαγωγή, κατοχή, διαμεσολάβηση και χονδρική εμπορία εξοπλισμού παραγωγής βιομηχανοποιημένων καπνών.</w:t>
      </w:r>
    </w:p>
    <w:p>
      <w:pPr>
        <w:spacing w:before="240" w:after="240"/>
        <w:rPr>
          <w:lang w:val="el" w:eastAsia="el"/>
        </w:rPr>
      </w:pPr>
      <w:r>
        <w:rPr>
          <w:b/>
          <w:bCs/>
          <w:lang w:val="el" w:eastAsia="el"/>
        </w:rPr>
        <w:t>Από την ως άνω υποχρέωση λήψης άδειας εξαιρούνται οι καπνοκαλλιεργητές, καθώς και οι επιχειρήσεις παροχής υπηρεσιών μεταφοράς.</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της παρούσας, την αδειοδότηση δραστηριοτήτων που σχετίζονται με άλλες κρίσιμες πρώτες ύλες για την παραγωγή βιομηχανοποιημένων καπνών,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0"/>
      </w:r>
      <w:r>
        <w:rPr>
          <w:rStyle w:val="Hyperlink"/>
          <w:b/>
          <w:bCs/>
          <w:color w:val="000000"/>
          <w:sz w:val="20"/>
          <w:szCs w:val="20"/>
          <w:u w:val="none" w:color="0000EE"/>
          <w:vertAlign w:val="superscript"/>
          <w:lang w:val="el" w:eastAsia="el"/>
        </w:rPr>
        <w:footnoteReference w:id="191"/>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ως “εφοδιαστική αλυσίδα”, νοείται η αποστολή σε άλλο κράτος - μέλος, παραλαβή από άλλο κράτος - μέλος, εισαγωγή, εξαγωγή, μεταποίηση, διαμεσολάβηση, κατοχή και χονδρική εμπορία καπνού και τσιγαρόχαρτου για την παραγωγή βιομηχανοποιημένων καπνών, η παραγωγή, αποθήκευση, μεταποίηση, αποστολή, παραλαβή, εισαγωγή, εξαγωγή βιομηχανοποιημένων καπνών, η κατασκευή, εισαγωγή, εξαγωγή, αποστολή, παραλαβή, κατοχή, διαμεσολάβηση και χονδρική εμπορία του εξοπλισμού παραγωγής αυτών, καθώς και οι λοιπές δραστηριότητες στο πλαίσιο της εμπορίας καπνού και βιομηχανοποιημένων καπνών, με την εξαίρεση των καπνοκαλλιεργητών, καθώς και των επιχειρήσεων παροχής υπηρεσιών μεταφοράς.</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ICISnet δημιουργείται μητρώο υπό την ονομασία “Ενιαίο Κεντρικό Μητρώο Εφοδιαστικής Αλυσίδας καπνού και βιομηχανοποιημένων καπνών” (Ε.Κ.Μ.Ε.Α.), για την παρακολούθηση της εφοδιαστικής αλυσίδας της παρ. 1.</w:t>
      </w:r>
    </w:p>
    <w:p>
      <w:pPr>
        <w:pStyle w:val="MainText"/>
        <w:spacing w:before="120" w:after="0"/>
        <w:rPr>
          <w:lang w:val="el" w:eastAsia="el"/>
        </w:rPr>
      </w:pPr>
      <w:r>
        <w:rPr>
          <w:b/>
          <w:bCs/>
          <w:lang w:val="el" w:eastAsia="el"/>
        </w:rPr>
        <w:t>3.</w:t>
      </w:r>
      <w:r>
        <w:rPr>
          <w:b/>
          <w:bCs/>
          <w:lang w:val="el" w:eastAsia="el"/>
        </w:rPr>
        <w:t xml:space="preserve"> Στο Ε.Κ.Μ.Ε.Α. καταχωρίζονται, τηρούνται και παρακολουθούνται όλες οι άδειες ή εγκρίσεις, οι οποίες χορηγούνται από τις τελωνειακές αρχές και τις αρχές της παρ. 14 του άρθρου 17 του ν. 3982/2011 (Α` 143) σε φυσικά ή νομικά πρόσωπα και εν γένει σε νομικές οντότητες, τα οποία δραστηριοποιούνται στην εφοδιαστική αλυσίδα καπνού και βιομηχανοποιημένων καπνών, κάθε άλλη δήλωση ή γνωστοποίηση ή κοινοποίηση που υποβάλλεται στις αρχές της παρ. 14 του άρθρου 17 του ν. 3982/2011 αντί της άδειας, σύμφωνα με τις διατάξεις του ίδιου νόμου, του ν. 4302/2014 (Α` 225) και του ν. 4442/2016 (Α` 230), καθώς και οι συμβάσεις μελλοντικής πώλησης ακατέργαστου καπνού του ν. 4015/2011 (Α` 210), οι οποίες κατατίθενται στον ΟΠΕΚΕΠΕ, σύμφωνα με τη υπ` αρ. 238/19130/11-2-2014 κοινή υπουργική απόφαση (Β` 380). Τα πρόσωπα που δραστηριοποιούνται στην εφοδιαστική αλυσίδα καπνού και βιομηχανοποιημένων καπνών, στα οποία δεν χορηγείται άδεια ή έγκριση ή δεν υποχρεούνται σε υποβολή δήλωσης ή γνωστοποίησης ή κοινοποίησης, αντί άδειας, στις αρμόδιες Αρχές, υποβάλλουν δήλωση καταχώρισης στο Ε.Κ.Μ.Ε.Α. Με την καταχώριση στο Ε.Κ.Μ.Ε.Α. των αδειών, εγκρίσεων ή γνωστοποιήσεων, σύμφωνα με το πρώτο εδάφιο και την υποβολή των δηλώσεων σύμφωνα με το δεύτερο εδάφιο, αποδίδεται σε καθένα από τα πρόσωπα που δραστηριοποιούνται στην εφοδιαστική αλυσίδα καπνού και βιομηχανοποιημένων καπνών μοναδικός Αριθμός Μητρώου Διακινητή Καπνικών Προϊόντων (Α.Μ.ΔΙ.ΚΑ.Π.).</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τιμολόγια ή τα παραστατικά στοιχεία διακίνησης των άρθρων 5 και 9 του ν. 4308/2014 (Α` 251).</w:t>
      </w:r>
    </w:p>
    <w:p>
      <w:pPr>
        <w:pStyle w:val="MainText"/>
        <w:spacing w:before="120" w:after="0"/>
        <w:rPr>
          <w:lang w:val="el" w:eastAsia="el"/>
        </w:rPr>
      </w:pPr>
      <w:r>
        <w:rPr>
          <w:b/>
          <w:bCs/>
          <w:lang w:val="el" w:eastAsia="el"/>
        </w:rPr>
        <w:t>5.</w:t>
      </w:r>
      <w:r>
        <w:rPr>
          <w:b/>
          <w:bCs/>
          <w:lang w:val="el" w:eastAsia="el"/>
        </w:rPr>
        <w:t xml:space="preserve"> Το Ε.Κ.Μ.Ε.Α. διαλειτουργεί και διασυνδέεται με το πληροφοριακό σύστημα του μητρώου ιχνηλασιμότητας καπνικών προϊόντων του άρθρου 106Α, κατά τους όρους του άρθρου 84 του ν. 4727/2020 (Α` 184).</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Οικονομικών, Ανάπτυξης και Επενδύσεων, Ψηφιακής Διακυβέρνησης, Αγροτικής Ανάπτυξης και Τροφίμων και του Διοικητή της Α.Α.Δ.Ε. καθορίζονται οι αρμόδιες Αρχές για τη διαχείριση, την ενημέρωση και την παρακολούθηση της ορθής λειτουργίας του Ε.Κ.Μ.Ε.Α., τα ζητήματα της ανταλλαγής πληροφοριών και διασταύρωσης στοιχείων για τον έλεγχο της εφοδιαστικής αλυσίδας καπνού και βιομηχανοποιημένων καπνών, τσιγαρόχαρτου και λοιπών κρίσιμων υλών για την παραγωγή βιομηχανοποιημένων καπνών, τηρουμένων των διατάξεων του Κανονισμού (Ε.Ε.) 2016/679 και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 (Α` 137), καθώς και κάθε άλλο σχετικό θέμα. Με την ίδια απόφαση καθορίζονται και ο τύπος και το περιεχόμενο της ειδικής δήλωσης καταχώρισης στο Ε.Κ.Μ.Ε.Α. της παρ. 3.</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2"/>
      </w:r>
      <w:r>
        <w:rPr>
          <w:rStyle w:val="Hyperlink"/>
          <w:b/>
          <w:bCs/>
          <w:color w:val="000000"/>
          <w:sz w:val="20"/>
          <w:szCs w:val="20"/>
          <w:u w:val="none" w:color="0000EE"/>
          <w:vertAlign w:val="superscript"/>
          <w:lang w:val="el" w:eastAsia="el"/>
        </w:rPr>
        <w:footnoteReference w:id="193"/>
      </w:r>
      <w:r>
        <w:rPr>
          <w:rStyle w:val="Hyperlink"/>
          <w:b/>
          <w:bCs/>
          <w:color w:val="000000"/>
          <w:sz w:val="20"/>
          <w:szCs w:val="20"/>
          <w:u w:val="none" w:color="0000EE"/>
          <w:vertAlign w:val="superscript"/>
          <w:lang w:val="el" w:eastAsia="el"/>
        </w:rPr>
        <w:footnoteReference w:id="194"/>
      </w:r>
      <w:r>
        <w:rPr>
          <w:b/>
          <w:bCs/>
          <w:lang w:val="el" w:eastAsia="el"/>
        </w:rPr>
        <w:t>Άρθρο 100Γ</w:t>
      </w:r>
      <w:r>
        <w:rPr>
          <w:b/>
          <w:bCs/>
          <w:lang w:val="el" w:eastAsia="el"/>
        </w:rPr>
        <w:t xml:space="preserve"> </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βιομηχανοποιημένων καπνών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 - 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 2 υποχρεούνται να αποστέλλουν κάθε εξάμηνο στο Συντονιστικό Επιχειρησιακό Κέντρο (Σ.Ε.Κ.) για την αντιμετώπιση του λαθρεμπορίου προϊόντων Ε.Φ.Κ. &amp; Φ.Κ., που συστήνεται με το άρθρο 6 του ν. 4410/2016 (Α` 141), ηλεκτρονική κατάσταση με τις συναλλαγές των προμηθευτών και πελατών τους, καθώς και να παρέχουν άμεσα πληροφορίες για ασυνήθιστες ή ύποπτες συναλλαγές. Οι ηλεκτρονικές καταστάσεις υποβάλλονται μέχρι την τελευταία εργάσιμη ημέρα του επόμενου μήνα, από τον μήνα κατά τον οποίο συμπληρώνεται ένα εξάμηνο από την ημερομηνία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95"/>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96"/>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7"/>
      </w:r>
      <w:r>
        <w:rPr>
          <w:rStyle w:val="Hyperlink"/>
          <w:b/>
          <w:bCs/>
          <w:color w:val="000000"/>
          <w:sz w:val="20"/>
          <w:szCs w:val="20"/>
          <w:u w:val="none" w:color="0000EE"/>
          <w:vertAlign w:val="superscript"/>
          <w:lang w:val="el" w:eastAsia="el"/>
        </w:rPr>
        <w:footnoteReference w:id="198"/>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99"/>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200"/>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201"/>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2"/>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3"/>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7"/>
      </w:r>
      <w:r>
        <w:rPr>
          <w:rStyle w:val="Hyperlink"/>
          <w:b/>
          <w:bCs/>
          <w:color w:val="000000"/>
          <w:sz w:val="20"/>
          <w:szCs w:val="20"/>
          <w:u w:val="none" w:color="0000EE"/>
          <w:vertAlign w:val="superscript"/>
          <w:lang w:val="el" w:eastAsia="el"/>
        </w:rPr>
        <w:footnoteReference w:id="208"/>
      </w:r>
      <w:r>
        <w:rPr>
          <w:rStyle w:val="Hyperlink"/>
          <w:b/>
          <w:bCs/>
          <w:color w:val="000000"/>
          <w:sz w:val="20"/>
          <w:szCs w:val="20"/>
          <w:u w:val="none" w:color="0000EE"/>
          <w:vertAlign w:val="superscript"/>
          <w:lang w:val="el" w:eastAsia="el"/>
        </w:rPr>
        <w:footnoteReference w:id="209"/>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10"/>
      </w:r>
      <w:r>
        <w:rPr>
          <w:rStyle w:val="Hyperlink"/>
          <w:b/>
          <w:bCs/>
          <w:color w:val="000000"/>
          <w:sz w:val="20"/>
          <w:szCs w:val="20"/>
          <w:u w:val="none" w:color="0000EE"/>
          <w:vertAlign w:val="superscript"/>
          <w:lang w:val="el" w:eastAsia="el"/>
        </w:rPr>
        <w:footnoteReference w:id="211"/>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r>
        <w:rPr>
          <w:rStyle w:val="Hyperlink"/>
          <w:b/>
          <w:bCs/>
          <w:color w:val="000000"/>
          <w:sz w:val="20"/>
          <w:szCs w:val="20"/>
          <w:u w:val="none" w:color="0000EE"/>
          <w:vertAlign w:val="superscript"/>
          <w:lang w:val="el" w:eastAsia="el"/>
        </w:rPr>
        <w:footnoteReference w:id="214"/>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5"/>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16"/>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17"/>
      </w:r>
      <w:r>
        <w:rPr>
          <w:rStyle w:val="Hyperlink"/>
          <w:b/>
          <w:bCs/>
          <w:color w:val="000000"/>
          <w:sz w:val="20"/>
          <w:szCs w:val="20"/>
          <w:u w:val="none" w:color="0000EE"/>
          <w:vertAlign w:val="superscript"/>
          <w:lang w:val="el" w:eastAsia="el"/>
        </w:rPr>
        <w:footnoteReference w:id="218"/>
      </w:r>
      <w:r>
        <w:rPr>
          <w:rStyle w:val="Hyperlink"/>
          <w:b/>
          <w:bCs/>
          <w:color w:val="000000"/>
          <w:sz w:val="20"/>
          <w:szCs w:val="20"/>
          <w:u w:val="none" w:color="0000EE"/>
          <w:vertAlign w:val="superscript"/>
          <w:lang w:val="el" w:eastAsia="el"/>
        </w:rPr>
        <w:footnoteReference w:id="219"/>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0"/>
      </w:r>
      <w:r>
        <w:rPr>
          <w:b/>
          <w:bCs/>
          <w:lang w:val="el" w:eastAsia="el"/>
        </w:rPr>
        <w:t xml:space="preserve">Άρθρο 109Α </w:t>
      </w:r>
    </w:p>
    <w:p>
      <w:pPr>
        <w:pStyle w:val="Heading6"/>
        <w:spacing w:before="240" w:after="240"/>
        <w:rPr>
          <w:lang w:val="el" w:eastAsia="el"/>
        </w:rPr>
      </w:pPr>
      <w:r>
        <w:rPr>
          <w:b/>
          <w:bCs/>
          <w:lang w:val="el" w:eastAsia="el"/>
        </w:rPr>
        <w:t>Πίστωση καταβολής φορολογικών και λοιπών επιβαρύνσεων ενεργειακών προϊόντων</w:t>
      </w:r>
    </w:p>
    <w:p>
      <w:pPr>
        <w:spacing w:before="240" w:after="240"/>
        <w:rPr>
          <w:lang w:val="el" w:eastAsia="el"/>
        </w:rPr>
      </w:pPr>
      <w:r>
        <w:rPr>
          <w:b/>
          <w:bCs/>
          <w:lang w:val="el" w:eastAsia="el"/>
        </w:rPr>
        <w:t>Κατ` εξαίρεση της παρ. 1 του άρθρου 109 και με την επιφύλαξη των οριζομένων στην παρ. 8 του άρθρου 109, μέχρι και την 20ή Δεκεμβρίου κάθε έτους, παρέχεται πίστωση διάρκειας έως πέντε (5) ημερών, από την ημερομηνία υποβολής της Δήλωσης Ειδικού Φόρου Κατανάλωσης και λοιπών φορολογιών (Δ.Ε.Φ.Κ.), στους εγκεκριμένους αποθηκευτές, της περ. α` του άρθρου 55, για την καταβολή στις τελωνειακές αρχές του Ειδικού Φόρου Κατανάλωσης (Ε.Φ.Κ.), του Φόρου Προστιθέμενης Αξίας (Φ.Π.Α.), και των λοιπών συνεισπραττόμενων επιβαρύνσεων, που αναλογούν στα ενεργειακά προϊόντα των περ. α` έως και ιε` της παρ. 1 του άρθρου 73, τα οποία εξέρχονται από το καθεστώς αναστολής και για τα οποία βεβαιώνονται οι οφειλόμενες φορολογικές επιβαρύνσεις. Για την εφαρμογή του πρώτου εδαφίου, κατατίθεται εγγύηση, είτε χρηματική είτε τραπεζική είτε ασφαλιστήριο συμβόλαιο, για το σύνολο των οφειλό-μενων επιβαρύνσεων. Αν δεν καταβληθεί εμπρόθεσμα το σύνολο της οφειλής, αυτή εισπράττεται με ανάλογη κατάπτωση της εγγύησης υπέρ του Δημοσίου.</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21"/>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2"/>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3"/>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4"/>
      </w:r>
      <w:r>
        <w:rPr>
          <w:b/>
          <w:bCs/>
          <w:lang w:val="el" w:eastAsia="el"/>
        </w:rPr>
        <w:t xml:space="preserve">Άρθρο 112 </w:t>
      </w:r>
    </w:p>
    <w:p>
      <w:pPr>
        <w:pStyle w:val="Heading6"/>
        <w:spacing w:before="240" w:after="240"/>
        <w:rPr>
          <w:lang w:val="el" w:eastAsia="el"/>
        </w:rPr>
      </w:pPr>
      <w:r>
        <w:rPr>
          <w:b/>
          <w:bCs/>
          <w:lang w:val="el" w:eastAsia="el"/>
        </w:rPr>
        <w:t>Α Σφράγιση βυτιοφόρων μεταφοράς υποκείμενων υγρών καυσίμων προς εξαγωγή</w:t>
      </w:r>
    </w:p>
    <w:p>
      <w:pPr>
        <w:pStyle w:val="MainText"/>
        <w:spacing w:before="120" w:after="0"/>
        <w:rPr>
          <w:lang w:val="el" w:eastAsia="el"/>
        </w:rPr>
      </w:pPr>
      <w:r>
        <w:rPr>
          <w:b/>
          <w:bCs/>
          <w:lang w:val="el" w:eastAsia="el"/>
        </w:rPr>
        <w:t>1.</w:t>
      </w:r>
      <w:r>
        <w:rPr>
          <w:b/>
          <w:bCs/>
          <w:lang w:val="el" w:eastAsia="el"/>
        </w:rPr>
        <w:t xml:space="preserve"> Η διακίνηση, υπό καθεστώς αναστολής, των υποκειμένων σε Ειδικό Φόρο Κατανάλωσης ενεργειακών προϊόντων των περ. α) έως ιβ) της παρ. 1 του άρθρου 73, τα οποία προορίζονται για εξαγωγή, μέσω βυτιοφόρων οχημάτων, γίνεται με αποκλειστική ευθύνη των εγκεκριμένων αποθηκευτών του άρθρου 55 και είναι επιτρεπτή, εφόσον συντρέχουν, σωρευτικά,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διαμερίσματα των δεξαμενών των βυτιοφόρων οχημάτων σφραγίζονται, κατά τη φόρτωση, με εταιρικές σφραγίδες, ώστε να διασφαλίζεται το απαραβίαστο των διαμερισμάτων τους, κατά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βυτιοφόρα οχήματα διαθέτουν πιστοποιητικό ογκομέτρησης με τα στοιχεία ογκομέτρησης όλων των διαμερισμάτων των δεξαμενών τους, εκδιδόμενο από αρμόδιους πιστοποιημένους φορείς, καθώς και βέργα μέτρησης στάθμης των δεξαμενών τους συνοδευόμε-νη από το απαιτούμενο πιστοποιητικό διακρίβωσης, σύμφωνα με τα ειδικότερα οριζόμενα στην περ. α` της παρ. 13 του άρθρου 31 του ν. 3784/2009 (Α` 137) και τα άρθρα 30 και 31 του ν. 4608/2019 (Α` 66),</w:t>
      </w:r>
    </w:p>
    <w:p>
      <w:pPr>
        <w:pStyle w:val="StructureList1"/>
        <w:spacing w:before="120" w:after="0"/>
        <w:rPr>
          <w:lang w:val="el" w:eastAsia="el"/>
        </w:rPr>
      </w:pPr>
      <w:r>
        <w:rPr>
          <w:b/>
          <w:bCs/>
          <w:lang w:val="el" w:eastAsia="el"/>
        </w:rPr>
        <w:t>γ)</w:t>
      </w:r>
      <w:r>
        <w:rPr>
          <w:b/>
          <w:bCs/>
          <w:lang w:val="en" w:eastAsia="en"/>
        </w:rPr>
        <w:tab/>
      </w:r>
      <w:r>
        <w:rPr>
          <w:b/>
          <w:bCs/>
          <w:lang w:val="el" w:eastAsia="el"/>
        </w:rPr>
        <w:t>τα βυτιοφόρα οχήματα διαθέτουν πιστοποιητικό καταλληλότητας για τελωνειακή σφράγιση και αριθμό μητρώου «Διακινητή Πετρελαίου Ναυτιλίας και Αφορολογήτων Καυσίμων» (ΔΙ.ΠΕ.Ν.Α.Κ.).</w:t>
      </w:r>
    </w:p>
    <w:p>
      <w:pPr>
        <w:pStyle w:val="MainText"/>
        <w:spacing w:before="120" w:after="0"/>
        <w:rPr>
          <w:lang w:val="el" w:eastAsia="el"/>
        </w:rPr>
      </w:pPr>
      <w:r>
        <w:rPr>
          <w:b/>
          <w:bCs/>
          <w:lang w:val="el" w:eastAsia="el"/>
        </w:rPr>
        <w:t>2.</w:t>
      </w:r>
      <w:r>
        <w:rPr>
          <w:b/>
          <w:bCs/>
          <w:lang w:val="el" w:eastAsia="el"/>
        </w:rPr>
        <w:t xml:space="preserve"> Η μη τήρηση των υποχρεώσεων της παρ. 1 χαρακτηρίζεται ως απλή τελωνειακή παράβαση, σύμφωνα με την παρ. 1 του άρθρου 119Α, και τιμωρείται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παράβαση της περ. α) επιβάλλεται πρόστιμο ποσού πέντε χιλιάδων (5.000) ευρώ ανά διαμέρισμα.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παράβαση της περ. β) επιβάλλεται πρόστιμο ποσού τριών χιλιάδων (3.000) ευρώ ανά βυτιοφόρο.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παράβαση της περ. γ) επιβάλλεται πρόστιμο ποσού τριών χιλιάδων (3.000) ανά βυτιοφόρο. Υπόχρεοι για την καταβολή των προστίμων της παρούσας είναι οι εγκεκριμένοι αποθηκευτές του άρθρου 55, οι οποίοι είναι υπεύθυνοι για τη σφράγιση των βυτιοφόρων σύμφωνα με την παρ. 1.</w:t>
      </w:r>
    </w:p>
    <w:p>
      <w:pPr>
        <w:pStyle w:val="MainText"/>
        <w:spacing w:before="120" w:after="0"/>
        <w:rPr>
          <w:lang w:val="el" w:eastAsia="el"/>
        </w:rPr>
      </w:pPr>
      <w:r>
        <w:rPr>
          <w:b/>
          <w:bCs/>
          <w:lang w:val="el" w:eastAsia="el"/>
        </w:rPr>
        <w:t>3.</w:t>
      </w:r>
      <w:r>
        <w:rPr>
          <w:b/>
          <w:bCs/>
          <w:lang w:val="el" w:eastAsia="el"/>
        </w:rPr>
        <w:t xml:space="preserve"> Με απόφαση του Διοικητή της Α.Α.Δ.Ε. καθορίζονται οι διαδικασίες παρακολούθησης και ελέγχου τήρησης της παρ. 1, τα σημεία σφράγισης, τα χαρακτηριστικά των σφραγίδων, τα συνοδευτικά έγγραφα τα οποία φέρουν υποχρεωτικά τα στοιχεία των σφραγίδων, καθώς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5"/>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6"/>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7"/>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8"/>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29"/>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0"/>
      </w:r>
      <w:r>
        <w:rPr>
          <w:rStyle w:val="Hyperlink"/>
          <w:b/>
          <w:bCs/>
          <w:color w:val="000000"/>
          <w:sz w:val="20"/>
          <w:szCs w:val="20"/>
          <w:u w:val="none" w:color="0000EE"/>
          <w:vertAlign w:val="superscript"/>
          <w:lang w:val="el" w:eastAsia="el"/>
        </w:rPr>
        <w:footnoteReference w:id="231"/>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2"/>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3"/>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34"/>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35"/>
      </w:r>
      <w:r>
        <w:rPr>
          <w:b/>
          <w:bCs/>
          <w:lang w:val="el" w:eastAsia="el"/>
        </w:rPr>
        <w:t>Όταν από εξέταση των Υπηρεσιών της Γενικής Διεύθυνσης του Γενικού Χημείου του Κράτους (Γ.Χ.Κ.) δείγματος καυσίμων που διενεργείται για ελεγχόμενη από τις τελωνειακές υπηρεσίες της Ανεξάρτητης Αρχής Δημοσίων Εσόδων (Α.Α.Δ.Ε.) εγκατάσταση κατόχου άδειας εμπορίας ή λιανικής εμπορίας πετρελαιοειδών προϊόντων των άρθρων 6 και 7 του ν. 3054/2002 (Α` 230), με βάση την έκθεση ανάλυσης του κατ` έφεση δείγματος ή τη σχετική απόφαση του Ανώτατου Χημικού Συμβουλίου, στην περίπτωση που υπάρχει διαφορά μεταξύ της ανάλυσης του πρώτου και του κατ` έφεση δείγματος, προκύπτει ότι ο ελεγχόμενος κάτοχος της άδειας κατέχει, διακινεί και εμπορεύεται νοθευμένα καύσιμα, σφραγίζεται προσωρινά η εγκατάσταση, όπου διαπιστώνεται η παράβαση, για χρονικό διάστημα από δέκα (10) έως ενενήντα (90) ημέρες, ανάλογα με τη σοβαρότητά της.</w:t>
      </w:r>
    </w:p>
    <w:p>
      <w:pPr>
        <w:spacing w:before="240" w:after="240"/>
        <w:rPr>
          <w:lang w:val="el" w:eastAsia="el"/>
        </w:rPr>
      </w:pPr>
      <w:r>
        <w:rPr>
          <w:b/>
          <w:bCs/>
          <w:lang w:val="el" w:eastAsia="el"/>
        </w:rPr>
        <w:t>Το ληφθέν δείγμα καυσίμου αποστέλλεται άμεσα από την ελέγχουσα τελωνειακή υπηρεσία στη χημική υπηρεσία, που θα διενεργήσει την ανάλυση, η οποία οφείλει να ολοκληρώσει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στην περίπτωση που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b/>
          <w:bCs/>
          <w:lang w:val="el" w:eastAsia="el"/>
        </w:rPr>
        <w:t>Όταν συντρέχει λαθρεμπορία, τα μέτρα της παρούσας επιβάλλονται ανεξάρτητα από τις λοιπές ποινικές και διοικητικές κυρώσεις σύμφωνα με όσα ορίζονται στην παρ. 2.</w:t>
      </w:r>
    </w:p>
    <w:p>
      <w:pPr>
        <w:spacing w:before="240" w:after="240"/>
        <w:rPr>
          <w:lang w:val="el" w:eastAsia="el"/>
        </w:rPr>
      </w:pPr>
      <w:r>
        <w:rPr>
          <w:b/>
          <w:bCs/>
          <w:lang w:val="el" w:eastAsia="el"/>
        </w:rPr>
        <w:t>Στην περίπτωση μη κανονικών δειγμάτων, πέραν της επιβολής των μέτρων της παρούσας, ενημερώνεται το Υπουργείο Περιβάλλοντος και Ενέργειας για την τυχόν επιβολή λοιπών κυρώσεων του ν. 3054/2002 για μη τήρηση της ποιότητας και του τύπου των καυσίμων, πλην της κύρωσης της σφράγισης που έχει ήδη επιβληθεί στο πλαίσιο της παρούσας.</w:t>
      </w:r>
    </w:p>
    <w:p>
      <w:pPr>
        <w:spacing w:before="240" w:after="240"/>
        <w:rPr>
          <w:lang w:val="el" w:eastAsia="el"/>
        </w:rPr>
      </w:pPr>
      <w:r>
        <w:rPr>
          <w:b/>
          <w:bCs/>
          <w:lang w:val="el" w:eastAsia="el"/>
        </w:rPr>
        <w:t>Για την εφαρμογή της παρούσας, ως καύσιμα νοούνται τα ενεργειακά προϊόντα της παρ. 1 του άρθρου 73.</w:t>
      </w:r>
    </w:p>
    <w:p>
      <w:pPr>
        <w:spacing w:before="240" w:after="240"/>
        <w:rPr>
          <w:lang w:val="el" w:eastAsia="el"/>
        </w:rPr>
      </w:pPr>
      <w:r>
        <w:rPr>
          <w:b/>
          <w:bCs/>
          <w:lang w:val="el" w:eastAsia="el"/>
        </w:rPr>
        <w:t>Με απόφαση του Διοικητή της Α.Α.Δ.Ε. καθορίζονται η διαδικασία, ο τρόπος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κυρώσεων, καθώς και ο τρόπος, ο χρόνος και το μέσο δημοσιοποίησης,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 137)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6"/>
      </w:r>
      <w:r>
        <w:rPr>
          <w:rStyle w:val="Hyperlink"/>
          <w:b/>
          <w:bCs/>
          <w:color w:val="000000"/>
          <w:sz w:val="20"/>
          <w:szCs w:val="20"/>
          <w:u w:val="none" w:color="0000EE"/>
          <w:vertAlign w:val="superscript"/>
          <w:lang w:val="el" w:eastAsia="el"/>
        </w:rPr>
        <w:footnoteReference w:id="237"/>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Η πρώτη υποβολή του καταλόγου αυτού γίνεται εντός δύο (2) μηνών από την έναρξη ισχύος του παρόντος.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αν η έδρα της επιχείρησης δεν βρίσκεται στην Ελληνική Επικράτεια. Ο κατάλογος αυτός επανυποβάλλεται επικαιροποιημένος από όλους τους ανωτέρω εντός δύο (2) μηνών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 1, η οποία διενεργήθηκε από οποιαδήποτε τελωνειακή αρχή ή από τη Γενική Διεύθυνση του Σώματος Δίωξης Οικονομικού Εγκλήματος (Σ.Δ.Ο.Ε.) του Υπουργείου Οικονομικών ή από τις αστυνομικές ή λιμενικές αρχές, η Α.Α.Δ.Ε., εντός είκοσι (20) εργάσιμων ημερών από την επιβολή της κατάσχεσης, προβαίνει σε γνωστοποίηση της κατάσχεσης στην επιχείρηση, με επιστολή της, που κοινοποιείται ηλεκτρονικά στην επιχείρηση σύμφωνα με το άρθρο 5 του ν. 4174/2013,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στα κιβώτια ή στις παλέτες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w:t>
      </w:r>
    </w:p>
    <w:p>
      <w:pPr>
        <w:spacing w:before="240" w:after="240"/>
        <w:rPr>
          <w:lang w:val="el" w:eastAsia="el"/>
        </w:rPr>
      </w:pPr>
      <w:r>
        <w:rPr>
          <w:b/>
          <w:bCs/>
          <w:lang w:val="el" w:eastAsia="el"/>
        </w:rPr>
        <w:t>Για τους σκοπούς του παρόντος,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Επί της αναφερόμενης στην παρ. 2 κατασχεθείσας ποσότητας, διενεργείται δειγματοληψία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Τελωνειακή Αρχή που προέβη στην κατάσχεση, λαμβάνει, κατά τον χρόνο της κατάσχεσης, τέσσερα (4) όμοια δείγματα βιομηχανοποιημένων καπνών για εργαστηριακή εξέταση, δύο (2) από τα οποία αποστέλλει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β)</w:t>
      </w:r>
      <w:r>
        <w:rPr>
          <w:b/>
          <w:bCs/>
          <w:lang w:val="en" w:eastAsia="en"/>
        </w:rPr>
        <w:tab/>
      </w:r>
      <w:r>
        <w:rPr>
          <w:b/>
          <w:bCs/>
          <w:lang w:val="el" w:eastAsia="el"/>
        </w:rPr>
        <w:t>αν η κατάσχεση διενεργήθηκε από άλλη Υπηρεσία με αρμοδιότητα για τη δίωξη του λαθρεμπορίου, η Υπηρεσία αυτή προβαίνει, κατόπιν υπόδειξης της Τελωνειακής Αρχής στη χωρική αρμοδιότητα της οποίας πραγματοποιήθηκε η κατάσχεση, στην οποία αποστέλλει την έκθεση κατάσχεσης, στη δειγματοληψία σύμφωνα με όσα ορίζονται στην περ. α` και παραδίδει τα δείγματα αυτά στην ίδια Τελωνειακή Αρχή. Αμέσως μετά από την παραλαβή των δειγμάτων η αρμόδια Τελωνειακή Αρχή αποστέλλει τα δύο (2) δείγματα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γ)</w:t>
      </w:r>
      <w:r>
        <w:rPr>
          <w:b/>
          <w:bCs/>
          <w:lang w:val="en" w:eastAsia="en"/>
        </w:rPr>
        <w:tab/>
      </w:r>
      <w:r>
        <w:rPr>
          <w:b/>
          <w:bCs/>
          <w:lang w:val="el" w:eastAsia="el"/>
        </w:rPr>
        <w:t>κατόπιν σχετικού αιτήματος της επιχείρησης καπνικών που υποβάλλεται στην Τελωνειακή Αρχή των περ. α` και β`, εντός δεκαπέντε (15) ημερών από τη γνωστοποίηση της κατάσχεσης στην επιχείρηση, η επιχείρηση καπνικών μπορεί να επιθεωρήσει το σύνολο των κατασχεθέντων προϊόντων.</w:t>
      </w:r>
    </w:p>
    <w:p>
      <w:pPr>
        <w:spacing w:before="240" w:after="240"/>
        <w:rPr>
          <w:lang w:val="el" w:eastAsia="el"/>
        </w:rPr>
      </w:pPr>
      <w:r>
        <w:rPr>
          <w:b/>
          <w:bCs/>
          <w:lang w:val="el" w:eastAsia="el"/>
        </w:rPr>
        <w:t>Με το ίδιο αίτημα μπορεί να ζητηθεί εκ νέου δειγματοληψία της κατασχεθείσας ποσότητας, παρουσία εκπροσώπου της, η οποία διενεργείται από μικτά κλιμάκια που αποτελούνται από υπαλλήλους της Γενικής Διεύθυνσης Τελωνείων και Ειδικών Φόρων Κατανάλωσης και της Γενικής Διεύθυνσης του Γενικού Χημείου του Κράτους της Α.Α.Δ.Ε. και λαμβάνονται τέσσερα (4) όμοια δείγματα, δύο (2) για την επιχείρηση και δύο (2) για εξέταση από την αρμόδια χημική υπηρεσία της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διενέργεια της δειγματοληψίας, σε απάντηση, η οποία αποσκοπεί στην ενημέρωση της Τελωνειακής Αρχής και δεν αποτελεί προϋπόθεση για την επιβολή των πληρωμών. Αν η εταιρεία έχει αιτηθεί τη δειγματοληψία της περ. γ` της παρ. 3, η προθεσμία του προηγούμενου εδαφίου εκκινεί από τη διενέργειά της.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 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 4, 150 παρ. 4 και 152 παρ. 3, 5, 6 και 7 του παρόντος Κώδικα.</w:t>
      </w:r>
    </w:p>
    <w:p>
      <w:pPr>
        <w:spacing w:before="240" w:after="240"/>
        <w:rPr>
          <w:lang w:val="el" w:eastAsia="el"/>
        </w:rPr>
      </w:pPr>
      <w:r>
        <w:rPr>
          <w:b/>
          <w:bCs/>
          <w:lang w:val="el" w:eastAsia="el"/>
        </w:rPr>
        <w:t>Στην ανωτέρω περ. β`, αν πρόκειται για βιομηχανοποιημένα καπνά επιχειρήσεων καπνικών προϊόντων της παρ. 1, που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για την επιβολή της υποχρεωτικής πληρωμής εφαρμόζονται αναλογικά τα οριζόμενα στην παρ. 5Α.</w:t>
      </w:r>
    </w:p>
    <w:p>
      <w:pPr>
        <w:pStyle w:val="MainText"/>
        <w:spacing w:before="120" w:after="0"/>
        <w:rPr>
          <w:lang w:val="el" w:eastAsia="el"/>
        </w:rPr>
      </w:pPr>
      <w:r>
        <w:rPr>
          <w:b/>
          <w:bCs/>
          <w:lang w:val="el" w:eastAsia="el"/>
        </w:rPr>
        <w:t>5.</w:t>
      </w:r>
      <w:r>
        <w:rPr>
          <w:b/>
          <w:bCs/>
          <w:lang w:val="el" w:eastAsia="el"/>
        </w:rPr>
        <w:t xml:space="preserve"> Α. Σε περιπτώσεις επιχειρήσεων καπνικών προϊόντων της παρ. 1, οι οποίες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η υποχρεωτική πληρωμή της παρ. 5 επιβάλλεται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στο πλαίσιο των Συμφωνιών Συνεργασίας έχει καταβληθεί πληρωμή για τη συγκεκριμένη κατάσχεση από την επιχείρηση προς την Ευρωπαϊκή Ένωση και το ποσό της πληρωμής που αναλογεί στην Ελλάδα υπολείπεται του ποσού της πληρωμής που οφείλει να καταβληθεί κατά την παρ. 5, επιβάλλεται το ποσό που προκύπτει κατόπιν αφαίρεσης του ποσού που αναλογεί στην Ελλάδα και έχει καταβληθεί προς την Ευρωπαϊκή Ένωση. Εάν το ποσό της πληρωμής που έχει καταβληθεί προς την Ευρωπαϊκή Ένωση και αναλογεί στην Ελλάδα υπερβαίνει το οφειλόμενο ποσό κατά την παρ. 5, δεν εκ-δίδεται καταλογιστική πράξη σε βάρος της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έκδοση της καταλογιστικής πράξης κατά την παρ. 5 προηγηθεί της καταβολής πληρωμής προς την Ευρωπαϊκή Ένωση, τότε η καταλογιστική πράξη τροποποιείται και το επιβαλλόμενο ποσό πληρωμής μειώνεται κατά το ποσό της πληρωμής προς την Ευρωπαϊκή Ένωση που αναλογεί στην Ελλάδα. Εάν το ποσό αυτό υπερβαίνει το ποσό που επιβλήθηκε δυνάμει της καταλογιστικής πράξης, η καταλογιστική πράξη ανακαλείται.</w:t>
      </w:r>
    </w:p>
    <w:p>
      <w:pPr>
        <w:spacing w:before="240" w:after="240"/>
        <w:rPr>
          <w:lang w:val="el" w:eastAsia="el"/>
        </w:rPr>
      </w:pPr>
      <w:r>
        <w:rPr>
          <w:b/>
          <w:bCs/>
          <w:lang w:val="el" w:eastAsia="el"/>
        </w:rPr>
        <w:t>Στις ανωτέρω περιπτώσεις, η καταβολή της πληρωμής προς την Ευρωπαϊκή Ένωση και το ποσό αυτής που αναλογεί στην Ελλάδα αποδεικνύονται με επίσημο έγγραφο της Ευρωπαϊκής Ένωσης, το οποίο οφείλει να προσκομίσει η επιχείρηση στην αρμόδια Τελωνειακή Αρχή.</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MainText"/>
        <w:spacing w:before="120" w:after="0"/>
        <w:rPr>
          <w:lang w:val="el" w:eastAsia="el"/>
        </w:rPr>
      </w:pPr>
      <w:r>
        <w:rPr>
          <w:b/>
          <w:bCs/>
          <w:lang w:val="el" w:eastAsia="el"/>
        </w:rPr>
        <w:t>9.</w:t>
      </w:r>
      <w:r>
        <w:rPr>
          <w:b/>
          <w:bCs/>
          <w:lang w:val="el" w:eastAsia="el"/>
        </w:rPr>
        <w:t xml:space="preserve"> Τα κατασχεθέντα βιομηχανοποιημένα καπνά της παρ. 2 καταστρέφονται σύμφωνα με όσα ορίζονται στο πρώτο εδάφιο της παρ. 4 του άρθρου 171.</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8"/>
      </w:r>
      <w:r>
        <w:rPr>
          <w:b/>
          <w:bCs/>
          <w:lang w:val="el" w:eastAsia="el"/>
        </w:rPr>
        <w:t>Άρθρο 119Γ</w:t>
      </w:r>
      <w:r>
        <w:rPr>
          <w:b/>
          <w:bCs/>
          <w:lang w:val="el" w:eastAsia="el"/>
        </w:rPr>
        <w:t xml:space="preserve"> </w:t>
      </w:r>
    </w:p>
    <w:p>
      <w:pPr>
        <w:pStyle w:val="Heading6"/>
        <w:spacing w:before="240" w:after="240"/>
        <w:rPr>
          <w:lang w:val="el" w:eastAsia="el"/>
        </w:rPr>
      </w:pPr>
      <w:r>
        <w:rPr>
          <w:b/>
          <w:bCs/>
          <w:lang w:val="el" w:eastAsia="el"/>
        </w:rPr>
        <w:t>Κυρώσεις για παραβάσεις των διατάξεων περί εγκατάστασης ολοκληρωμένων συστημάτων παρακολούθησης και ηλεκτρονικής αποστολής δεδομένων εισροών-εκροών στις φορολογικές αποθήκες και στις αποθήκες τελωνειακής αποταμίευσης ενεργειακών προϊόντων</w:t>
      </w:r>
    </w:p>
    <w:p>
      <w:pPr>
        <w:pStyle w:val="MainText"/>
        <w:spacing w:before="120" w:after="0"/>
        <w:rPr>
          <w:lang w:val="el" w:eastAsia="el"/>
        </w:rPr>
      </w:pPr>
      <w:r>
        <w:rPr>
          <w:b/>
          <w:bCs/>
          <w:lang w:val="el" w:eastAsia="el"/>
        </w:rPr>
        <w:t>1.</w:t>
      </w:r>
      <w:r>
        <w:rPr>
          <w:b/>
          <w:bCs/>
          <w:lang w:val="el" w:eastAsia="el"/>
        </w:rPr>
        <w:t xml:space="preserve"> 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εισροών-εκροών των φορολογικών αποθηκών και των αποθηκών τελωνειακής αποταμίευσης ενεργειακών προϊόντων της παρ. 1 του άρθρου 73 είναι τα τελωνεία ελέγχου των ανωτέρω αποθηκών, σύμφωνα με τα οριζόμενα στην απόφαση του Υπουργού Οικονομικών της παρ. 2 του άρθρου 63 και στην υπό στοιχεία ΔΘΟΤΚΔ 1026126 ΕΞ 2017 απόφαση του Διοικητή της Α.Α.Δ.Ε. (Β` 810), αντίστοιχα, καθώς και οι τελωνειακές ελεγκτικές αρχές της Α.Α.Δ.Ε., σύμφωνα με τα οριζόμενα στην υπό στοιχεία Δ/ΟΡΓ/Α/1125859/ΕΞ2020 απόφαση του Διοικητή της Α.Α.Δ.Ε. (Β` 4738). Αν κρίνεται αναγκαίο, ζητείται η συνδρομή των λοιπών υπηρεσιών της Α.Α.Δ.Ε. στο πλαίσιο των αρμοδιοτήτων τους, όπως αυτές καθορίζονται από την ίδια απόφαση, καθώς και των υπηρεσιών της Γενικής Γραμματείας Βιομηχανίας του Υπουργείου Ανάπτυξης και Επενδύσεων, σύμφωνα με τα οριζόμενα στο π.δ. 147/2017 (Α` 192),</w:t>
      </w:r>
    </w:p>
    <w:p>
      <w:pPr>
        <w:pStyle w:val="MainText"/>
        <w:spacing w:before="120" w:after="0"/>
        <w:rPr>
          <w:lang w:val="el" w:eastAsia="el"/>
        </w:rPr>
      </w:pPr>
      <w:r>
        <w:rPr>
          <w:b/>
          <w:bCs/>
          <w:lang w:val="el" w:eastAsia="el"/>
        </w:rPr>
        <w:t>2.</w:t>
      </w:r>
      <w:r>
        <w:rPr>
          <w:b/>
          <w:bCs/>
          <w:lang w:val="el" w:eastAsia="el"/>
        </w:rPr>
        <w:t xml:space="preserve"> α. Για κάθε παράβαση του πρώτου εδαφίου της παρ. 5 του άρθρου 33 και του τρίτου εδαφίου της παρ. 3 του άρθρου 63 και των υπουργικών αποφάσεων, που εκδίδονται κατ` εξουσιοδότησή τους και κατ` εξουσιοδότηση του παρόντος, επιβάλλεται στους κατά περίπτωση υπόχρεους διοικητικό πρόστιμο από χίλια (1.000) ευρώ έως πεντακόσιες χιλιάδες (500.000) ευρώ, επιφυλασσομένης της υποπερ. Δδ` και επιβάλλεται κατά περίπτωση ανάκληση της άδειας της φορολογικής αποθήκης ή της αποθήκης τελωνειακής αποταμίευσης. Το ύψος του προστίμου προσδιορίζεται λαμβάνοντας υπόψη το είδος και τη βαρύτητα της παράβασης καθώς και την υποτροπή.</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μη εγκατάστασης ολοκληρωμένου συστήματος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πενήντα χιλιάδες (50.000) ευρώ έως πεντακόσιες χιλιάδες (500.000) ευρώ και ανακαλείται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χίλια (1.000) ευρώ έως τριακόσιες χιλιάδες (300.000) ευρώ. Εφόσον διαπιστωθεί συνυπαιτιότητα καθ` οιονδήποτε τρόπο από πλευράς του εγκαταστάτη του συστήματος στη διάπραξη των ανωτέρω παραβάσεων, επιβάλλεται και σε αυτόν αυτοτελώς το ανωτέρω διοικητικό πρόστιμο. αγ) Σε περίπτωση διαπίστωσης των παραβάσεων της παρ. 3, επιβάλλεται πρόστιμο από δέκα χιλιάδες (10.000) ευρώ έως τριακόσιες χιλιάδες (300.000) ευρώ.</w:t>
      </w:r>
    </w:p>
    <w:p>
      <w:pPr>
        <w:pStyle w:val="StructureList1"/>
        <w:spacing w:before="120" w:after="0"/>
        <w:rPr>
          <w:lang w:val="el" w:eastAsia="el"/>
        </w:rPr>
      </w:pPr>
      <w:r>
        <w:rPr>
          <w:b/>
          <w:bCs/>
          <w:lang w:val="el" w:eastAsia="el"/>
        </w:rPr>
        <w:t>αδ)</w:t>
      </w:r>
      <w:r>
        <w:rPr>
          <w:b/>
          <w:bCs/>
          <w:lang w:val="en" w:eastAsia="en"/>
        </w:rPr>
        <w:tab/>
      </w:r>
      <w:r>
        <w:rPr>
          <w:b/>
          <w:bCs/>
          <w:lang w:val="el" w:eastAsia="el"/>
        </w:rPr>
        <w:t>Σε περίπτωση υποτροπής, το πρόστιμο των υποπερ. αα`, αβ` και αγ` διπλασιάζεται. Ως υποτροπή ορίζεται η εντός τριών (3) ετών από την έκδοση απόφασης επιβολής προστίμου εκ νέου τέλεση της ίδιας παράβασης.</w:t>
      </w:r>
    </w:p>
    <w:p>
      <w:pPr>
        <w:spacing w:before="240" w:after="240"/>
        <w:rPr>
          <w:lang w:val="el" w:eastAsia="el"/>
        </w:rPr>
      </w:pPr>
      <w:r>
        <w:rPr>
          <w:b/>
          <w:bCs/>
          <w:lang w:val="el" w:eastAsia="el"/>
        </w:rPr>
        <w:t>β. Υπόχρεοι για την καταβολή των επιβαλλόμενων, με το παρόν, προστίμων είναι: α) τα φυσικά πρόσωπα, τα οποία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καθώς και όσοι ενήργησαν ως αυτουργοί ή ως συναυτουργοί κατά την τέλεση της παράβασης ή θεωρούνται ως τέτοιοι, σύμφωνα με την παρ. 3 του άρθρου 153, με επιμερισμό, στην περίπτωση αυτή, του επιβληθέντος ποσού, εις έκαστο εξ αυτών, ανάλογα με τον βαθμό συνυπευθυνότητάς του και β) τα νομικά πρόσωπα, τα οποία είτε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είτε κηρύσσονται αστικά συνυπεύθυνα και καθίστανται εις ολόκληρον υπόχρεα για την καταβολή του συνόλου του επιβληθέντος προστίμου, σε περίπτωση που οι νόμιμοι εκπρόσωποι αυτών υπέχουν ευθύνη διάπραξης της παράβασης ως φυσικά πρόσωπα και θεωρούνται αυτουργοί ή συναυτουργοί, σύμφωνα με την παρ. 3 του άρθρου 153.</w:t>
      </w:r>
    </w:p>
    <w:p>
      <w:pPr>
        <w:spacing w:before="240" w:after="240"/>
        <w:rPr>
          <w:lang w:val="el" w:eastAsia="el"/>
        </w:rPr>
      </w:pPr>
      <w:r>
        <w:rPr>
          <w:b/>
          <w:bCs/>
          <w:lang w:val="el" w:eastAsia="el"/>
        </w:rPr>
        <w:t>γ. Κατά της απόφασης επιβολής των προστίμων ο έχων έννομο συμφέρον, μπορεί να ασκήσει προσφυγή ενώπιον του αρμόδιου διοικητικού δικαστηρίου, σύμφωνα με τις διατάξεις του ν. 2717/1999 «Κώδικας Διοικητικής Δικονομίας» (Α` 97). Με την άσκηση της προσφυγής,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 Η αναστολή αίρεται αυτοδικαίως στην περίπτωση μη τήρησης της ως άνω ρύθμισης. Το ποσοστό πενήντα τοις εκατό (50%) του προστίμου, που δεν αναστέλλεται σε περίπτωση άσκησης προσφυγής, μπορεί να ανασταλεί με δικαστική απόφαση επί αιτήσεως αναστολής κατά τα άρθρα 200 έως 205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α) Ποινή φυλάκισης τουλάχιστον έξι (6) μηνών επιβάλλεται σε όποιον προμηθεύει ή εγκαθιστά μετρητικά συστήματα και τον συνοδευτικό εξοπλισμό τους, τα οποία προορίζονται για εφαρμογές του συστήματος παρακολούθησης και ηλεκτρονικής αποστολής δεδομένων εισροών-εκροών και συνοδεύονται από πλαστά ή παραποιημένα πιστοποιητικά.</w:t>
      </w:r>
    </w:p>
    <w:p>
      <w:pPr>
        <w:pStyle w:val="StructureList1"/>
        <w:spacing w:before="120" w:after="0"/>
        <w:rPr>
          <w:lang w:val="el" w:eastAsia="el"/>
        </w:rPr>
      </w:pPr>
      <w:r>
        <w:rPr>
          <w:b/>
          <w:bCs/>
          <w:lang w:val="el" w:eastAsia="el"/>
        </w:rPr>
        <w:t>β)</w:t>
      </w:r>
      <w:r>
        <w:rPr>
          <w:b/>
          <w:bCs/>
          <w:lang w:val="en" w:eastAsia="en"/>
        </w:rPr>
        <w:tab/>
      </w:r>
      <w:r>
        <w:rPr>
          <w:b/>
          <w:bCs/>
          <w:lang w:val="el" w:eastAsia="el"/>
        </w:rPr>
        <w:t>Ποινή κάθειρξης επιβάλλεται, σε όποιον:</w:t>
      </w:r>
    </w:p>
    <w:p>
      <w:pPr>
        <w:pStyle w:val="StructureList1"/>
        <w:spacing w:before="120" w:after="0"/>
        <w:rPr>
          <w:lang w:val="el" w:eastAsia="el"/>
        </w:rPr>
      </w:pPr>
      <w:r>
        <w:rPr>
          <w:b/>
          <w:bCs/>
          <w:lang w:val="el" w:eastAsia="el"/>
        </w:rPr>
        <w:t>αα)</w:t>
      </w:r>
      <w:r>
        <w:rPr>
          <w:b/>
          <w:bCs/>
          <w:lang w:val="en" w:eastAsia="en"/>
        </w:rPr>
        <w:tab/>
      </w:r>
      <w:r>
        <w:rPr>
          <w:b/>
          <w:bCs/>
          <w:lang w:val="el" w:eastAsia="el"/>
        </w:rPr>
        <w:t>Επεμβαίνει χωρίς εξουσιοδότηση, τροποποιεί ή αλλοιώνει με οποιονδήποτε τρόπο και μορφή μέρη ή παραγόμενα στοιχεία του συστήματος, τα οποία φυλάσσονται στον χώρο της εγκατάστασης ή αποστέλλονται στην κεντρική βάση δεδομένων της Α.Α.Δ.Ε.</w:t>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Παραδίδει, προμηθεύει, εφοδιάζει, πωλεί, αποθηκεύει ή διακινεί ενεργειακά προϊόντα μέσω δεξαμενών, αγωγών, αντλιών ή μετρητών, που δεν συνδέονται με το εγκατεστημένο σύστημα παρακολούθησης και ηλεκτρονικής αποστολής δεδομένων εισροών-εκροών.</w:t>
      </w:r>
    </w:p>
    <w:p>
      <w:pPr>
        <w:pStyle w:val="MainText"/>
        <w:spacing w:before="120" w:after="0"/>
        <w:rPr>
          <w:lang w:val="el" w:eastAsia="el"/>
        </w:rPr>
      </w:pPr>
      <w:r>
        <w:rPr>
          <w:b/>
          <w:bCs/>
          <w:lang w:val="el" w:eastAsia="el"/>
        </w:rPr>
        <w:t>4.</w:t>
      </w:r>
      <w:r>
        <w:rPr>
          <w:b/>
          <w:bCs/>
          <w:lang w:val="el" w:eastAsia="el"/>
        </w:rPr>
        <w:t xml:space="preserve"> Οι κυρώσεις του παρόντος επιβάλλονται με την έναρξη της παραγωγικής λειτουργίας των ολοκληρωμένων συστημάτων παρακολούθησης και ηλεκτρονικής αποστολής δεδομένων εισροών- εκροών στις φορολογικές αποθήκες και αποθήκες τελωνειακής αποταμίευσης, σύμφωνα με την κοινή υπουργική απόφαση του δεύτερου εδαφίου της παρ. 5 του άρθρου 33 και του τέταρτου εδαφίου της παρ. 3 του άρθρου 63, με εξαίρεση την κύρωση της υποπερ. αα` της παρ. 2α, η οποία εφαρμόζεται από την έκδοση της απόφασης του πρώτου εδαφίου της παρ. 5.</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Α.Α.Δ.Ε. εξειδικεύονται οι παραβάσεις του παρόντος και ορίζεται το ύψος των διοικητικών προστίμων για κάθε παράβαση εντός των ορίων της περ. (α) της παρ. 2, καθώς και κάθε άλλο σχετικό θέμα.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(Σ.Ε.Κ.) του άρθρου 6 του ν. 4410/2016 (Α` 141), καθώς και κάθε άλλο σχετικό θέμα, τηρουμένων των διατάξεων του Κανονισμού (Ε.Ε.) 679/2016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9"/>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40"/>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1"/>
      </w:r>
      <w:r>
        <w:rPr>
          <w:rStyle w:val="Hyperlink"/>
          <w:b/>
          <w:bCs/>
          <w:color w:val="000000"/>
          <w:sz w:val="20"/>
          <w:szCs w:val="20"/>
          <w:u w:val="none" w:color="0000EE"/>
          <w:vertAlign w:val="superscript"/>
          <w:lang w:val="el" w:eastAsia="el"/>
        </w:rPr>
        <w:footnoteReference w:id="242"/>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 I της 7-9-1987), υποβάλλονται σε τέλος ταξινόμησης επί της φορολογητέας αξίας, όπως αυτή διαμορφώνεται σύμφωνα με το άρθρο 126 του ν. 2960/2001 και το άρθρο 4 του ν. 1573/1985 (Α` 201).</w:t>
      </w:r>
    </w:p>
    <w:p>
      <w:pPr>
        <w:pStyle w:val="MainText"/>
        <w:spacing w:before="120" w:after="0"/>
        <w:rPr>
          <w:lang w:val="el" w:eastAsia="el"/>
        </w:rPr>
      </w:pPr>
      <w:r>
        <w:rPr>
          <w:b/>
          <w:bCs/>
          <w:lang w:val="el" w:eastAsia="el"/>
        </w:rPr>
        <w:t>2.</w:t>
      </w:r>
      <w:r>
        <w:rPr>
          <w:b/>
          <w:bCs/>
          <w:lang w:val="el" w:eastAsia="el"/>
        </w:rPr>
        <w:t xml:space="preserve"> α) Οι συντελεστές του τέλους ταξινόμησης της παρ. 1 ορίζονται σύμφωνα με την ακόλουθη κλίμακα προοδευτικής φορολόγησης:</w:t>
      </w:r>
    </w:p>
    <w:p>
      <w:pPr>
        <w:spacing w:before="240" w:after="240"/>
        <w:rPr>
          <w:lang w:val="el" w:eastAsia="el"/>
        </w:rPr>
      </w:pPr>
      <w:r>
        <w:rPr>
          <w:b/>
          <w:bCs/>
          <w:lang w:val="el" w:eastAsia="el"/>
        </w:rPr>
        <w:t>Φορολογητέα αξία</w:t>
      </w:r>
    </w:p>
    <w:p>
      <w:pPr>
        <w:spacing w:before="240" w:after="240"/>
        <w:rPr>
          <w:lang w:val="el" w:eastAsia="el"/>
        </w:rPr>
      </w:pPr>
      <w:r>
        <w:rPr>
          <w:b/>
          <w:bCs/>
          <w:lang w:val="el" w:eastAsia="el"/>
        </w:rPr>
        <w:t>Αξία από (ευρώ) Αξία έως και (ευρώ) Συντελεστής</w:t>
      </w:r>
    </w:p>
    <w:p>
      <w:pPr>
        <w:spacing w:before="240" w:after="240"/>
        <w:rPr>
          <w:lang w:val="el" w:eastAsia="el"/>
        </w:rPr>
      </w:pPr>
      <w:r>
        <w:rPr>
          <w:b/>
          <w:bCs/>
          <w:lang w:val="el" w:eastAsia="el"/>
        </w:rPr>
        <w:t>0 14.000 4%</w:t>
      </w:r>
    </w:p>
    <w:p>
      <w:pPr>
        <w:spacing w:before="240" w:after="240"/>
        <w:rPr>
          <w:lang w:val="el" w:eastAsia="el"/>
        </w:rPr>
      </w:pPr>
      <w:r>
        <w:rPr>
          <w:b/>
          <w:bCs/>
          <w:lang w:val="el" w:eastAsia="el"/>
        </w:rPr>
        <w:t>&gt;14.000 17.000 26%</w:t>
      </w:r>
    </w:p>
    <w:p>
      <w:pPr>
        <w:spacing w:before="240" w:after="240"/>
        <w:rPr>
          <w:lang w:val="el" w:eastAsia="el"/>
        </w:rPr>
      </w:pPr>
      <w:r>
        <w:rPr>
          <w:b/>
          <w:bCs/>
          <w:lang w:val="el" w:eastAsia="el"/>
        </w:rPr>
        <w:t>&gt;17.000 20.000 53%</w:t>
      </w:r>
    </w:p>
    <w:p>
      <w:pPr>
        <w:spacing w:before="240" w:after="240"/>
        <w:rPr>
          <w:lang w:val="el" w:eastAsia="el"/>
        </w:rPr>
      </w:pPr>
      <w:r>
        <w:rPr>
          <w:b/>
          <w:bCs/>
          <w:lang w:val="el" w:eastAsia="el"/>
        </w:rPr>
        <w:t>&gt;20.000 25.000 62%</w:t>
      </w:r>
    </w:p>
    <w:p>
      <w:pPr>
        <w:spacing w:before="240" w:after="240"/>
        <w:rPr>
          <w:lang w:val="el" w:eastAsia="el"/>
        </w:rPr>
      </w:pPr>
      <w:r>
        <w:rPr>
          <w:b/>
          <w:bCs/>
          <w:lang w:val="el" w:eastAsia="el"/>
        </w:rPr>
        <w:t>&gt;25.000 30.000 71%</w:t>
      </w:r>
    </w:p>
    <w:p>
      <w:pPr>
        <w:spacing w:before="240" w:after="240"/>
        <w:rPr>
          <w:lang w:val="el" w:eastAsia="el"/>
        </w:rPr>
      </w:pPr>
      <w:r>
        <w:rPr>
          <w:b/>
          <w:bCs/>
          <w:lang w:val="el" w:eastAsia="el"/>
        </w:rPr>
        <w:t>&gt;30.000 30%</w:t>
      </w:r>
    </w:p>
    <w:p>
      <w:pPr>
        <w:spacing w:before="240" w:after="240"/>
        <w:rPr>
          <w:lang w:val="el" w:eastAsia="el"/>
        </w:rPr>
      </w:pPr>
      <w:r>
        <w:rPr>
          <w:b/>
          <w:bCs/>
          <w:lang w:val="el" w:eastAsia="el"/>
        </w:rPr>
        <w:t>Για την επιλογή των ως άνω συντελεστών, για μεταχειρισμένα επιβατικά αυτοκίνητα, λαμβάνεται υπόψη η φορολογητέα αξία του άρθρου 126, πριν από τις μειώσεις που προβλέπονται στο άρθρο αυτό.</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οχήματα τρίκυκλα ή τετράκυκλα που εμπίπτουν στο πεδίο εφαρμογής του Κανονισμού 168/2013 (Ε.Ε.) και της Οδηγίας 2002/24/ΕΚ του Συμβουλίου της 18ης Μαρτίου 2002 (E.E. L 124 της 9-5-2002) και πληρούν εκ κατασκευής τις προδιαγραφές του Κανονισμού 168/2013 (Ε.Ε.) ή της Οδηγίας 2002/51/Ε.Κ. ή μεταγενέστερης, οι συντελεστές τέλους ταξινόμησης ορίζονται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spacing w:before="240" w:after="240"/>
        <w:rPr>
          <w:lang w:val="el" w:eastAsia="el"/>
        </w:rPr>
      </w:pPr>
      <w:r>
        <w:rPr>
          <w:b/>
          <w:bCs/>
          <w:lang w:val="el" w:eastAsia="el"/>
        </w:rPr>
        <w:t>Το άρθρο 26 του ν. 1959/1991 (Α` 123) και η υπό στοιχεία Β.27660/712/10-7-1992 κοινή απόφαση των Υπουργών Περιβάλλοντος, Χωροταξίας και Δημόσιων Έργων και Μεταφορών και Επικοινωνιών (Β` 519), εφαρμόζονται και για τα πετρελαιοκίνητα οχήματα αυτής της περίπτωσης,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43"/>
      </w:r>
      <w:r>
        <w:rPr>
          <w:rStyle w:val="Hyperlink"/>
          <w:b/>
          <w:bCs/>
          <w:color w:val="000000"/>
          <w:sz w:val="20"/>
          <w:szCs w:val="20"/>
          <w:u w:val="none" w:color="0000EE"/>
          <w:vertAlign w:val="superscript"/>
          <w:lang w:val="el" w:eastAsia="el"/>
        </w:rPr>
        <w:footnoteReference w:id="244"/>
      </w:r>
      <w:r>
        <w:rPr>
          <w:b/>
          <w:bCs/>
          <w:lang w:val="el" w:eastAsia="el"/>
        </w:rPr>
        <w:t>Α) Για τα επιβατικά αυτοκίνητα της παρ. 1, τα οποία ταξινομούνται για πρώτη φορά σε κράτος μέλος της Ευρωπαϊκής Ένωσης έως την 31η.12.2020, των οποίων η εκπεμπόμενη μάζα διοξειδίου του άνθρακα CO2 (συνδυασμένος κύκλος) σύμφωνα με τον Νέο Ευρωπαϊκό Κύκλο Οδήγησης (New European Driving Cycle)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μικρότερη ή ίση των εκατό (100) γρ./χλμ, οι συντελεστές του τέλους ταξινόμησης της περ. α’ της παρ. 2 μειώνονται κατά πέντε τοις εκατό (5%),</w:t>
      </w:r>
    </w:p>
    <w:p>
      <w:pPr>
        <w:pStyle w:val="StructureList1"/>
        <w:spacing w:before="120" w:after="0"/>
        <w:rPr>
          <w:lang w:val="el" w:eastAsia="el"/>
        </w:rPr>
      </w:pPr>
      <w:r>
        <w:rPr>
          <w:b/>
          <w:bCs/>
          <w:lang w:val="el" w:eastAsia="el"/>
        </w:rPr>
        <w:t>αβ)</w:t>
      </w:r>
      <w:r>
        <w:rPr>
          <w:b/>
          <w:bCs/>
          <w:lang w:val="en" w:eastAsia="en"/>
        </w:rPr>
        <w:tab/>
      </w:r>
      <w:r>
        <w:rPr>
          <w:b/>
          <w:bCs/>
          <w:lang w:val="el" w:eastAsia="el"/>
        </w:rPr>
        <w:t>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αγ)</w:t>
      </w:r>
      <w:r>
        <w:rPr>
          <w:b/>
          <w:bCs/>
          <w:lang w:val="en" w:eastAsia="en"/>
        </w:rPr>
        <w:tab/>
      </w:r>
      <w:r>
        <w:rPr>
          <w:b/>
          <w:bCs/>
          <w:lang w:val="el" w:eastAsia="el"/>
        </w:rPr>
        <w:t>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αδ)</w:t>
      </w:r>
      <w:r>
        <w:rPr>
          <w:b/>
          <w:bCs/>
          <w:lang w:val="en" w:eastAsia="en"/>
        </w:rPr>
        <w:tab/>
      </w:r>
      <w:r>
        <w:rPr>
          <w:b/>
          <w:bCs/>
          <w:lang w:val="el" w:eastAsia="el"/>
        </w:rPr>
        <w:t>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αε)</w:t>
      </w:r>
      <w:r>
        <w:rPr>
          <w:b/>
          <w:bCs/>
          <w:lang w:val="en" w:eastAsia="en"/>
        </w:rPr>
        <w:tab/>
      </w:r>
      <w:r>
        <w:rPr>
          <w:b/>
          <w:bCs/>
          <w:lang w:val="el" w:eastAsia="el"/>
        </w:rPr>
        <w:t>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αστ)</w:t>
      </w:r>
      <w:r>
        <w:rPr>
          <w:b/>
          <w:bCs/>
          <w:lang w:val="en" w:eastAsia="en"/>
        </w:rPr>
        <w:tab/>
      </w:r>
      <w:r>
        <w:rPr>
          <w:b/>
          <w:bCs/>
          <w:lang w:val="el" w:eastAsia="el"/>
        </w:rPr>
        <w:t>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αζ)</w:t>
      </w:r>
      <w:r>
        <w:rPr>
          <w:b/>
          <w:bCs/>
          <w:lang w:val="en" w:eastAsia="en"/>
        </w:rPr>
        <w:tab/>
      </w:r>
      <w:r>
        <w:rPr>
          <w:b/>
          <w:bCs/>
          <w:lang w:val="el" w:eastAsia="el"/>
        </w:rPr>
        <w:t>μεγαλύτερη από διακόσια πενήντα (250) γρ./χλμ,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Β) Για επιβατικά αυτοκίνητα της παρ. 1, τα οποία ταξινομούνται για πρώτη φορά, σε κράτος μέλος της Ευρωπαϊκής Ένωσης από την 1η.1.2021 και εφεξής, των οποίων η εκπεμπόμενη μάζα διοξειδίου του άνθρακα CO2 (συνδυασμένος κύκλος), σύμφωνα με την Παγκοσμίως Εναρμονισμένη Διαδικασία Δοκιμής Ελαφρών Οχημάτων (Worldwide Light Test Procedure), είναι:</w:t>
      </w:r>
    </w:p>
    <w:p>
      <w:pPr>
        <w:pStyle w:val="StructureList1"/>
        <w:spacing w:before="120" w:after="0"/>
        <w:rPr>
          <w:lang w:val="el" w:eastAsia="el"/>
        </w:rPr>
      </w:pPr>
      <w:r>
        <w:rPr>
          <w:b/>
          <w:bCs/>
          <w:lang w:val="el" w:eastAsia="el"/>
        </w:rPr>
        <w:t>βα)</w:t>
      </w:r>
      <w:r>
        <w:rPr>
          <w:b/>
          <w:bCs/>
          <w:lang w:val="en" w:eastAsia="en"/>
        </w:rPr>
        <w:tab/>
      </w:r>
      <w:r>
        <w:rPr>
          <w:b/>
          <w:bCs/>
          <w:lang w:val="el" w:eastAsia="el"/>
        </w:rPr>
        <w:t>μικρότερη ή ίση των εκατό τριάντα (130)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ββ)</w:t>
      </w:r>
      <w:r>
        <w:rPr>
          <w:b/>
          <w:bCs/>
          <w:lang w:val="en" w:eastAsia="en"/>
        </w:rPr>
        <w:tab/>
      </w:r>
      <w:r>
        <w:rPr>
          <w:b/>
          <w:bCs/>
          <w:lang w:val="el" w:eastAsia="el"/>
        </w:rPr>
        <w:t>μεγαλύτερη από εκατόν πενήντα έξι (156) και μικρότερη από ή ίση με εκατόν ογδόντα δύο (182)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βγ)</w:t>
      </w:r>
      <w:r>
        <w:rPr>
          <w:b/>
          <w:bCs/>
          <w:lang w:val="en" w:eastAsia="en"/>
        </w:rPr>
        <w:tab/>
      </w:r>
      <w:r>
        <w:rPr>
          <w:b/>
          <w:bCs/>
          <w:lang w:val="el" w:eastAsia="el"/>
        </w:rPr>
        <w:t>μεγαλύτερη από εκατόν ογδόντα δύο (182) και μικρότερη από ή ίση με διακόσια οκτώ (208)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βδ)</w:t>
      </w:r>
      <w:r>
        <w:rPr>
          <w:b/>
          <w:bCs/>
          <w:lang w:val="en" w:eastAsia="en"/>
        </w:rPr>
        <w:tab/>
      </w:r>
      <w:r>
        <w:rPr>
          <w:b/>
          <w:bCs/>
          <w:lang w:val="el" w:eastAsia="el"/>
        </w:rPr>
        <w:t>μεγαλύτερη από διακόσια οκτώ (208) και μικρότερη από ή ίση με διακόσια τριάντα τέσσερα (234) γρ./ 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βε)</w:t>
      </w:r>
      <w:r>
        <w:rPr>
          <w:b/>
          <w:bCs/>
          <w:lang w:val="en" w:eastAsia="en"/>
        </w:rPr>
        <w:tab/>
      </w:r>
      <w:r>
        <w:rPr>
          <w:b/>
          <w:bCs/>
          <w:lang w:val="el" w:eastAsia="el"/>
        </w:rPr>
        <w:t>μεγαλύτερη από διακόσια τριάντα τέσσερα (234) και μικρότερη από ή ίση με διακόσια εξήντα (260) γρ./ 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βστ)</w:t>
      </w:r>
      <w:r>
        <w:rPr>
          <w:b/>
          <w:bCs/>
          <w:lang w:val="en" w:eastAsia="en"/>
        </w:rPr>
        <w:tab/>
      </w:r>
      <w:r>
        <w:rPr>
          <w:b/>
          <w:bCs/>
          <w:lang w:val="el" w:eastAsia="el"/>
        </w:rPr>
        <w:t>μεγαλύτερη από διακόσια εξήντα (260) και μικρότερη από ή ίση με τριακόσια είκοσι πέντε (325)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βζ)</w:t>
      </w:r>
      <w:r>
        <w:rPr>
          <w:b/>
          <w:bCs/>
          <w:lang w:val="en" w:eastAsia="en"/>
        </w:rPr>
        <w:tab/>
      </w:r>
      <w:r>
        <w:rPr>
          <w:b/>
          <w:bCs/>
          <w:lang w:val="el" w:eastAsia="el"/>
        </w:rPr>
        <w:t>μεγαλύτερη από τριακόσια είκοσι πέντε (325) γρ./ 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Γ) Ειδικά για τα αυτοκινούμενα τροχόσπιτα, ανεξαρτήτως της τιμής μέτρησης της εκπεμπόμενης μάζας διοξειδίου του άνθρακα CO2 (συνδυασμένος κύκλος) σύμφωνα με τον Νέο Ευρωπαϊκό Κύκλο Οδήγησης (New European Driving Cycle) ή σύμφωνα με την Παγκοσμίως Εναρμονισμένη Διαδικασία Δοκιμής Ελαφρών Οχημάτων (Worldwide Light Test Procedure), καθώς και για τα αυτοκινούμενα τροχόσπιτα, για τα οποία δεν αποδεικνύονται οι εκπομπές διοξειδίου του άνθρακα, οι συντελεστές του τέλους ταξινόμησης της περ. α’ της παρ. 2, αυξάνονται, πλέον των προσαυξήσεων που προβλέπονται στην παρ. 4, κατά:</w:t>
      </w:r>
    </w:p>
    <w:p>
      <w:pPr>
        <w:spacing w:before="240" w:after="240"/>
        <w:rPr>
          <w:lang w:val="el" w:eastAsia="el"/>
        </w:rPr>
      </w:pPr>
      <w:r>
        <w:rPr>
          <w:b/>
          <w:bCs/>
          <w:lang w:val="el" w:eastAsia="el"/>
        </w:rPr>
        <w:t>Γα) 10%, εφόσον υπάγονται στην περ. α) της παρ. 4 ή πληρούν εκ κατασκευής της προδιαγραφές ορίων εκπομπών EURO 6, με τελευταία ημερομηνία ταξινόμησης, ως προς την πρώτη ταξινόμηση, από 01.09.2018 και μετά (Καν. 515/2007 και 692/2008 ή 2017/1151 ή μεταγενέστερων τροποποιητικών αυτών), ή τις προδιαγραφές του Euro VI, με τελευταία ημερομηνία ταξινόμησης, ως προς την πρώτη ταξινόμηση, από 01.09.2019 και μετά (Καν. 595/2009).</w:t>
      </w:r>
    </w:p>
    <w:p>
      <w:pPr>
        <w:pStyle w:val="StructureList1"/>
        <w:spacing w:before="120" w:after="0"/>
        <w:rPr>
          <w:lang w:val="el" w:eastAsia="el"/>
        </w:rPr>
      </w:pPr>
      <w:r>
        <w:rPr>
          <w:b/>
          <w:bCs/>
          <w:lang w:val="el" w:eastAsia="el"/>
        </w:rPr>
        <w:t>γβ)</w:t>
      </w:r>
      <w:r>
        <w:rPr>
          <w:b/>
          <w:bCs/>
          <w:lang w:val="en" w:eastAsia="en"/>
        </w:rPr>
        <w:tab/>
      </w:r>
      <w:r>
        <w:rPr>
          <w:b/>
          <w:bCs/>
          <w:lang w:val="el" w:eastAsia="el"/>
        </w:rPr>
        <w:t>30%, εφόσον υπάγονται ως προς τις προδιαγραφές ορίων εκπομπών EURO στην περ. β) της παρ. 4.</w:t>
      </w:r>
    </w:p>
    <w:p>
      <w:pPr>
        <w:pStyle w:val="StructureList1"/>
        <w:spacing w:before="120" w:after="0"/>
        <w:rPr>
          <w:lang w:val="el" w:eastAsia="el"/>
        </w:rPr>
      </w:pPr>
      <w:r>
        <w:rPr>
          <w:b/>
          <w:bCs/>
          <w:lang w:val="el" w:eastAsia="el"/>
        </w:rPr>
        <w:t>γγ)</w:t>
      </w:r>
      <w:r>
        <w:rPr>
          <w:b/>
          <w:bCs/>
          <w:lang w:val="en" w:eastAsia="en"/>
        </w:rPr>
        <w:tab/>
      </w:r>
      <w:r>
        <w:rPr>
          <w:b/>
          <w:bCs/>
          <w:lang w:val="el" w:eastAsia="el"/>
        </w:rPr>
        <w:t>60%, εφόσον υπάγονται ως προς τις προδιαγραφές ορίων εκπομπών EURO στην περ. γ) της παρ. 4.</w:t>
      </w:r>
    </w:p>
    <w:p>
      <w:pPr>
        <w:pStyle w:val="StructureList1"/>
        <w:spacing w:before="120" w:after="0"/>
        <w:rPr>
          <w:lang w:val="el" w:eastAsia="el"/>
        </w:rPr>
      </w:pPr>
      <w:r>
        <w:rPr>
          <w:b/>
          <w:bCs/>
          <w:lang w:val="el" w:eastAsia="el"/>
        </w:rPr>
        <w:t>γδ)</w:t>
      </w:r>
      <w:r>
        <w:rPr>
          <w:b/>
          <w:bCs/>
          <w:lang w:val="en" w:eastAsia="en"/>
        </w:rPr>
        <w:tab/>
      </w:r>
      <w:r>
        <w:rPr>
          <w:b/>
          <w:bCs/>
          <w:lang w:val="el" w:eastAsia="el"/>
        </w:rPr>
        <w:t>100%, εφόσον δεν πληρούν προδιαγραφές ορίων εκπομπών (Euro), συμβατικής τεχνολογίας.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45"/>
      </w:r>
      <w:r>
        <w:rPr>
          <w:b/>
          <w:bCs/>
          <w:lang w:val="el" w:eastAsia="el"/>
        </w:rPr>
        <w:t>A. Ως εκπεμπόμενη μάζα διοξειδίου του άνθρακα -CO2, συνδυασμένος κύκλος, λαμβάνεται υπόψη, για τα υβριδικά ηλεκτρικά επιβατικά αυτοκίνητα εξωτερικής φόρτισης, η σταθμισμένη, σε συνδυασμένο κύκλο, τιμή της εκπεμπόμενης μάζας διοξειδίου του άνθρακα - CO2 και για τα επιβατικά αυτοκίνητα διπλής τροφοδοσίας, βενζίνης - αερίου ή πετρελαίου - αερίου, η τιμή, σε συνδυασμένο κύκλο, της εκπεμπόμενης μάζας διοξειδίου του άνθρακα - CO2 του αερίου καυσίμου.</w:t>
      </w:r>
    </w:p>
    <w:p>
      <w:pPr>
        <w:pStyle w:val="MainText"/>
        <w:spacing w:before="120" w:after="0"/>
        <w:rPr>
          <w:lang w:val="el" w:eastAsia="el"/>
        </w:rPr>
      </w:pPr>
      <w:r>
        <w:rPr>
          <w:b/>
          <w:bCs/>
          <w:lang w:val="el" w:eastAsia="el"/>
        </w:rPr>
        <w:t>4.</w:t>
      </w:r>
      <w:r>
        <w:rPr>
          <w:b/>
          <w:bCs/>
          <w:lang w:val="el" w:eastAsia="el"/>
        </w:rPr>
        <w:t xml:space="preserve"> Για επιβατικά αυτοκίνητα της παρ.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ορίων εκπομπών EURO 6 με τελευταία ημερομηνία ταξινόμησης ως προς την πρώτη ταξινόμηση έως και 31-8-2018, όπως αυτά ορίζονται στους Κανονισμούς 715/2007 (ΕΚ) και 692/2008 (ΕΕ) ή 2017/1151 (ΕΕ) ή μεταγενέστερους τροποποιητικούς αυτών ή τις προδιαγραφές του Κανονισμού 595/2009 (ΕΚ) Euro VI, με τελευταία ημερομηνία ταξινόμησης ως προς την πρώτη ταξινόμηση έως και 31-8-2019 οι συντελεστές της περ. α` της παρ. 2 προσαυξάνονται κατά ποσοστό πενήντα τοις εκατό (50%),</w:t>
      </w:r>
    </w:p>
    <w:p>
      <w:pPr>
        <w:pStyle w:val="StructureList1"/>
        <w:spacing w:before="120" w:after="0"/>
        <w:rPr>
          <w:lang w:val="el" w:eastAsia="el"/>
        </w:rPr>
      </w:pPr>
      <w:r>
        <w:rPr>
          <w:b/>
          <w:bCs/>
          <w:lang w:val="el" w:eastAsia="el"/>
        </w:rPr>
        <w:t>β)</w:t>
      </w:r>
      <w:r>
        <w:rPr>
          <w:b/>
          <w:bCs/>
          <w:lang w:val="en" w:eastAsia="en"/>
        </w:rPr>
        <w:tab/>
      </w:r>
      <w:r>
        <w:rPr>
          <w:b/>
          <w:bCs/>
          <w:lang w:val="el" w:eastAsia="el"/>
        </w:rPr>
        <w:t>πληρούν εκ κατασκευής τις προδιαγραφές ορίων εκπομπών EURO 6 και 5 b, με τελευταία ημερομηνία ταξινόμησης ως προς την πρώτη ταξινόμηση έως και 31-8-2015, όπως αυτά ορίζονται στους Κανονισμούς 715/2007 (ΕΚ), 692/2008 (ΕΕ) ή μεταγενέστερους τροπο-ποιητικούς αυτών ή τις προδιαγραφές των σειρών Β2 ή C (EEV) των Οδηγιών 1999/96 ΕΚ, 2005/55 ΕΚ Euro V, οι συντελεστές της περ. α` της παρ. 2 προσαυξάνονται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πληρούν εκ κατασκευής τις προδιαγραφές ορίων εκπομπών EURO 6a και EURO 5a, με τελευταία ημερομηνία ταξινόμησης ως προς την πρώτη ταξινόμηση έως και 31-12-2012, όπως αυτά ορίζονται στους Κανονισμούς 715/2007 (ΕΚ), 692/2008 (ΕΕ) ή μεταγενέστερους τροποποιητικούς αυτών ή τις προδιαγραφές της Οδηγίας 98/69 ΕΚ γραμμή (φάση) Β Euro 4, ή τις προδιαγραφές της σειράς Β1 των Οδηγιών 1999/96 ΕΚ, 2005/55 ΕΚ Euro IV που πληρούν εκ κατασκευής τις προδιαγραφές της Οδηγίας 98/69 ΕΚ γραμμή (φάση) Α Euro 3, της Οδηγίας 94/12 ΕΚ, Euro 2, της Οδηγίας 91/441 ΕΟΚ Euro 1 ή τις προδιαγραφές των Οδηγιών 1999/96/ΕΚ, 2005/55/ΕΚ, φάση Α Euro III, 91/542/ΕΟΚ φάση Β Euro II, 91/542/ΕΟΚ φάση Α Euro I, οι συντελεστές της περ. α` της παρ. 2 προσαυξάνονται κατά ποσοστό διακόσια τοις εκατό (200%),</w:t>
      </w:r>
    </w:p>
    <w:p>
      <w:pPr>
        <w:pStyle w:val="StructureList1"/>
        <w:spacing w:before="120" w:after="0"/>
        <w:rPr>
          <w:lang w:val="el" w:eastAsia="el"/>
        </w:rPr>
      </w:pPr>
      <w:r>
        <w:rPr>
          <w:b/>
          <w:bCs/>
          <w:lang w:val="el" w:eastAsia="el"/>
        </w:rPr>
        <w:t>δ)</w:t>
      </w:r>
      <w:r>
        <w:rPr>
          <w:b/>
          <w:bCs/>
          <w:lang w:val="en" w:eastAsia="en"/>
        </w:rPr>
        <w:tab/>
      </w:r>
      <w:r>
        <w:rPr>
          <w:b/>
          <w:bCs/>
          <w:lang w:val="el" w:eastAsia="el"/>
        </w:rPr>
        <w:t>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περ. α) της παρ. 2 προσαυξάνονται κατά ποσοστό διακόσια τοις εκατό (200%), με επιπλέον εφαρμογή επί αυτών της προσαύξησης της περ. ζ) της παρ. 3,</w:t>
      </w:r>
    </w:p>
    <w:p>
      <w:pPr>
        <w:pStyle w:val="StructureList1"/>
        <w:spacing w:before="120" w:after="0"/>
        <w:rPr>
          <w:lang w:val="el" w:eastAsia="el"/>
        </w:rPr>
      </w:pPr>
      <w:r>
        <w:rPr>
          <w:b/>
          <w:bCs/>
          <w:lang w:val="el" w:eastAsia="el"/>
        </w:rPr>
        <w:t>ε)</w:t>
      </w:r>
      <w:r>
        <w:rPr>
          <w:b/>
          <w:bCs/>
          <w:lang w:val="en" w:eastAsia="en"/>
        </w:rPr>
        <w:tab/>
      </w:r>
      <w:r>
        <w:rPr>
          <w:b/>
          <w:bCs/>
          <w:lang w:val="el" w:eastAsia="el"/>
        </w:rPr>
        <w:t>δεν πληρούν εκ κατασκευής τις προδιαγραφές του Κανονισμού 168/2013 (ΕΕ) ή της Οδηγίας 2002/51 ΕΚ, οι συντελεστές της περ. α) της παρ. 2 προσαυξάνονται κατά ποσοστό τριάντα τοις εκατό (30%).</w:t>
      </w:r>
    </w:p>
    <w:p>
      <w:pPr>
        <w:pStyle w:val="MainText"/>
        <w:spacing w:before="120" w:after="0"/>
        <w:rPr>
          <w:lang w:val="el" w:eastAsia="el"/>
        </w:rPr>
      </w:pPr>
      <w:r>
        <w:rPr>
          <w:b/>
          <w:bCs/>
          <w:lang w:val="el" w:eastAsia="el"/>
        </w:rPr>
        <w:t>5.</w:t>
      </w:r>
      <w:r>
        <w:rPr>
          <w:b/>
          <w:bCs/>
          <w:lang w:val="el" w:eastAsia="el"/>
        </w:rPr>
        <w:t xml:space="preserve"> Τα υβριδικά μηχανοκίνητα επιβατικά αυτοκίνητα, όπως αυτά προσδιορίζονται από την Οδηγία 2007/46/ ΕΚ, όπως ισχύει, και ειδικότερα τα υβριδικά ηλεκτρικά αυτοκίνητα, όπως αυτά προσδιορίζονται από τον Κανονισμό 692/2008, όπως ισχύει, με εκπεμπόμενη μάζα διοξειδίου του άνθρακα μεγαλύτερη από ή ίση με πενήντα ένα (51) γρ./χλμ., απαλλάσσονται από το πενήντα τοις εκατό (50%) του προβλεπόμενου από το άρθρο αυτό τέλους ταξινόμησης. Τα υβριδικά αυτοκίνητα του προηγούμενου εδαφίου με εκπεμπόμενη μάζα διοξειδίου του άνθρακα μικρότερη ή ίση με πενήντα (50) γρ./χλμ. απαλλάσσονται από το εβδομήντα πέντε (75%) του προ-βλεπόμενου από τις διατάξεις του άρθρου αυτού τέλους ταξινόμησης. Τα αμιγώς ηλεκτρικά αυτοκίνητα, όπως αυτά προσδιορίζονται από τον Κανονισμό 692/2008, δεν υπόκεινται στο προβλεπόμενο από τις διατάξεις του παρόντος τέλους ταξινόμησης.</w:t>
      </w:r>
    </w:p>
    <w:p>
      <w:pPr>
        <w:pStyle w:val="MainText"/>
        <w:spacing w:before="120" w:after="0"/>
        <w:rPr>
          <w:lang w:val="el" w:eastAsia="el"/>
        </w:rPr>
      </w:pPr>
      <w:r>
        <w:rPr>
          <w:b/>
          <w:bCs/>
          <w:lang w:val="el" w:eastAsia="el"/>
        </w:rPr>
        <w:t>6.</w:t>
      </w:r>
      <w:r>
        <w:rPr>
          <w:b/>
          <w:bCs/>
          <w:lang w:val="el" w:eastAsia="el"/>
        </w:rPr>
        <w:t xml:space="preserve"> Τα αυτοκινούμενα τροχόσπιτα της Δασμολογικής Κλάσης Δ.Κ. 8703 της Συνδυασμένης Ονοματολογίας (Σ.Ο.), απαλλάσσονται από το εβδομήντα πέντε (75%) του προβλεπόμενου από τις διατάξεις του παρόντος τέλους ταξινόμησης.</w:t>
      </w:r>
    </w:p>
    <w:p>
      <w:pPr>
        <w:pStyle w:val="MainText"/>
        <w:spacing w:before="120" w:after="0"/>
        <w:rPr>
          <w:lang w:val="el" w:eastAsia="el"/>
        </w:rPr>
      </w:pPr>
      <w:r>
        <w:rPr>
          <w:b/>
          <w:bCs/>
          <w:lang w:val="el" w:eastAsia="el"/>
        </w:rPr>
        <w:t>7.</w:t>
      </w:r>
      <w:r>
        <w:rPr>
          <w:b/>
          <w:bCs/>
          <w:lang w:val="el" w:eastAsia="el"/>
        </w:rPr>
        <w:t xml:space="preserve"> Επιβατικά αυτοκίνητα ιδιωτικής χρήσης της Δασμολογικής Κλάσης Δ.Κ. 87.03 της Συνδυασμένης Ονοματολογίας, τα οποία είχαν ταξινομηθεί και κυκλοφορήσει στην Ελλάδα, εφόσον μεταφέρονται ή αποστέλλονται σε άλλο κράτος - 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παρόντος τέλος ταξινόμησης.</w:t>
      </w:r>
    </w:p>
    <w:p>
      <w:pPr>
        <w:spacing w:before="240" w:after="240"/>
        <w:rPr>
          <w:lang w:val="el" w:eastAsia="el"/>
        </w:rPr>
      </w:pPr>
      <w:r>
        <w:rPr>
          <w:b/>
          <w:bCs/>
          <w:lang w:val="el" w:eastAsia="el"/>
        </w:rPr>
        <w:t>Με κοινή απόφαση των Υπουργών Οικονομικών και Υποδομών και Μεταφορών καθορίζεται κάθε ειδικότερο θέμα για την εφαρμογή της παρούσας.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6"/>
      </w:r>
      <w:r>
        <w:rPr>
          <w:b/>
          <w:bCs/>
          <w:lang w:val="el" w:eastAsia="el"/>
        </w:rPr>
        <w:t>Για την υπαγωγή στους αντίστοιχους συντελεστές τέλους ταξινόμησης των παρ. 2, 3 και 4,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έγκριση τύπου που προσκομίζεται σε αυτήν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γίνεται με βάση τις αναγραφόμενες εκπομπές διοξειδίου του άνθρακα και το αναγραφόμενο στο πιστοποιητικό συμμόρφωσης πρότυπο εκπομπών ρύπων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δεν διαθέτουν τα δικαιολογητικά έγγραφα του πρώτου εδαφίου, για την υπαγωγή του οχήματος στον αντίστοιχο συντελεστή τέλους ταξινόμησης, καθορίζονται, με κοινή απόφαση των Υπουργών Οικονομικών, Περιβάλλοντος και Ενέργειας και Υποδομών και Μεταφορών και του Διοικητή της Ανεξάρτητης Αρχής Δημοσίων Εσόδων, οι διαδικασίες και τα δικαιολογητικά έγγραφα που προσκομίζονται στην αρμόδια τελωνειακή αρχή για τον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άλλο ειδικότερο θέμα για την εφαρμογή της παρούσας.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47"/>
      </w:r>
      <w:r>
        <w:rPr>
          <w:b/>
          <w:bCs/>
          <w:lang w:val="el" w:eastAsia="el"/>
        </w:rPr>
        <w:t>Στα επιβατικά αυτοκίνητα της δασμολογικής κλάσης Σ.Ο. 87.03, τα οποία έχουν λάβει έγκριση Μεμονωμένου Οχήματος Ιδιαίτερης Κατασκευής (Μ.Ο.Ι.Κ.) σύμφωνα με την υπ` αρ. 33692/2202/2014 (Β` 3134) απόφαση του Υπουργού Υποδομών και Μεταφορών και ταξινομούνται ως «οχήματα μεταχειρισμένων εξαρτημάτων», επιβάλλεται τέλος ταξινόμησης αναλόγως του κυλινδρισμού του κινητήρα τους, ως εξής:</w:t>
      </w:r>
    </w:p>
    <w:p>
      <w:pPr>
        <w:spacing w:before="240" w:after="240"/>
        <w:rPr>
          <w:lang w:val="el" w:eastAsia="el"/>
        </w:rPr>
      </w:pPr>
      <w:r>
        <w:rPr>
          <w:b/>
          <w:bCs/>
          <w:lang w:val="el" w:eastAsia="el"/>
        </w:rPr>
        <w:t>Κυλινδρισμός κινητήρα Ποσό τέλους ταξινόμησης</w:t>
      </w:r>
    </w:p>
    <w:p>
      <w:pPr>
        <w:spacing w:before="240" w:after="240"/>
        <w:rPr>
          <w:lang w:val="el" w:eastAsia="el"/>
        </w:rPr>
      </w:pPr>
      <w:r>
        <w:rPr>
          <w:b/>
          <w:bCs/>
          <w:lang w:val="el" w:eastAsia="el"/>
        </w:rPr>
        <w:t>Έως 1.000 κυβικά εκατοστά 500 ευρώ</w:t>
      </w:r>
    </w:p>
    <w:p>
      <w:pPr>
        <w:spacing w:before="240" w:after="240"/>
        <w:rPr>
          <w:lang w:val="el" w:eastAsia="el"/>
        </w:rPr>
      </w:pPr>
      <w:r>
        <w:rPr>
          <w:b/>
          <w:bCs/>
          <w:lang w:val="el" w:eastAsia="el"/>
        </w:rPr>
        <w:t>από 1.001 έως 1.400 κυβικά εκατοστά 700 ευρώ</w:t>
      </w:r>
    </w:p>
    <w:p>
      <w:pPr>
        <w:spacing w:before="240" w:after="240"/>
        <w:rPr>
          <w:lang w:val="el" w:eastAsia="el"/>
        </w:rPr>
      </w:pPr>
      <w:r>
        <w:rPr>
          <w:b/>
          <w:bCs/>
          <w:lang w:val="el" w:eastAsia="el"/>
        </w:rPr>
        <w:t>από 1.401 έως 1.600 κυβικά εκατοστά 900 ευρώ</w:t>
      </w:r>
    </w:p>
    <w:p>
      <w:pPr>
        <w:spacing w:before="240" w:after="240"/>
        <w:rPr>
          <w:lang w:val="el" w:eastAsia="el"/>
        </w:rPr>
      </w:pPr>
      <w:r>
        <w:rPr>
          <w:b/>
          <w:bCs/>
          <w:lang w:val="el" w:eastAsia="el"/>
        </w:rPr>
        <w:t>από 1.601 έως 1.800 κυβικά εκατοστά 1.100 ευρώ</w:t>
      </w:r>
    </w:p>
    <w:p>
      <w:pPr>
        <w:spacing w:before="240" w:after="240"/>
        <w:rPr>
          <w:lang w:val="el" w:eastAsia="el"/>
        </w:rPr>
      </w:pPr>
      <w:r>
        <w:rPr>
          <w:b/>
          <w:bCs/>
          <w:lang w:val="el" w:eastAsia="el"/>
        </w:rPr>
        <w:t>από 1.801 έως 2000 κυβικά εκατοστά 1.300 ευρώ</w:t>
      </w:r>
    </w:p>
    <w:p>
      <w:pPr>
        <w:spacing w:before="240" w:after="240"/>
        <w:rPr>
          <w:lang w:val="el" w:eastAsia="el"/>
        </w:rPr>
      </w:pPr>
      <w:r>
        <w:rPr>
          <w:b/>
          <w:bCs/>
          <w:lang w:val="el" w:eastAsia="el"/>
        </w:rPr>
        <w:t>από 2001 κυβικά εκατοστά και άνω 1.500 ευρώ</w:t>
      </w:r>
    </w:p>
    <w:p>
      <w:pPr>
        <w:spacing w:before="240" w:after="240"/>
        <w:rPr>
          <w:lang w:val="el" w:eastAsia="el"/>
        </w:rPr>
      </w:pPr>
      <w:r>
        <w:rPr>
          <w:b/>
          <w:bCs/>
          <w:lang w:val="el" w:eastAsia="el"/>
        </w:rPr>
        <w:t>Ως προς τον χρόνο γένεσης της υποχρέωσης καταβολής του τέλους ταξινόμησης και του απαιτητού αυτού, καθώς και για τη βεβαίωση και είσπραξη του τέλους ταξινόμησης, εφαρμόζονται τα άρθρα 128 και 130.</w:t>
      </w:r>
    </w:p>
    <w:p>
      <w:pPr>
        <w:spacing w:before="240" w:after="240"/>
        <w:rPr>
          <w:lang w:val="el" w:eastAsia="el"/>
        </w:rPr>
      </w:pPr>
      <w:r>
        <w:rPr>
          <w:b/>
          <w:bCs/>
          <w:lang w:val="el" w:eastAsia="el"/>
        </w:rPr>
        <w:t>Ειδικότερα για τα εγχωρίως κατασκευαζόμενα Μ.Ο.Ι.Κ., η υποχρέωση καταβολής του τέλους ταξινόμησης γεννάται με την ολοκλήρωση της κατασκευής τους και το τέλος ταξινόμησης καθίσταται απαιτητό και καταβάλλεται, πριν από τη θέση των οχημάτων σε κυκλοφορία, με την υποβολή της ειδικής δήλωσης της παρ. 2 του άρθρου 130.</w:t>
      </w:r>
    </w:p>
    <w:p>
      <w:pPr>
        <w:spacing w:before="240" w:after="240"/>
        <w:rPr>
          <w:lang w:val="el" w:eastAsia="el"/>
        </w:rPr>
      </w:pPr>
      <w:r>
        <w:rPr>
          <w:b/>
          <w:bCs/>
          <w:lang w:val="el" w:eastAsia="el"/>
        </w:rPr>
        <w:t>H παρ. 7 του παρόντος και το άρθρο 129 εφαρμόζονται και για τα επιβατικά οχήματα της παρούσας.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8"/>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9"/>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50"/>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1"/>
      </w:r>
      <w:r>
        <w:rPr>
          <w:rStyle w:val="Hyperlink"/>
          <w:b/>
          <w:bCs/>
          <w:color w:val="000000"/>
          <w:sz w:val="20"/>
          <w:szCs w:val="20"/>
          <w:u w:val="none" w:color="0000EE"/>
          <w:vertAlign w:val="superscript"/>
          <w:lang w:val="el" w:eastAsia="el"/>
        </w:rPr>
        <w:footnoteReference w:id="252"/>
      </w:r>
      <w:r>
        <w:rPr>
          <w:rStyle w:val="Hyperlink"/>
          <w:b/>
          <w:bCs/>
          <w:color w:val="000000"/>
          <w:sz w:val="20"/>
          <w:szCs w:val="20"/>
          <w:u w:val="none" w:color="0000EE"/>
          <w:vertAlign w:val="superscript"/>
          <w:lang w:val="el" w:eastAsia="el"/>
        </w:rPr>
        <w:footnoteReference w:id="253"/>
      </w:r>
      <w:r>
        <w:rPr>
          <w:rStyle w:val="Hyperlink"/>
          <w:b/>
          <w:bCs/>
          <w:color w:val="000000"/>
          <w:sz w:val="20"/>
          <w:szCs w:val="20"/>
          <w:u w:val="none" w:color="0000EE"/>
          <w:vertAlign w:val="superscript"/>
          <w:lang w:val="el" w:eastAsia="el"/>
        </w:rPr>
        <w:footnoteReference w:id="254"/>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Δ.Κ. 87.04 της Συνδυασμένης Ονοματολογίας (Σ.Ο.), καθώς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περ. α` έως και ε` προσαυξάνονται κατά ποσοστό τριάντα τοις εκατό (30%), προκειμένου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μεταγενέστερους τροποποιητικούς αυτών, ή τις προδιαγραφές των σειρών Β2 ή C (EEV) της Οδηγίας 1999/96 ΕΚ, 2005/55 ΕΚ Euro V και κατά ποσοστό εκατό τοις εκατό (100%), προκειμένου για αυτοκίνητα που δεν πληρούν τις προδιαγραφές των ανωτέρω ορίων εκπομπών και τις προδιαγραφές ορίων εκπομπών Euro 6, όπως αυτά προβλέπονται στους Κανονισμούς 715/2007 (ΕΚ), 692/2008 (ΕΚ), καθώς και αυτά που δεν πληρούν τις προδιαγραφές του Κανονισμού 595/2009 Euro VI.. </w:t>
      </w:r>
    </w:p>
    <w:p>
      <w:pPr>
        <w:spacing w:before="240" w:after="240"/>
        <w:rPr>
          <w:lang w:val="el" w:eastAsia="el"/>
        </w:rPr>
      </w:pPr>
      <w:r>
        <w:rPr>
          <w:rStyle w:val="Hyperlink"/>
          <w:b/>
          <w:bCs/>
          <w:color w:val="000000"/>
          <w:sz w:val="20"/>
          <w:szCs w:val="20"/>
          <w:u w:val="none" w:color="0000EE"/>
          <w:vertAlign w:val="superscript"/>
          <w:lang w:val="el" w:eastAsia="el"/>
        </w:rPr>
        <w:footnoteReference w:id="255"/>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56"/>
      </w:r>
      <w:r>
        <w:rPr>
          <w:b/>
          <w:bCs/>
          <w:lang w:val="el" w:eastAsia="el"/>
        </w:rPr>
        <w:t xml:space="preserve">Τα ανοικτά φορτηγά αυτοκίνητα της δασμολογικής κλάσης 87.04 που διασκευάζονται σε κλειστά φορτηγά της ίδιας δασμολογικής κλάσης, μικτού βάρους μέχρι και τρεισήμισι (3,5) τόνους, κατ` εφαρμογή της παρ. 11 του </w:t>
      </w:r>
      <w:hyperlink r:id="rId5" w:history="1">
        <w:r>
          <w:rPr>
            <w:rStyle w:val="Hyperlink"/>
            <w:b/>
            <w:bCs/>
            <w:color w:val="0000EE"/>
            <w:u w:color="0000EE"/>
            <w:lang w:val="el" w:eastAsia="el"/>
          </w:rPr>
          <w:t>άρθρου 4</w:t>
        </w:r>
      </w:hyperlink>
      <w:r>
        <w:rPr>
          <w:b/>
          <w:bCs/>
          <w:lang w:val="el" w:eastAsia="el"/>
        </w:rPr>
        <w:t xml:space="preserve"> του ν. </w:t>
      </w:r>
      <w:hyperlink r:id="rId6" w:history="1">
        <w:r>
          <w:rPr>
            <w:rStyle w:val="Hyperlink"/>
            <w:b/>
            <w:bCs/>
            <w:color w:val="0000EE"/>
            <w:u w:color="0000EE"/>
            <w:lang w:val="el" w:eastAsia="el"/>
          </w:rPr>
          <w:t>2443/1996</w:t>
        </w:r>
      </w:hyperlink>
      <w:r>
        <w:rPr>
          <w:b/>
          <w:bCs/>
          <w:lang w:val="el" w:eastAsia="el"/>
        </w:rPr>
        <w:t xml:space="preserve"> (</w:t>
      </w:r>
      <w:hyperlink r:id="rId7" w:history="1">
        <w:r>
          <w:rPr>
            <w:rStyle w:val="Hyperlink"/>
            <w:b/>
            <w:bCs/>
            <w:color w:val="0000EE"/>
            <w:u w:color="0000EE"/>
            <w:lang w:val="el" w:eastAsia="el"/>
          </w:rPr>
          <w:t>Α` 265</w:t>
        </w:r>
      </w:hyperlink>
      <w:r>
        <w:rPr>
          <w:b/>
          <w:bCs/>
          <w:lang w:val="el" w:eastAsia="el"/>
        </w:rPr>
        <w:t xml:space="preserve">), υποβάλλονται αντί των φορολογικών επιβαρύνσεων που προβλέπονται από τον ν. </w:t>
      </w:r>
      <w:hyperlink r:id="rId8" w:history="1">
        <w:r>
          <w:rPr>
            <w:rStyle w:val="Hyperlink"/>
            <w:b/>
            <w:bCs/>
            <w:color w:val="0000EE"/>
            <w:u w:color="0000EE"/>
            <w:lang w:val="el" w:eastAsia="el"/>
          </w:rPr>
          <w:t>1573/1985</w:t>
        </w:r>
      </w:hyperlink>
      <w:r>
        <w:rPr>
          <w:b/>
          <w:bCs/>
          <w:lang w:val="el" w:eastAsia="el"/>
        </w:rPr>
        <w:t xml:space="preserve"> (</w:t>
      </w:r>
      <w:hyperlink r:id="rId9" w:history="1">
        <w:r>
          <w:rPr>
            <w:rStyle w:val="Hyperlink"/>
            <w:b/>
            <w:bCs/>
            <w:color w:val="0000EE"/>
            <w:u w:color="0000EE"/>
            <w:lang w:val="el" w:eastAsia="el"/>
          </w:rPr>
          <w:t>Α` 201</w:t>
        </w:r>
      </w:hyperlink>
      <w:r>
        <w:rPr>
          <w:b/>
          <w:bCs/>
          <w:lang w:val="el" w:eastAsia="el"/>
        </w:rPr>
        <w:t>) σε τέλος ταξινόμησης, το ύψος του οποίου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κυλινδρισμού κινητήρα από 901 έως και 1.400 κυβικά εκατοστά, τριακόσια εβδομήντα (370)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κυλινδρισμού κινητήρα από 1.401 έως και 1.800 κυβικά εκατοστά, πεντακόσια είκοσι (520)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κυλινδρισμού κινητήρα από 1.801 έως και 2.000 κυβικά εκατοστά, επτακόσια σαράντα (740)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κυλινδρισμού κινητήρα από 2.001 κυβικά εκατοστά και άνω, χίλια εκατόν ογδόντα (1.180)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57"/>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58"/>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0"/>
      </w:r>
      <w:r>
        <w:rPr>
          <w:rStyle w:val="Hyperlink"/>
          <w:b/>
          <w:bCs/>
          <w:color w:val="000000"/>
          <w:sz w:val="20"/>
          <w:szCs w:val="20"/>
          <w:u w:val="none" w:color="0000EE"/>
          <w:vertAlign w:val="superscript"/>
          <w:lang w:val="el" w:eastAsia="el"/>
        </w:rPr>
        <w:footnoteReference w:id="261"/>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2"/>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3"/>
      </w:r>
      <w:r>
        <w:rPr>
          <w:b/>
          <w:bCs/>
          <w:lang w:val="el" w:eastAsia="el"/>
        </w:rPr>
        <w:t>Με απόφαση του Διοικητή της Ανεξάρτητης Αρχής Δημοσίων Εσόδων (Α.Α.Δ.Ε.),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σχετική διαδικασία και κάθε άλλο σχετικό θέμα.</w:t>
      </w:r>
    </w:p>
    <w:p>
      <w:pPr>
        <w:spacing w:before="240" w:after="240"/>
        <w:rPr>
          <w:lang w:val="el" w:eastAsia="el"/>
        </w:rPr>
      </w:pPr>
      <w:r>
        <w:rPr>
          <w:rStyle w:val="Hyperlink"/>
          <w:b/>
          <w:bCs/>
          <w:color w:val="000000"/>
          <w:sz w:val="20"/>
          <w:szCs w:val="20"/>
          <w:u w:val="none" w:color="0000EE"/>
          <w:vertAlign w:val="superscript"/>
          <w:lang w:val="el" w:eastAsia="el"/>
        </w:rPr>
        <w:footnoteReference w:id="264"/>
      </w:r>
      <w:r>
        <w:rPr>
          <w:rStyle w:val="Hyperlink"/>
          <w:b/>
          <w:bCs/>
          <w:color w:val="000000"/>
          <w:sz w:val="20"/>
          <w:szCs w:val="20"/>
          <w:u w:val="none" w:color="0000EE"/>
          <w:vertAlign w:val="superscript"/>
          <w:lang w:val="el" w:eastAsia="el"/>
        </w:rPr>
        <w:footnoteReference w:id="265"/>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66"/>
      </w:r>
      <w:r>
        <w:rPr>
          <w:rStyle w:val="Hyperlink"/>
          <w:b/>
          <w:bCs/>
          <w:color w:val="000000"/>
          <w:sz w:val="20"/>
          <w:szCs w:val="20"/>
          <w:u w:val="none" w:color="0000EE"/>
          <w:vertAlign w:val="superscript"/>
          <w:lang w:val="el" w:eastAsia="el"/>
        </w:rPr>
        <w:footnoteReference w:id="267"/>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8"/>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70"/>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1"/>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72"/>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73"/>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74"/>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75"/>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76"/>
      </w:r>
      <w:r>
        <w:rPr>
          <w:b/>
          <w:bCs/>
          <w:lang w:val="el" w:eastAsia="el"/>
        </w:rPr>
        <w:t>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Αδειες Οδήγησης (EUCARIS), για τους σκοπούς του ΦΠΑ, όπως προβλέπεται στο άρθρο 21α του Κανονισμού Ε.Ε. υπ` αρ. 904/2010.</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77"/>
      </w:r>
      <w:r>
        <w:rPr>
          <w:b/>
          <w:bCs/>
          <w:lang w:val="el" w:eastAsia="el"/>
        </w:rPr>
        <w:t>Το τέλος ταξινόμησης που βεβαιώθηκε και εισπράχθηκε, σύμφωνα με τις διατάξεις του παρόντος, επιστρέφεται, σε περίπτωση οχημάτων, τα οποία δεν ταξινομήθηκαν, με συνέπεια να μην κυκλοφορήσουν στο εσωτερικό της Χώρας, λόγω εξαγωγής σε τρίτες χώρες ή αποστολής τους σε άλλα κράτη - μέλη της Ε.Ε.</w:t>
      </w:r>
    </w:p>
    <w:p>
      <w:pPr>
        <w:spacing w:before="240" w:after="240"/>
        <w:rPr>
          <w:lang w:val="el" w:eastAsia="el"/>
        </w:rPr>
      </w:pPr>
      <w:r>
        <w:rPr>
          <w:b/>
          <w:bCs/>
          <w:lang w:val="el" w:eastAsia="el"/>
        </w:rPr>
        <w:t>Δικαιούχος της επιστροφής είναι το πρόσωπο της παρ. 1, το οποίο κατέβαλε το τέλος ταξινόμησης με την κατά περίπτωση υποβολή του προβλεπόμενου από τις παρ. 2 και 3 τελωνειακού παραστατικού. Το σχετικό δικαίωμα παρέχεται ύστερα από αίτηση του δικαιούχου στις αρμόδιες τελωνειακές αρχές.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οι όροι, οι προϋποθέσεις, η διαδικασία και κάθε άλλο θέμα σχετικό με την επιστροφή του τέλους ταξινόμησης.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8"/>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79"/>
      </w:r>
      <w:r>
        <w:rPr>
          <w:rStyle w:val="Hyperlink"/>
          <w:b/>
          <w:bCs/>
          <w:color w:val="000000"/>
          <w:sz w:val="20"/>
          <w:szCs w:val="20"/>
          <w:u w:val="none" w:color="0000EE"/>
          <w:vertAlign w:val="superscript"/>
          <w:lang w:val="el" w:eastAsia="el"/>
        </w:rPr>
        <w:footnoteReference w:id="280"/>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81"/>
      </w:r>
      <w:r>
        <w:rPr>
          <w:rStyle w:val="Hyperlink"/>
          <w:b/>
          <w:bCs/>
          <w:color w:val="000000"/>
          <w:sz w:val="20"/>
          <w:szCs w:val="20"/>
          <w:u w:val="none" w:color="0000EE"/>
          <w:vertAlign w:val="superscript"/>
          <w:lang w:val="el" w:eastAsia="el"/>
        </w:rPr>
        <w:footnoteReference w:id="282"/>
      </w:r>
      <w:r>
        <w:rPr>
          <w:rStyle w:val="Hyperlink"/>
          <w:b/>
          <w:bCs/>
          <w:color w:val="000000"/>
          <w:sz w:val="20"/>
          <w:szCs w:val="20"/>
          <w:u w:val="none" w:color="0000EE"/>
          <w:vertAlign w:val="superscript"/>
          <w:lang w:val="el" w:eastAsia="el"/>
        </w:rPr>
        <w:footnoteReference w:id="283"/>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284"/>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285"/>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86"/>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87"/>
      </w:r>
      <w:r>
        <w:rPr>
          <w:b/>
          <w:bCs/>
          <w:lang w:val="el" w:eastAsia="el"/>
        </w:rPr>
        <w:t>α. Όταν καταστρέφεται ολοσχερώς αυτοκίνητο που έχει παραληφθεί με απαλλαγή από το τέλος ταξινόμησης με βάση τη νομοθεσία που ισχύει για τα άτομα με αναπηρίες, είναι δυνατή η αντικατάστασή του με απαλλαγή από το τέλος ταξινόμησης εντός του ισχύοντος περιοριστικού διαστήματος τελωνειακής παρακολούθησής του.</w:t>
      </w:r>
    </w:p>
    <w:p>
      <w:pPr>
        <w:spacing w:before="240" w:after="240"/>
        <w:rPr>
          <w:lang w:val="el" w:eastAsia="el"/>
        </w:rPr>
      </w:pPr>
      <w:r>
        <w:rPr>
          <w:b/>
          <w:bCs/>
          <w:lang w:val="el" w:eastAsia="el"/>
        </w:rPr>
        <w:t>β. Το δικαίωμα αντικατάστασης αυτοκινήτου λόγω ολικής καταστροφής, σύμφωνα με την παρ. 1 παρέχεται άπαξ ανά δικαιούχο, υπό την προϋπόθεση ότι υποβάλλονται στην τελωνειακή αρχή:</w:t>
      </w:r>
    </w:p>
    <w:p>
      <w:pPr>
        <w:pStyle w:val="StructureList1"/>
        <w:spacing w:before="120" w:after="0"/>
        <w:rPr>
          <w:lang w:val="el" w:eastAsia="el"/>
        </w:rPr>
      </w:pPr>
      <w:r>
        <w:rPr>
          <w:b/>
          <w:bCs/>
          <w:lang w:val="el" w:eastAsia="el"/>
        </w:rPr>
        <w:t>βα)</w:t>
      </w:r>
      <w:r>
        <w:rPr>
          <w:b/>
          <w:bCs/>
          <w:lang w:val="en" w:eastAsia="en"/>
        </w:rPr>
        <w:tab/>
      </w:r>
      <w:r>
        <w:rPr>
          <w:b/>
          <w:bCs/>
          <w:lang w:val="el" w:eastAsia="el"/>
        </w:rPr>
        <w:t>αίτηση για την παραλαβή νέου αυτοκινήτου με απαλλαγή από το τέλος ταξινόμησης,</w:t>
      </w:r>
    </w:p>
    <w:p>
      <w:pPr>
        <w:pStyle w:val="StructureList1"/>
        <w:spacing w:before="120" w:after="0"/>
        <w:rPr>
          <w:lang w:val="el" w:eastAsia="el"/>
        </w:rPr>
      </w:pPr>
      <w:r>
        <w:rPr>
          <w:b/>
          <w:bCs/>
          <w:lang w:val="el" w:eastAsia="el"/>
        </w:rPr>
        <w:t>ββ)</w:t>
      </w:r>
      <w:r>
        <w:rPr>
          <w:b/>
          <w:bCs/>
          <w:lang w:val="en" w:eastAsia="en"/>
        </w:rPr>
        <w:tab/>
      </w:r>
      <w:r>
        <w:rPr>
          <w:b/>
          <w:bCs/>
          <w:lang w:val="el" w:eastAsia="el"/>
        </w:rPr>
        <w:t>ακριβές αντίγραφο από το βιβλίο αδικημάτων και συμβάντων της οικείας Αστυνομικής Υπηρεσίας, από το οποίο προκύπτει ότι ο ενδιαφερόμενος έχει δηλώσει την ολική καταστροφή,</w:t>
      </w:r>
    </w:p>
    <w:p>
      <w:pPr>
        <w:pStyle w:val="StructureList1"/>
        <w:spacing w:before="120" w:after="0"/>
        <w:rPr>
          <w:lang w:val="el" w:eastAsia="el"/>
        </w:rPr>
      </w:pPr>
      <w:r>
        <w:rPr>
          <w:b/>
          <w:bCs/>
          <w:lang w:val="el" w:eastAsia="el"/>
        </w:rPr>
        <w:t>βγ)</w:t>
      </w:r>
      <w:r>
        <w:rPr>
          <w:b/>
          <w:bCs/>
          <w:lang w:val="en" w:eastAsia="en"/>
        </w:rPr>
        <w:tab/>
      </w:r>
      <w:r>
        <w:rPr>
          <w:b/>
          <w:bCs/>
          <w:lang w:val="el" w:eastAsia="el"/>
        </w:rPr>
        <w:t>πράξη οριστικής διαγραφής από τα Μητρώα του Υπουργείου Υποδομών και Μεταφορών του αυτοκινήτου που καταστράφηκε,</w:t>
      </w:r>
    </w:p>
    <w:p>
      <w:pPr>
        <w:pStyle w:val="StructureList1"/>
        <w:spacing w:before="120" w:after="0"/>
        <w:rPr>
          <w:lang w:val="el" w:eastAsia="el"/>
        </w:rPr>
      </w:pPr>
      <w:r>
        <w:rPr>
          <w:b/>
          <w:bCs/>
          <w:lang w:val="el" w:eastAsia="el"/>
        </w:rPr>
        <w:t>βδ)</w:t>
      </w:r>
      <w:r>
        <w:rPr>
          <w:b/>
          <w:bCs/>
          <w:lang w:val="en" w:eastAsia="en"/>
        </w:rPr>
        <w:tab/>
      </w:r>
      <w:r>
        <w:rPr>
          <w:b/>
          <w:bCs/>
          <w:lang w:val="el" w:eastAsia="el"/>
        </w:rPr>
        <w:t>βεβαίωση ότι το αυτοκίνητο που καταστράφηκε έχει εγκαταλειφθεί υπέρ του Δημοσίου μέσω τελωνειακής αρχής και,</w:t>
      </w:r>
    </w:p>
    <w:p>
      <w:pPr>
        <w:pStyle w:val="StructureList1"/>
        <w:spacing w:before="120" w:after="0"/>
        <w:rPr>
          <w:lang w:val="el" w:eastAsia="el"/>
        </w:rPr>
      </w:pPr>
      <w:r>
        <w:rPr>
          <w:b/>
          <w:bCs/>
          <w:lang w:val="el" w:eastAsia="el"/>
        </w:rPr>
        <w:t>βε)</w:t>
      </w:r>
      <w:r>
        <w:rPr>
          <w:b/>
          <w:bCs/>
          <w:lang w:val="en" w:eastAsia="en"/>
        </w:rPr>
        <w:tab/>
      </w:r>
      <w:r>
        <w:rPr>
          <w:b/>
          <w:bCs/>
          <w:lang w:val="el" w:eastAsia="el"/>
        </w:rPr>
        <w:t>βεβαίωση της αρμόδιας Διεύθυνσης Διαχείρισης Δημόσιου Υλικού (ΔΙ.Δ.Δ.Υ.) της Γενικής Διεύθυνσης Τελωνείων και Ειδικών Φόρων Κατανάλωσης της Α.Α.Δ.Ε., ότι το αυτοκίνητο που εγκαταλείφθηκε σύμφωνα με την περ. δ` έχει χαρακτηριστεί ως Όχημα Τέλους Κύκλου Ζωής (Ο.Τ. Κ.Ζ.).</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88"/>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9Α.</w:t>
      </w:r>
      <w:r>
        <w:rPr>
          <w:b/>
          <w:bCs/>
          <w:lang w:val="el" w:eastAsia="el"/>
        </w:rPr>
        <w:t xml:space="preserve"> </w:t>
      </w:r>
      <w:r>
        <w:rPr>
          <w:rStyle w:val="Hyperlink"/>
          <w:b/>
          <w:bCs/>
          <w:color w:val="000000"/>
          <w:sz w:val="20"/>
          <w:szCs w:val="20"/>
          <w:u w:val="none" w:color="0000EE"/>
          <w:vertAlign w:val="superscript"/>
          <w:lang w:val="el" w:eastAsia="el"/>
        </w:rPr>
        <w:footnoteReference w:id="290"/>
      </w:r>
      <w:r>
        <w:rPr>
          <w:b/>
          <w:bCs/>
          <w:lang w:val="el" w:eastAsia="el"/>
        </w:rPr>
        <w:t>Απαλλάσσονται από το τέλος ταξινόμησης τα ασθενοφόρα και οι ειδικές κινητές μονάδες, καινούρια ή μεταχειρισμένα, που αποκτώνται από Ν.Π.Ι.Δ. μη κερδοσκοπικού χαρακτήρα, εφόσον τα οχήματα αυτά παρέχουν υπηρεσίες για λογαριασμό του ΕΚΑΒ ή παρα-χωρούνται για χρήση στο ΕΚΑΒ. Αν η παροχή υπηρεσιών για λογαριασμό του ΕΚΑΒ ή η παραχώρηση της χρήσης των ανωτέρω οχημάτων στο ΕΚΑΒ, λήξουν πριν από τη συμπλήρωση πέντε (5) ετών από την ημερομηνία χορήγησης της απαλλαγής, εισπράττεται το ποσό του τέλους ταξινόμησης που υπολείπεται, κατά τον χρόνο λήξης της παροχής των ανωτέρω υπηρεσιών για λογαριασμό του ΕΚΑΒ ή λήξης της παραχώρησης της ως άνω χρήσης στο ΕΚΑΒ. Το αναλογούν τέλος ταξινόμησης υπολογίζεται με βάση το τέλος ταξινόμησης για το οποίο χορηγήθηκε η απαλλαγή και τους μήνες που υπολείπονται για τη συμπλήρωση της πενταετίας. Για τον υπολογισμό του αναλογούντος τέλους ταξινόμησης λογίζεται ως μήνας διάστημα μεγαλύτερο των δεκαπέντε (15) ημερών.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91"/>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92"/>
      </w:r>
      <w:r>
        <w:rPr>
          <w:rStyle w:val="Hyperlink"/>
          <w:b/>
          <w:bCs/>
          <w:color w:val="000000"/>
          <w:sz w:val="20"/>
          <w:szCs w:val="20"/>
          <w:u w:val="none" w:color="0000EE"/>
          <w:vertAlign w:val="superscript"/>
          <w:lang w:val="el" w:eastAsia="el"/>
        </w:rPr>
        <w:footnoteReference w:id="293"/>
      </w:r>
      <w:r>
        <w:rPr>
          <w:rStyle w:val="Hyperlink"/>
          <w:b/>
          <w:bCs/>
          <w:color w:val="000000"/>
          <w:sz w:val="20"/>
          <w:szCs w:val="20"/>
          <w:u w:val="none" w:color="0000EE"/>
          <w:vertAlign w:val="superscript"/>
          <w:lang w:val="el" w:eastAsia="el"/>
        </w:rPr>
        <w:footnoteReference w:id="294"/>
      </w:r>
      <w:r>
        <w:rPr>
          <w:rStyle w:val="Hyperlink"/>
          <w:b/>
          <w:bCs/>
          <w:color w:val="000000"/>
          <w:sz w:val="20"/>
          <w:szCs w:val="20"/>
          <w:u w:val="none" w:color="0000EE"/>
          <w:vertAlign w:val="superscript"/>
          <w:lang w:val="el" w:eastAsia="el"/>
        </w:rPr>
        <w:footnoteReference w:id="295"/>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297"/>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98"/>
      </w:r>
      <w:r>
        <w:rPr>
          <w:rStyle w:val="Hyperlink"/>
          <w:b/>
          <w:bCs/>
          <w:color w:val="000000"/>
          <w:sz w:val="20"/>
          <w:szCs w:val="20"/>
          <w:u w:val="none" w:color="0000EE"/>
          <w:vertAlign w:val="superscript"/>
          <w:lang w:val="el" w:eastAsia="el"/>
        </w:rPr>
        <w:footnoteReference w:id="299"/>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0"/>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1"/>
      </w:r>
      <w:r>
        <w:rPr>
          <w:rStyle w:val="Hyperlink"/>
          <w:b/>
          <w:bCs/>
          <w:color w:val="000000"/>
          <w:sz w:val="20"/>
          <w:szCs w:val="20"/>
          <w:u w:val="none" w:color="0000EE"/>
          <w:vertAlign w:val="superscript"/>
          <w:lang w:val="el" w:eastAsia="el"/>
        </w:rPr>
        <w:footnoteReference w:id="302"/>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303"/>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304"/>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06"/>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07"/>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08"/>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9"/>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10"/>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11"/>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2"/>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3"/>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14"/>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15"/>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16"/>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17"/>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18"/>
      </w:r>
      <w:r>
        <w:rPr>
          <w:rStyle w:val="Hyperlink"/>
          <w:b/>
          <w:bCs/>
          <w:color w:val="000000"/>
          <w:sz w:val="20"/>
          <w:szCs w:val="20"/>
          <w:u w:val="none" w:color="0000EE"/>
          <w:vertAlign w:val="superscript"/>
          <w:lang w:val="el" w:eastAsia="el"/>
        </w:rPr>
        <w:footnoteReference w:id="319"/>
      </w:r>
      <w:r>
        <w:rPr>
          <w:rStyle w:val="Hyperlink"/>
          <w:b/>
          <w:bCs/>
          <w:color w:val="000000"/>
          <w:sz w:val="20"/>
          <w:szCs w:val="20"/>
          <w:u w:val="none" w:color="0000EE"/>
          <w:vertAlign w:val="superscript"/>
          <w:lang w:val="el" w:eastAsia="el"/>
        </w:rPr>
        <w:footnoteReference w:id="320"/>
      </w:r>
      <w:r>
        <w:rPr>
          <w:rStyle w:val="Hyperlink"/>
          <w:b/>
          <w:bCs/>
          <w:color w:val="000000"/>
          <w:sz w:val="20"/>
          <w:szCs w:val="20"/>
          <w:u w:val="none" w:color="0000EE"/>
          <w:vertAlign w:val="superscript"/>
          <w:lang w:val="el" w:eastAsia="el"/>
        </w:rPr>
        <w:footnoteReference w:id="321"/>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22"/>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23"/>
      </w:r>
      <w:r>
        <w:rPr>
          <w:b/>
          <w:bCs/>
          <w:lang w:val="el" w:eastAsia="el"/>
        </w:rPr>
        <w:t>Αν, στο πλαίσιο διενέργειας ελέγχου για τη διαπίστωση της τήρησης ή μη των εθνικών και ενωσιακών διατάξεων της τελωνειακής νομοθεσίας, ο ελεγχόμενος δεν συνεργαστεί με την τελωνειακή αρχή ή δεν προσκομίσει τα ζητούμενα στοιχεία και αρχεία ή δεν επιτρέψει στην τελωνειακή αρχή την είσοδο σε οποιοδήποτε χώρο της επαγγελματικής του εγκατάστασης ή του μεταφορικού του μέσου, επιβάλλεται πρόστιμο ύψους δύο χιλιάδων πεντακοσίων (2.500) ευρώ σε βάρος του. Για την εφαρμογή της παρούσας, ως μη συνεργασία νοείται η μη ανταπόκριση σε αίτημα της τελωνειακής αρχής για παροχή πληροφοριών ή στοιχείων σε χρόνο που ορίζεται από την τελωνειακή αρχή, ο οποίος δεν δύναται να υπερβαίνει τις τριάντα (30) ημέρες, ούτε να υπολείπεται των πέντε (5) ημερών από την κοινοποίηση της σχετικής πρόσκλησης.</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24"/>
      </w:r>
      <w:r>
        <w:rPr>
          <w:b/>
          <w:bCs/>
          <w:lang w:val="el" w:eastAsia="el"/>
        </w:rPr>
        <w:t>Πράξη η οποία έχει ως αποτέλεσμα τη στέρηση από το Δημόσιο δασμών, φόρων και λοιπών επιβαρύνσεων υγρών καυσίμων, τα οποία εισπράττονται από τις τελωνειακές αρχές σύμφωνα με τις διατάξεις του παρόντος και που δεν υπερβαίνουν συνολικά τα πενήντα (50) ευρώ, χαρακτηρίζεται ως απλή τελωνειακή παράβαση και τιμωρείται με πρόστιμο ίσο με το τριπλάσιο των διαφυγουσών επιβαρύνσεων, το οποίο δεν δύναται να είναι κατώτερο των εκατό (100)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25"/>
      </w:r>
      <w:r>
        <w:rPr>
          <w:b/>
          <w:bCs/>
          <w:lang w:val="el" w:eastAsia="el"/>
        </w:rPr>
        <w:t>Με την επιφύλαξη των παρ. 6, 7, 8, 9, 10 και 11 οπότε επιβάλλονται τα πρόστιμα που προβλέπονται από τις διατάξεις αυτές, για τη μη τήρηση των διαδικασιών του ειδικού καθεστώτος ελευθέρων ζωνών, όπως αυτές ορίζονται από τον Κανονισμό (ΕΕ) 952/2013, τον Κανονισμό (ΕΕ) 2446/2015 και τον Κανονισμό (ΕΕ) 2447/2015, το άρθρο 33, το άρθρο 39 και την απόφαση της παρ. 2 αυτού, επιβάλλεται στον φορέα διαχείρισης ή στην εγκατεστημένη επιχείρηση, κατά περίπτωση, πρόστιμο από εκατό (100) μέχρι πέντε χιλιάδες (5.000) ευρώ για κάθε παράβαση, ανάλογα με τη βαρύτητά της.</w:t>
      </w:r>
    </w:p>
    <w:p>
      <w:pPr>
        <w:pStyle w:val="MainText"/>
        <w:spacing w:before="120" w:after="0"/>
        <w:rPr>
          <w:lang w:val="el" w:eastAsia="el"/>
        </w:rPr>
      </w:pPr>
      <w:r>
        <w:rPr>
          <w:b/>
          <w:bCs/>
          <w:lang w:val="el" w:eastAsia="el"/>
        </w:rPr>
        <w:t>6.</w:t>
      </w:r>
      <w:r>
        <w:rPr>
          <w:b/>
          <w:bCs/>
          <w:lang w:val="el" w:eastAsia="el"/>
        </w:rPr>
        <w:t xml:space="preserve"> Στον φορέα διαχείρισης ή την εγκατεστημένη επιχείρηση που συντάσσει Βεβαίωση Τελωνειακού Χαρακτήρα με την οποία μη ενωσιακά εμπορεύματα, τα οποία εισέρχονται έμμεσα στην ελεύθερη ζώνη, δηλώνονται, είτε με έντυπο είτε μέσω ηλεκτρονικής εφαρμογής, ως ενωσιακά, επιβάλλεται πρόστιμο από δύο (2.000) έως πέντε χιλιάδες (5.000) ευρώ, ανάλογα με τη σοβαρότητα της παράβασης.</w:t>
      </w:r>
    </w:p>
    <w:p>
      <w:pPr>
        <w:pStyle w:val="MainText"/>
        <w:spacing w:before="120" w:after="0"/>
        <w:rPr>
          <w:lang w:val="el" w:eastAsia="el"/>
        </w:rPr>
      </w:pPr>
      <w:r>
        <w:rPr>
          <w:b/>
          <w:bCs/>
          <w:lang w:val="el" w:eastAsia="el"/>
        </w:rPr>
        <w:t>7.</w:t>
      </w:r>
      <w:r>
        <w:rPr>
          <w:b/>
          <w:bCs/>
          <w:lang w:val="el" w:eastAsia="el"/>
        </w:rPr>
        <w:t xml:space="preserve"> Όταν κατά τον έλεγχο στις αποθήκες του φορέα διαχείρισης ή εγκατεστημένης επιχείρησης στην ελεύθερη ζώνη ανακαλύπτονται διαφορές κατά ένα ποσοστό μεγαλύτερο ή μικρότερο, οι οποίες υπερβαίνουν κατά δύο τοις εκατό (2%) την, σύμφωνα με την απόφαση της παρ. 2 του άρθρου 39, οριζόμενη φύρα ή μεταβολές του είδους ή της ποιότητας των εμπορευμάτων που τελούν υπό το καθεστώς της ελεύθερης ζώνης επιβάλλεται στον φορέα διαχείρισης ή στην εγκατεστημένη επιχείρηση, κατά περίπτωση, πρόστιμο ίσο με το διπλάσιο των δα-</w:t>
      </w:r>
    </w:p>
    <w:p>
      <w:pPr>
        <w:spacing w:before="240" w:after="240"/>
        <w:rPr>
          <w:lang w:val="el" w:eastAsia="el"/>
        </w:rPr>
      </w:pPr>
      <w:r>
        <w:rPr>
          <w:b/>
          <w:bCs/>
          <w:lang w:val="el" w:eastAsia="el"/>
        </w:rPr>
        <w:t>σμοφορολογικών επιβαρύνσεων για τα εμπορεύματα που λείπουν ή για αυτά στα οποία βρέθηκαν διαφορές στο είδος ή στην ποιότητά τους.</w:t>
      </w:r>
    </w:p>
    <w:p>
      <w:pPr>
        <w:pStyle w:val="MainText"/>
        <w:spacing w:before="120" w:after="0"/>
        <w:rPr>
          <w:lang w:val="el" w:eastAsia="el"/>
        </w:rPr>
      </w:pPr>
      <w:r>
        <w:rPr>
          <w:b/>
          <w:bCs/>
          <w:lang w:val="el" w:eastAsia="el"/>
        </w:rPr>
        <w:t>8.</w:t>
      </w:r>
      <w:r>
        <w:rPr>
          <w:b/>
          <w:bCs/>
          <w:lang w:val="el" w:eastAsia="el"/>
        </w:rPr>
        <w:t xml:space="preserve"> Εάν οι διαφορές στην ποιότητα, στην ποσότητα ή στο είδος υπερβαίνουν το δέκα τοις εκατό (10%), εκτός της πληρωμής του, κατά την παρ. 7 προστίμου, ο φορέας διαχείρισης ή η εγκατεστημένη επιχείρηση, κατά περίπτωση, υποχρεούται να καταβάλλει αμέσως τους δασμούς, τους φόρους και τις λοιπές επιβαρύνσεις για όλα τα εμπορεύματα που αφορούν στον ίδιο Αριθμό Καταχώρισης Λογιστικής Αποθήκης (Α.Κ.Λ.Α.).</w:t>
      </w:r>
    </w:p>
    <w:p>
      <w:pPr>
        <w:pStyle w:val="MainText"/>
        <w:spacing w:before="120" w:after="0"/>
        <w:rPr>
          <w:lang w:val="el" w:eastAsia="el"/>
        </w:rPr>
      </w:pPr>
      <w:r>
        <w:rPr>
          <w:b/>
          <w:bCs/>
          <w:lang w:val="el" w:eastAsia="el"/>
        </w:rPr>
        <w:t>9.</w:t>
      </w:r>
      <w:r>
        <w:rPr>
          <w:b/>
          <w:bCs/>
          <w:lang w:val="el" w:eastAsia="el"/>
        </w:rPr>
        <w:t xml:space="preserve"> Εάν, κατά τον έλεγχο στις αποθήκες του φορέα διαχείρισης ή εγκατεστημένης επιχείρησης στην ελεύθερη ζώνη, προκύπτει έλλειμμα στα δοχεία ή τα δέματα που έχουν καταχωρισθεί στη λογιστική αποθήκη, επιβάλλεται στον φορέα διαχείρισης ή στην εγκατεστημένη επιχείρηση, κατά περίπτωση, πρόστιμο ίσο με το διπλάσιο των οφειλόμενων δασμών, φόρων και λοιπών επιβαρύνσεων για τα εμπορεύματα που λείπουν. Εάν το βάρος κάθε δοχείου ή δέματος που λείπει, δεν είναι γνωστό, αυτό υπολογίζεται βάσει του μέσου βάρους των ομοειδών δοχείων ή δεμάτων, που έχουν καταχωρισθεί με τον ίδιο Αριθμό Καταχώρισης Λογιστικής Αποθήκης (Α.Κ.Λ.Α.). Η εφαρμογή των προηγούμενων εδαφίων δεν αποκλείει τη δίωξη για λαθρεμπορία σύμφωνα με την περ. ιδ` της παρ. 2 του άρθρου 155.</w:t>
      </w:r>
    </w:p>
    <w:p>
      <w:pPr>
        <w:pStyle w:val="MainText"/>
        <w:spacing w:before="120" w:after="0"/>
        <w:rPr>
          <w:lang w:val="el" w:eastAsia="el"/>
        </w:rPr>
      </w:pPr>
      <w:r>
        <w:rPr>
          <w:b/>
          <w:bCs/>
          <w:lang w:val="el" w:eastAsia="el"/>
        </w:rPr>
        <w:t>10.</w:t>
      </w:r>
      <w:r>
        <w:rPr>
          <w:b/>
          <w:bCs/>
          <w:lang w:val="el" w:eastAsia="el"/>
        </w:rPr>
        <w:t xml:space="preserve"> Εάν μέσα στις αποθήκες του φορέα διαχείρισης ή εγκατεστημένης επιχείρησης στην ελεύθερη ζώνη, βρίσκονται εμπορεύματα τα οποία τελούν υπό το ειδικό καθεστώς της ελεύθερης ζώνης και δεν έχουν καταχωρισθεί στη λογιστική αποθήκη, επιβάλλεται στον φορέα διαχείρισης ή την εγκατεστημένη επιχείρηση, κατά περίπτωση, πρόστιμο ίσο με το διπλάσιο των οφειλόμενων δασμών, φόρων και λοιπών επιβαρύνσεων.</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δύναται να ειδικεύονται οι παραβάσεις της παρ. 5 και να ρυθμίζεται το ύψος των προστίμων για κάθε παράβαση μέσα στα όρια που προβλέπονται στο παρόν.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6"/>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7"/>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28"/>
      </w:r>
      <w:r>
        <w:rPr>
          <w:b/>
          <w:bCs/>
          <w:lang w:val="el" w:eastAsia="el"/>
        </w:rPr>
        <w:t>α) H έκδοση πράξης επιβολής πολλαπλού τέλους σε βάρος ορισμένου προσώπου, σύμφωνα με την παρ. 1, για παράβαση που συνιστά συγχρόνως και το έγκλημα της λαθρεμπορίας κατά τις διατάξεις του παρόντος Κώδικα, αναστέλλει την προθεσμία της παραγραφής του σχετικού ποινικού αδικήματος και συνεπάγεται την αυτεπάγγελτη αναβολή ή αναστολή της αντίστοιχης ποινικής διαδικασίας. Για τον σκοπό αυτόν, η τελωνειακή αρχή που εξέδωσε την πράξη αποστέλλει αμελλητί αντίγραφο αυτής στον αρμόδιο εισαγγελέα.</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 Αν έχει κινηθεί η διαδικασία που προβλέπεται για τα αυτόφωρα εγκλήματα, σύμφωνα με τα άρθρα 275 επ. και 417 επ. του Κώδικα Ποινικής Δικονομίας, η ποινική διαδικασία συνεχίζεται και την αναστολή αυτής διατάσσει το δικαστήριο στο οποίο έχει εισαχθεί για εκδίκαση η υπόθεση.</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πράξης επιβολής πολλαπλού τέλους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τελωνειακή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9"/>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0"/>
      </w:r>
      <w:r>
        <w:rPr>
          <w:rStyle w:val="Hyperlink"/>
          <w:b/>
          <w:bCs/>
          <w:color w:val="000000"/>
          <w:sz w:val="20"/>
          <w:szCs w:val="20"/>
          <w:u w:val="none" w:color="0000EE"/>
          <w:vertAlign w:val="superscript"/>
          <w:lang w:val="el" w:eastAsia="el"/>
        </w:rPr>
        <w:footnoteReference w:id="331"/>
      </w:r>
      <w:r>
        <w:rPr>
          <w:rStyle w:val="Hyperlink"/>
          <w:b/>
          <w:bCs/>
          <w:color w:val="000000"/>
          <w:sz w:val="20"/>
          <w:szCs w:val="20"/>
          <w:u w:val="none" w:color="0000EE"/>
          <w:vertAlign w:val="superscript"/>
          <w:lang w:val="el" w:eastAsia="el"/>
        </w:rPr>
        <w:footnoteReference w:id="332"/>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33"/>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34"/>
      </w:r>
      <w:r>
        <w:rPr>
          <w:b/>
          <w:bCs/>
          <w:lang w:val="el" w:eastAsia="el"/>
        </w:rPr>
        <w:t>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 απόρρητο των καταθέσεων, των λογαριασμών, των κοινών λογαριασμών, των συμβάσεων και πράξεων επί παραγώγων χρηματοοικονομικών προϊόντων και του περιεχομένου θυρίδων του παραβάτη σε Τράπεζες ή άλλα Πιστωτικά Ιδρύματα και δεσμεύεται το πενήντα τοις εκατό (50%) αυτών και κατ` ανώτατο μέχρι του εξαπλάσιου του ποσού δασμών, φόρων και λοιπών επιβαρύνσεων η διαφυγή ή μη απόδοση του οποίου διαπιστώνεται κατά τα ανωτέρω.</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35"/>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36"/>
      </w:r>
      <w:r>
        <w:rPr>
          <w:b/>
          <w:bCs/>
          <w:lang w:val="el" w:eastAsia="el"/>
        </w:rPr>
        <w:t>Η κατά το άρθρο 155 του παρόντος λαθρεμπορία τιμωρείται με:</w:t>
      </w:r>
    </w:p>
    <w:p>
      <w:pPr>
        <w:pStyle w:val="StructureList1"/>
        <w:spacing w:before="120" w:after="0"/>
        <w:rPr>
          <w:lang w:val="el" w:eastAsia="el"/>
        </w:rPr>
      </w:pPr>
      <w:r>
        <w:rPr>
          <w:b/>
          <w:bCs/>
          <w:lang w:val="el" w:eastAsia="el"/>
        </w:rPr>
        <w:t>α)</w:t>
      </w:r>
      <w:r>
        <w:rPr>
          <w:b/>
          <w:bCs/>
          <w:lang w:val="en" w:eastAsia="en"/>
        </w:rPr>
        <w:tab/>
      </w:r>
      <w:r>
        <w:rPr>
          <w:b/>
          <w:bCs/>
          <w:lang w:val="el" w:eastAsia="el"/>
        </w:rPr>
        <w:t>Φυλάκιση έξι (6) τουλάχιστον μηνών. Εάν όμως το αντικείμενο της λαθρεμπορίας δεν έχει σημαντική αξία και προορίζεται για ατομική χρήση ή ανάλωση του υπαιτίου, το ελάχιστο όριο της ποινής μειώνεται στο ένα έκτο.</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 δύο (2) τουλάχιστον ετών εάν:</w:t>
      </w:r>
    </w:p>
    <w:p>
      <w:pPr>
        <w:pStyle w:val="StructureList1"/>
        <w:spacing w:before="120" w:after="0"/>
        <w:rPr>
          <w:lang w:val="el" w:eastAsia="el"/>
        </w:rPr>
      </w:pPr>
      <w:r>
        <w:rPr>
          <w:b/>
          <w:bCs/>
          <w:lang w:val="el" w:eastAsia="el"/>
        </w:rPr>
        <w:t>βα)</w:t>
      </w:r>
      <w:r>
        <w:rPr>
          <w:b/>
          <w:bCs/>
          <w:lang w:val="en" w:eastAsia="en"/>
        </w:rPr>
        <w:tab/>
      </w:r>
      <w:r>
        <w:rPr>
          <w:b/>
          <w:bCs/>
          <w:lang w:val="el" w:eastAsia="el"/>
        </w:rPr>
        <w:t>διαπράχθηκε καθ` υποτροπήν,</w:t>
      </w:r>
    </w:p>
    <w:p>
      <w:pPr>
        <w:pStyle w:val="StructureList1"/>
        <w:spacing w:before="120" w:after="0"/>
        <w:rPr>
          <w:lang w:val="el" w:eastAsia="el"/>
        </w:rPr>
      </w:pPr>
      <w:r>
        <w:rPr>
          <w:b/>
          <w:bCs/>
          <w:lang w:val="el" w:eastAsia="el"/>
        </w:rPr>
        <w:t>ββ)</w:t>
      </w:r>
      <w:r>
        <w:rPr>
          <w:b/>
          <w:bCs/>
          <w:lang w:val="en" w:eastAsia="en"/>
        </w:rPr>
        <w:tab/>
      </w:r>
      <w:r>
        <w:rPr>
          <w:b/>
          <w:bCs/>
          <w:lang w:val="el" w:eastAsia="el"/>
        </w:rPr>
        <w:t>διαπράχθηκε ενόπλως ή υπό τριών ή περισσοτέρων μαζί,</w:t>
      </w:r>
    </w:p>
    <w:p>
      <w:pPr>
        <w:pStyle w:val="StructureList1"/>
        <w:spacing w:before="120" w:after="0"/>
        <w:rPr>
          <w:lang w:val="el" w:eastAsia="el"/>
        </w:rPr>
      </w:pPr>
      <w:r>
        <w:rPr>
          <w:b/>
          <w:bCs/>
          <w:lang w:val="el" w:eastAsia="el"/>
        </w:rPr>
        <w:t>βγ)</w:t>
      </w:r>
      <w:r>
        <w:rPr>
          <w:b/>
          <w:bCs/>
          <w:lang w:val="en" w:eastAsia="en"/>
        </w:rPr>
        <w:tab/>
      </w:r>
      <w:r>
        <w:rPr>
          <w:b/>
          <w:bCs/>
          <w:lang w:val="el" w:eastAsia="el"/>
        </w:rPr>
        <w:t>οι δασμοί, οι φόροι και οι λοιπές επιβαρύνσεις που στερήθηκε το Δημόσιο ή η Ευρωπαϊκή Ένωση ανέρχονται στο ποσό των τριάντα χιλιάδων (30.000) τουλάχιστον ευρώ και άνω,</w:t>
      </w:r>
    </w:p>
    <w:p>
      <w:pPr>
        <w:pStyle w:val="StructureList1"/>
        <w:spacing w:before="120" w:after="0"/>
        <w:rPr>
          <w:lang w:val="el" w:eastAsia="el"/>
        </w:rPr>
      </w:pPr>
      <w:r>
        <w:rPr>
          <w:b/>
          <w:bCs/>
          <w:lang w:val="el" w:eastAsia="el"/>
        </w:rPr>
        <w:t>βδ)</w:t>
      </w:r>
      <w:r>
        <w:rPr>
          <w:b/>
          <w:bCs/>
          <w:lang w:val="en" w:eastAsia="en"/>
        </w:rPr>
        <w:tab/>
      </w:r>
      <w:r>
        <w:rPr>
          <w:b/>
          <w:bCs/>
          <w:lang w:val="el" w:eastAsia="el"/>
        </w:rPr>
        <w:t>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Κάθειρξη, δέκα (10) τουλάχιστον ετών, εάν οι δασμοί, φόροι και οι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7"/>
      </w:r>
      <w:r>
        <w:rPr>
          <w:rStyle w:val="Hyperlink"/>
          <w:b/>
          <w:bCs/>
          <w:color w:val="000000"/>
          <w:sz w:val="20"/>
          <w:szCs w:val="20"/>
          <w:u w:val="none" w:color="0000EE"/>
          <w:vertAlign w:val="superscript"/>
          <w:lang w:val="el" w:eastAsia="el"/>
        </w:rPr>
        <w:footnoteReference w:id="338"/>
      </w:r>
      <w:r>
        <w:rPr>
          <w:b/>
          <w:bCs/>
          <w:lang w:val="el" w:eastAsia="el"/>
        </w:rPr>
        <w:t>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 Τελωνειακής Αρχής και πληρωμή του εισαγωγικού δασμού, φόρου και λοιπών επιβαρύνσεων, εμπορευμάτων, τα οποία έχουν εισαχθεί δυνάμει νόμου ή σύμβασης, ατελώς ή με μειωμένες επιβαρύνσεις για ορισμένες ειδικές χρήσεις ή η χρησιμοποίηση αυτών των εμπορευμάτων σε άλλες χρήσεις 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 απόφαση της αρμόδιας Αρχής, είναι απαγορευμένη η εξαγωγή ή η εισαγωγή, εκτός εάν με έγγραφη άδεια επιτράπηκε αυτή κατ` εξαίρεση της 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 στερήσει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την ανακάλυψη και βεβαίωση του ελλείμματος, οπότε χαρακτηρίζεται η πράξη ως απλή τελωνειακή παράβαση και εφαρμόζεται η παρ. 3 του άρθρου 148 του παρόντος,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 παραπλέουν στην ακτή και κατευθύνονται σε ελληνικό λιμάνι χωρίς να 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 πλοίο, πλοιάριο ή πλωτό μέσο ανεξαρτήτου χωρητικότητας, το οποίο έχει προσορμίσει χωρίς ανώτερη βία σε λιμάνι ή όρμο του Κράτους, στο οποίο 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 που φορτώθηκαν για το εξωτερικό ή για άλλο λιμάνι του Κράτους με 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 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 αυτοκίνητο ή παραποίηση αυτού και η με οποιονδήποτε τρόπο τοποθέτησή του, ενσωμάτωσή του σε άλλο αυτοκίνητο, για το οποίο δεν έχουν καταβληθεί οι οφειλόμενοι δασμοί και λοιποί φόροι. Ως αυτουργοί του αδικήματος διώκονται τόσο οι τεχνικοί και οι άλλοι εκτελούντες τις σχετικές εργασίες, όσο και ο ιδιοκτήτης ή εκμεταλλευόμενος το 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 και χλωρίδας που κινδυνεύουν με εξαφάνιση, και προστατεύονται από Κοινοτικές ή Διεθνείς Συμβάσεις, τιμωρείται με τις διατάξεις περί λαθρεμπορίας, εκτός της περίπτωσης λαθραίας εισαγωγής αγρίων ζώντων ζώων, η οποία τιμωρείται με πρόστιμο τριών χιλιάδων (3.000) ευρώ. Το πρόστιμο επιβάλλεται ανεξαρτήτως των κυρώσεων που τυχόν προβλέπονται 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 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 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 επιβολής του πολλαπλού τέλους θα λαμβάνεται η αξία των ειδών αυτών, όπως αυτή θα προσδιορίζεται από την αρμόδια Υπηρεσία του Υπουργείου 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StructureList1"/>
        <w:spacing w:before="120" w:after="0"/>
        <w:rPr>
          <w:lang w:val="el" w:eastAsia="el"/>
        </w:rPr>
      </w:pPr>
      <w:r>
        <w:rPr>
          <w:b/>
          <w:bCs/>
          <w:lang w:val="el" w:eastAsia="el"/>
        </w:rPr>
        <w:t>ιδ)</w:t>
      </w:r>
      <w:r>
        <w:rPr>
          <w:b/>
          <w:bCs/>
          <w:lang w:val="en" w:eastAsia="en"/>
        </w:rPr>
        <w:tab/>
      </w:r>
      <w:r>
        <w:rPr>
          <w:b/>
          <w:bCs/>
          <w:lang w:val="el" w:eastAsia="el"/>
        </w:rPr>
        <w:t>κάθε έλλειψη από την ελεύθερη ζώνη εμπορευμάτων, τα οποία τελούν υπό το ειδικό καθεστώς της ελεύθερης ζώνης, με σκοπό να στερήσει την Ευρωπαϊκή Ένωση ή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 βεβαίωση του ελλείμματος, οπότε η πράξη χαρακτηρίζεται ως απλή τελωνειακή παράβαση και εφαρμόζεται η παρ. 9 του άρθρου 148.</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39"/>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40"/>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41"/>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2"/>
      </w:r>
      <w:r>
        <w:rPr>
          <w:b/>
          <w:bCs/>
          <w:lang w:val="el" w:eastAsia="el"/>
        </w:rPr>
        <w:t>Με απόφαση του Υπουργού Οικονομικών, η οποία εκδίδεται ύστερα από εισήγηση του Διοικητή της Α.Α.Δ.Ε.,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και οι προϋποθέσεις χορήγησης αμοιβών σε όσους παρέχουν πληροφορίες, οι οποίοι συμβάλλουν:</w:t>
      </w:r>
    </w:p>
    <w:p>
      <w:pPr>
        <w:pStyle w:val="StructureList1"/>
        <w:spacing w:before="120" w:after="0"/>
        <w:rPr>
          <w:lang w:val="el" w:eastAsia="el"/>
        </w:rPr>
      </w:pPr>
      <w:r>
        <w:rPr>
          <w:b/>
          <w:bCs/>
          <w:lang w:val="el" w:eastAsia="el"/>
        </w:rPr>
        <w:t>αα)</w:t>
      </w:r>
      <w:r>
        <w:rPr>
          <w:b/>
          <w:bCs/>
          <w:lang w:val="en" w:eastAsia="en"/>
        </w:rPr>
        <w:tab/>
      </w:r>
      <w:r>
        <w:rPr>
          <w:b/>
          <w:bCs/>
          <w:lang w:val="el" w:eastAsia="el"/>
        </w:rPr>
        <w:t>στη διευκόλυνση της έρευνας για τη διαπίστωση και καταστολή λαθρεμπορικών πράξεων των άρθρων 155 και επόμενα ή</w:t>
      </w:r>
    </w:p>
    <w:p>
      <w:pPr>
        <w:pStyle w:val="StructureList1"/>
        <w:spacing w:before="120" w:after="0"/>
        <w:rPr>
          <w:lang w:val="el" w:eastAsia="el"/>
        </w:rPr>
      </w:pPr>
      <w:r>
        <w:rPr>
          <w:b/>
          <w:bCs/>
          <w:lang w:val="el" w:eastAsia="el"/>
        </w:rPr>
        <w:t>αβ)</w:t>
      </w:r>
      <w:r>
        <w:rPr>
          <w:b/>
          <w:bCs/>
          <w:lang w:val="en" w:eastAsia="en"/>
        </w:rPr>
        <w:tab/>
      </w:r>
      <w:r>
        <w:rPr>
          <w:b/>
          <w:bCs/>
          <w:lang w:val="el" w:eastAsia="el"/>
        </w:rPr>
        <w:t>στην κατάσχεση λαθραίων ειδών και εμπορευμάτων,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όροι και οι προϋποθέσεις χορήγησης αμοιβών στους υπαλλήλους της Α.Α.Δ.Ε., οι οποίες χορηγούνται για την επίτευξη εξαιρετικών επιδόσεων, πέραν των συνήθων καθηκόντων τους, που συμβάλλουν:</w:t>
      </w:r>
    </w:p>
    <w:p>
      <w:pPr>
        <w:pStyle w:val="StructureList1"/>
        <w:spacing w:before="120" w:after="0"/>
        <w:rPr>
          <w:lang w:val="el" w:eastAsia="el"/>
        </w:rPr>
      </w:pPr>
      <w:r>
        <w:rPr>
          <w:b/>
          <w:bCs/>
          <w:lang w:val="el" w:eastAsia="el"/>
        </w:rPr>
        <w:t>βα)</w:t>
      </w:r>
      <w:r>
        <w:rPr>
          <w:b/>
          <w:bCs/>
          <w:lang w:val="en" w:eastAsia="en"/>
        </w:rPr>
        <w:tab/>
      </w:r>
      <w:r>
        <w:rPr>
          <w:b/>
          <w:bCs/>
          <w:lang w:val="el" w:eastAsia="el"/>
        </w:rPr>
        <w:t>στη διευκόλυνση της έρευνας για τη διαπίστωση και καταστολή σημαντικών υποθέσεων λαθρεμπορικών πράξεων των άρθρων 155 και επόμενα ή</w:t>
      </w:r>
    </w:p>
    <w:p>
      <w:pPr>
        <w:pStyle w:val="StructureList1"/>
        <w:spacing w:before="120" w:after="0"/>
        <w:rPr>
          <w:lang w:val="el" w:eastAsia="el"/>
        </w:rPr>
      </w:pPr>
      <w:r>
        <w:rPr>
          <w:b/>
          <w:bCs/>
          <w:lang w:val="el" w:eastAsia="el"/>
        </w:rPr>
        <w:t>ββ)</w:t>
      </w:r>
      <w:r>
        <w:rPr>
          <w:b/>
          <w:bCs/>
          <w:lang w:val="en" w:eastAsia="en"/>
        </w:rPr>
        <w:tab/>
      </w:r>
      <w:r>
        <w:rPr>
          <w:b/>
          <w:bCs/>
          <w:lang w:val="el" w:eastAsia="el"/>
        </w:rPr>
        <w:t>στην κατάσχεση λαθραίων ειδών και εμπορευμάτων,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ύψος και το είδος των αμοιβών που δίδονται ως αντάλλαγμα στα πρόσωπα των περ. α` και β`, οι οποίες μπορεί να είναι υλικές, χρηματικές ή άλλες. Οι χρηματικές αμοιβές που καταβάλλονται είναι κατ` αποκοπή ποσά ή και ποσοστιαίες, έως είκοσι τοις εκατό (20%) επί των εισπραχθέντων πολλαπλών τελών ή του εκπλειστηριάσματος των κατασχεθέντων λαθραίων ειδών. Με όμοια απόφαση καθορίζονται τα μέτρα προστασίας για τα πρόσωπα των προηγούμενων περιπτώσεων.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3"/>
      </w: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MainText"/>
        <w:spacing w:before="120" w:after="0"/>
        <w:rPr>
          <w:lang w:val="el" w:eastAsia="el"/>
        </w:rPr>
      </w:pPr>
      <w:r>
        <w:rPr>
          <w:b/>
          <w:bCs/>
          <w:lang w:val="el" w:eastAsia="el"/>
        </w:rPr>
        <w:t>3.</w:t>
      </w:r>
      <w:r>
        <w:rPr>
          <w:b/>
          <w:bCs/>
          <w:lang w:val="el" w:eastAsia="el"/>
        </w:rPr>
        <w:t xml:space="preserve"> Σε περίπτωση αναστολής της ποινικής διαδικασίας σύμφωνα με την παρ. 5 του άρθρου 150, το αρμόδιο όργανο, σύμφωνα με την παρ. 1, κρίνει για τη θέση ή μη σε δυνητική αργία του δημοσίου υπαλλήλου, κατόπιν ακρόασής του. Αν ο υπάλληλος έχει τεθεί ήδη σε υποχρεωτική αργία, το αρμόδιο όργανο κρίνει εκ νέου για τη διατήρηση ή μη της θέσης του υπαλλήλου σε αργία.</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44"/>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45"/>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1Α.</w:t>
      </w:r>
      <w:r>
        <w:rPr>
          <w:b/>
          <w:bCs/>
          <w:lang w:val="el" w:eastAsia="el"/>
        </w:rPr>
        <w:t xml:space="preserve"> </w:t>
      </w:r>
      <w:r>
        <w:rPr>
          <w:rStyle w:val="Hyperlink"/>
          <w:b/>
          <w:bCs/>
          <w:color w:val="000000"/>
          <w:sz w:val="20"/>
          <w:szCs w:val="20"/>
          <w:u w:val="none" w:color="0000EE"/>
          <w:vertAlign w:val="superscript"/>
          <w:lang w:val="el" w:eastAsia="el"/>
        </w:rPr>
        <w:footnoteReference w:id="346"/>
      </w:r>
      <w:r>
        <w:rPr>
          <w:b/>
          <w:bCs/>
          <w:lang w:val="el" w:eastAsia="el"/>
        </w:rPr>
        <w:t>Κατ` εξαίρεση της παρ. 1, ειδικά τα κατασχεμένα από τις τελωνειακές αρχές ενεργειακά προϊόντα του άρθρου 72, πλην των προϊόντων της περ. α` της παρ. 1 και της παρ. 2 του ίδιου άρθρου, καθώς και τα εύφλεκτα ή επικίνδυνα χημικά υλικά, σε περίπτωση που αυτά δεν εκποιηθούν κατά την πρώτη μονοήμερη δημοπρασία, καταστρέφονται για λόγους δημόσιας υγείας, ασφάλειας και προστασίας του περιβάλλοντος, υπό την προϋπόθεση εξακρίβωσης της χημικής ταυτότητας αυτών από τη Γενική Διεύθυνση Γενικού Χημείου του Κράτους της Α.Α.Δ.Ε., κατά περίπτωση, είτε με τη λήψη και εξέταση δειγμάτων είτε βάσει σχετικών εγγράφων. Η καταστροφή διενεργείται σε εγκαταστάσεις διυλιστηρίων ή αδειοδοτημένων φορέων διαχείρισης επικίνδυνων αποβλήτων. Για την καταστροφή συγκροτείται τριμελής επιτροπή, αποτελούμενη από τον προϊστάμενο του τελωνείου, στη χωρική αρμοδιότητα του οποίου καταστρέφονται τα προϊόντα αυτά ή τον νόμιμο αναπληρωτή του, έναν (1) υπάλληλο με ελεγκτικά καθήκοντα του ίδιου τελωνείου, καθώς και έναν (1) υπάλληλο της κατά τόπον αρμόδιας στον χώρο καταστροφής των προϊόντων αυτών χημικής υπηρεσίας. Για τη συγκρότηση της τριμελούς επιτροπής εκδίδεται απόφαση του ως άνω προϊσταμένου του τελωνείου, στην οποία μνημονεύονται τα μέλη αυτής με τους αναπληρωτές τους και ορίζονται ο χρόνος και ο χώρος καταστροφής. Για την καταστροφή συντάσσεται σχετικό πρωτόκολλο, στο οποίο: α) αναφέρονται τα είδη των προϊόντων, η ποσότητα αυτών και η δασμολογική τους διάκριση, καθώς και ο χρόνος και ο χώρος όπου πραγματοποιήθηκε η καταστροφή και β) βεβαιώνεται ότι τα υπολείμματα και απορρίμματα της καταστροφής δεν μπορούν να χρησιμοποιηθούν, ως καύσιμα κινητήρων ή θέρμανσης.</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47"/>
      </w:r>
      <w:r>
        <w:rPr>
          <w:b/>
          <w:bCs/>
          <w:lang w:val="el" w:eastAsia="el"/>
        </w:rPr>
        <w:t>Βιομηχανοποιημένα καπνά, που κατάσχονται, ως αντικείμενο λαθρεμπορίας, καταστρέφονται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Όσα αναφέρονται στην παρ. 2 του άρθρου 119Β, το αργότερο εντός τεσσάρων (4) μηνών από την κατάσχεση, με την προϋπόθεση ότι έχουν διενεργηθεί και ολοκληρωθεί δειγματοληψίες που προβλέπονται στην παρ. 3 του ίδιου άρθρου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 χωρική αρμοδιότητα της οποίας διενεργήθηκε η κατάσχεση από άλλη ελεγκτική αρχή και στην εταιρεία καπνικών, για τις περιπτώσεις που υποβάλλεται αίτημα σύμφωνα με την περ. γ` της παρ. 3 του άρθρου 119Β.</w:t>
      </w:r>
    </w:p>
    <w:p>
      <w:pPr>
        <w:pStyle w:val="StructureList1"/>
        <w:spacing w:before="120" w:after="0"/>
        <w:rPr>
          <w:lang w:val="el" w:eastAsia="el"/>
        </w:rPr>
      </w:pPr>
      <w:r>
        <w:rPr>
          <w:b/>
          <w:bCs/>
          <w:lang w:val="el" w:eastAsia="el"/>
        </w:rPr>
        <w:t>β)</w:t>
      </w:r>
      <w:r>
        <w:rPr>
          <w:b/>
          <w:bCs/>
          <w:lang w:val="en" w:eastAsia="en"/>
        </w:rPr>
        <w:tab/>
      </w:r>
      <w:r>
        <w:rPr>
          <w:b/>
          <w:bCs/>
          <w:lang w:val="el" w:eastAsia="el"/>
        </w:rPr>
        <w:t>Τα λοιπά προϊόντα, πλην όσων αναφέρονται στην παρ. 2 του άρθρου 119Β, και ποσότητες μικρότερες των 50.000 τεμαχίων για προϊόντα που φέρουν τα εμπορικά σήματα οποιασδήποτε επιχείρησης καπνικών προϊόντων από τις μνημονευόμενες στην παρ. 1 του ίδιου άρθρου, όταν παρέρχονται άπρακτες οι προθεσμίες που ορίζονται στην παρ. 2 του άρθρου 167.</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καταστροφή διενεργείται ενώπιον τριμελούς επιτροπής, η οποία συγκροτείται με σχετική απόφαση του Προϊσταμένου της αρμόδιας τελωνειακής αρχής. Για κατασχέσεις έως χίλια (1.000) τεμάχια τσιγάρων ή έως πέντε (5) χιλιόγραμμα καθαρού βάρους για τα λοιπά βιομηχανοποιημένα καπνά του άρθρου 94, η επιτροπή καταστροφής αποτελείται από τον προϊστάμενο της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Για κατασχέσεις οι οποίες υπερβαίνουν τις ποσότητες του προηγούμενου εδαφίου, η επιτροπή καταστροφής αποτελείται από έναν υπάλληλο της αρμόδιας Τελωνειακής Αρχής, ως πρόεδρο, έναν υπάλληλο της κατά τόπο αρμόδιας αστυνομικής ή λιμενικής αρχής και έναν (1) υπάλληλο της πλησιέστερης ομοίως Δ.Ο.Υ., ως μέλη. Ως αναπληρωτής του υπαλλήλου της Δ.Ο.Υ., δύναται να ορίζεται και υπάλληλος του Δήμου, στον οποίο εδρεύει η αρμόδια Τελωνειακή Αρχή. Ο πρόεδρος και τα μέλη της επιτροπής ορίζονται με τους αναπληρωτές τους, κατόπιν εισήγησης των υπηρεσιών προέλευσής τους. Είναι δυνατή η μαζική καταστροφή 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βιομηχανοποιη-μένα καπνά του άρθρου 94.</w:t>
      </w:r>
    </w:p>
    <w:p>
      <w:pPr>
        <w:spacing w:before="240" w:after="240"/>
        <w:rPr>
          <w:lang w:val="el" w:eastAsia="el"/>
        </w:rPr>
      </w:pPr>
      <w:r>
        <w:rPr>
          <w:b/>
          <w:bCs/>
          <w:lang w:val="el" w:eastAsia="el"/>
        </w:rPr>
        <w:t>Για την καταστροφή συντάσσεται σχετικό πρωτόκολλο.</w:t>
      </w:r>
    </w:p>
    <w:p>
      <w:pPr>
        <w:pStyle w:val="StructureList1"/>
        <w:spacing w:before="120" w:after="0"/>
        <w:rPr>
          <w:lang w:val="el" w:eastAsia="el"/>
        </w:rPr>
      </w:pPr>
      <w:r>
        <w:rPr>
          <w:b/>
          <w:bCs/>
          <w:lang w:val="el" w:eastAsia="el"/>
        </w:rPr>
        <w:t>δ)</w:t>
      </w:r>
      <w:r>
        <w:rPr>
          <w:b/>
          <w:bCs/>
          <w:lang w:val="en" w:eastAsia="en"/>
        </w:rPr>
        <w:tab/>
      </w:r>
      <w:r>
        <w:rPr>
          <w:b/>
          <w:bCs/>
          <w:lang w:val="el" w:eastAsia="el"/>
        </w:rPr>
        <w:t>Ομοίως καταστρέφονται μετά από την τήρηση της διαδικασίας της περ. γ` τα ανωτέρω προϊόντα σε περίπτωση δήμευσής τους από δικαστήριο.</w:t>
      </w:r>
    </w:p>
    <w:p>
      <w:pPr>
        <w:pStyle w:val="StructureList1"/>
        <w:spacing w:before="120" w:after="0"/>
        <w:rPr>
          <w:lang w:val="el" w:eastAsia="el"/>
        </w:rPr>
      </w:pPr>
      <w:r>
        <w:rPr>
          <w:b/>
          <w:bCs/>
          <w:lang w:val="el" w:eastAsia="el"/>
        </w:rPr>
        <w:t>ε)</w:t>
      </w:r>
      <w:r>
        <w:rPr>
          <w:b/>
          <w:bCs/>
          <w:lang w:val="en" w:eastAsia="en"/>
        </w:rPr>
        <w:tab/>
      </w:r>
      <w:r>
        <w:rPr>
          <w:b/>
          <w:bCs/>
          <w:lang w:val="el" w:eastAsia="el"/>
        </w:rPr>
        <w:t>Η καταστροφή σύμφωνα με τις περ. α`, β` δεν κωλύει τη διερεύνηση και την τιμώρηση τυχόν διοικητικών παραβάσεων και ποινικών αδικημάτων..</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48"/>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49"/>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50"/>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52"/>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53"/>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54"/>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55"/>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57"/>
      </w:r>
      <w:r>
        <w:rPr>
          <w:b/>
          <w:bCs/>
          <w:lang w:val="el" w:eastAsia="el"/>
        </w:rPr>
        <w:t>Με κοινή απόφαση του Υπουργού Οικονομικών και του Διοικητή της Ανεξάρτητης Αρχής Δημοσίων Εσόδων καθορίζονται οι διαδικασίες, οι όροι και οι προϋποθέσεις έκδοσης άδειας λειτουργίας των πλωτών μέσων ως μέσων αποθήκευσης, διακίνησης και εφοδιασμού, κατά περίπτωση, ενεργειακών προϊόντων καθώς και κάθε άλλο σχετικό θέμα.</w:t>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58"/>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59"/>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60"/>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61"/>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52" w:history="1">
        <w:r>
          <w:rPr>
            <w:rStyle w:val="Hyperlink"/>
            <w:b/>
            <w:bCs/>
            <w:color w:val="0000EE"/>
            <w:u w:color="0000EE"/>
            <w:lang w:val="el" w:eastAsia="el"/>
          </w:rPr>
          <w:t>Τροποποίηση 4701/2020, Άρθρο 52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Προσθήκη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9" w:history="1">
        <w:r>
          <w:rPr>
            <w:rStyle w:val="Hyperlink"/>
            <w:b/>
            <w:bCs/>
            <w:color w:val="0000EE"/>
            <w:u w:color="0000EE"/>
            <w:lang w:val="el" w:eastAsia="el"/>
          </w:rPr>
          <w:t>Προσθήκη 4211/2013, Άρθρο 9</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8" w:history="1">
        <w:r>
          <w:rPr>
            <w:rStyle w:val="Hyperlink"/>
            <w:b/>
            <w:bCs/>
            <w:color w:val="0000EE"/>
            <w:u w:color="0000EE"/>
            <w:lang w:val="el" w:eastAsia="el"/>
          </w:rPr>
          <w:t>Τροποποίηση 4758/2020, Άρθρο 8</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41" w:history="1">
        <w:r>
          <w:rPr>
            <w:rStyle w:val="Hyperlink"/>
            <w:b/>
            <w:bCs/>
            <w:color w:val="0000EE"/>
            <w:u w:color="0000EE"/>
            <w:lang w:val="el" w:eastAsia="el"/>
          </w:rPr>
          <w:t>Τροποποίηση 4072/2012, Άρθρο 41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03" w:history="1">
        <w:r>
          <w:rPr>
            <w:rStyle w:val="Hyperlink"/>
            <w:b/>
            <w:bCs/>
            <w:color w:val="0000EE"/>
            <w:u w:color="0000EE"/>
            <w:lang w:val="el" w:eastAsia="el"/>
          </w:rPr>
          <w:t>Προσθήκη 4446/2016, Άρθρο 103</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Προσθήκη 4410/2016,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9" w:history="1">
        <w:r>
          <w:rPr>
            <w:rStyle w:val="Hyperlink"/>
            <w:b/>
            <w:bCs/>
            <w:color w:val="0000EE"/>
            <w:u w:color="0000EE"/>
            <w:lang w:val="el" w:eastAsia="el"/>
          </w:rPr>
          <w:t>Τροποποίηση 4410/2016, Άρθρο 9</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61" w:history="1">
        <w:r>
          <w:rPr>
            <w:rStyle w:val="Hyperlink"/>
            <w:b/>
            <w:bCs/>
            <w:color w:val="0000EE"/>
            <w:u w:color="0000EE"/>
            <w:lang w:val="el" w:eastAsia="el"/>
          </w:rPr>
          <w:t>Τροποποίηση 4758/2020, Άρθρο 61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1" w:history="1">
        <w:r>
          <w:rPr>
            <w:rStyle w:val="Hyperlink"/>
            <w:b/>
            <w:bCs/>
            <w:color w:val="0000EE"/>
            <w:u w:color="0000EE"/>
            <w:lang w:val="el" w:eastAsia="el"/>
          </w:rPr>
          <w:t>Τροποποίηση 3583/2007,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4" w:history="1">
        <w:r>
          <w:rPr>
            <w:rStyle w:val="Hyperlink"/>
            <w:b/>
            <w:bCs/>
            <w:color w:val="0000EE"/>
            <w:u w:color="0000EE"/>
            <w:lang w:val="el" w:eastAsia="el"/>
          </w:rPr>
          <w:t>Προσθήκη 4410/2016, Άρθρο 4</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320" w:history="1">
        <w:r>
          <w:rPr>
            <w:rStyle w:val="Hyperlink"/>
            <w:b/>
            <w:bCs/>
            <w:color w:val="0000EE"/>
            <w:u w:color="0000EE"/>
            <w:lang w:val="el" w:eastAsia="el"/>
          </w:rPr>
          <w:t>Προσθήκη 4072/2012, Άρθρο 320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9" w:history="1">
        <w:r>
          <w:rPr>
            <w:rStyle w:val="Hyperlink"/>
            <w:b/>
            <w:bCs/>
            <w:color w:val="0000EE"/>
            <w:u w:color="0000EE"/>
            <w:lang w:val="el" w:eastAsia="el"/>
          </w:rPr>
          <w:t>Τροποποίηση 4211/2013, Άρθρο 9</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9" w:history="1">
        <w:r>
          <w:rPr>
            <w:rStyle w:val="Hyperlink"/>
            <w:b/>
            <w:bCs/>
            <w:color w:val="0000EE"/>
            <w:u w:color="0000EE"/>
            <w:lang w:val="el" w:eastAsia="el"/>
          </w:rPr>
          <w:t>Τροποποίηση 4758/2020, Άρθρο 9</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Προσθήκη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85" w:history="1">
        <w:r>
          <w:rPr>
            <w:rStyle w:val="Hyperlink"/>
            <w:b/>
            <w:bCs/>
            <w:color w:val="0000EE"/>
            <w:u w:color="0000EE"/>
            <w:lang w:val="el" w:eastAsia="el"/>
          </w:rPr>
          <w:t>Τροποποίηση 3842/2010, Άρθρο 85</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85" w:history="1">
        <w:r>
          <w:rPr>
            <w:rStyle w:val="Hyperlink"/>
            <w:b/>
            <w:bCs/>
            <w:color w:val="0000EE"/>
            <w:u w:color="0000EE"/>
            <w:lang w:val="el" w:eastAsia="el"/>
          </w:rPr>
          <w:t>Τροποποίηση 3842/2010, Άρθρο 85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85" w:history="1">
        <w:r>
          <w:rPr>
            <w:rStyle w:val="Hyperlink"/>
            <w:b/>
            <w:bCs/>
            <w:color w:val="0000EE"/>
            <w:u w:color="0000EE"/>
            <w:lang w:val="el" w:eastAsia="el"/>
          </w:rPr>
          <w:t>Τροποποίηση 3842/2010, Άρθρο 85</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3583/2007,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85" w:history="1">
        <w:r>
          <w:rPr>
            <w:rStyle w:val="Hyperlink"/>
            <w:b/>
            <w:bCs/>
            <w:color w:val="0000EE"/>
            <w:u w:color="0000EE"/>
            <w:lang w:val="el" w:eastAsia="el"/>
          </w:rPr>
          <w:t>Τροποποίηση 3842/2010, Άρθρο 85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Προσθήκη 3583/2007,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Προσθήκη 3583/2007,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Τροποποίηση 3336/2005,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62" w:history="1">
        <w:r>
          <w:rPr>
            <w:rStyle w:val="Hyperlink"/>
            <w:b/>
            <w:bCs/>
            <w:color w:val="0000EE"/>
            <w:u w:color="0000EE"/>
            <w:lang w:val="el" w:eastAsia="el"/>
          </w:rPr>
          <w:t>Τροποποίηση 4583/2018, Άρθρο 62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3336/2005,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4" w:history="1">
        <w:r>
          <w:rPr>
            <w:rStyle w:val="Hyperlink"/>
            <w:b/>
            <w:bCs/>
            <w:color w:val="0000EE"/>
            <w:u w:color="0000EE"/>
            <w:lang w:val="el" w:eastAsia="el"/>
          </w:rPr>
          <w:t>Τροποποίηση 3845/2010, Άρθρο 4</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5" w:history="1">
        <w:r>
          <w:rPr>
            <w:rStyle w:val="Hyperlink"/>
            <w:b/>
            <w:bCs/>
            <w:color w:val="0000EE"/>
            <w:u w:color="0000EE"/>
            <w:lang w:val="el" w:eastAsia="el"/>
          </w:rPr>
          <w:t>Τροποποίηση 3833/2010, Άρθρο 15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7" w:history="1">
        <w:r>
          <w:rPr>
            <w:rStyle w:val="Hyperlink"/>
            <w:b/>
            <w:bCs/>
            <w:color w:val="0000EE"/>
            <w:u w:color="0000EE"/>
            <w:lang w:val="el" w:eastAsia="el"/>
          </w:rPr>
          <w:t>Τροποποίηση 3899/2010, Άρθρο 7</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36" w:history="1">
        <w:r>
          <w:rPr>
            <w:rStyle w:val="Hyperlink"/>
            <w:b/>
            <w:bCs/>
            <w:color w:val="0000EE"/>
            <w:u w:color="0000EE"/>
            <w:lang w:val="el" w:eastAsia="el"/>
          </w:rPr>
          <w:t>Τροποποίηση 3986/2011, Άρθρο 36</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5" w:history="1">
        <w:r>
          <w:rPr>
            <w:rStyle w:val="Hyperlink"/>
            <w:b/>
            <w:bCs/>
            <w:color w:val="0000EE"/>
            <w:u w:color="0000EE"/>
            <w:lang w:val="el" w:eastAsia="el"/>
          </w:rPr>
          <w:t>Τροποποίηση 4092/2012, Άρθρο 5</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4093/2012,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60" w:history="1">
        <w:r>
          <w:rPr>
            <w:rStyle w:val="Hyperlink"/>
            <w:b/>
            <w:bCs/>
            <w:color w:val="0000EE"/>
            <w:u w:color="0000EE"/>
            <w:lang w:val="el" w:eastAsia="el"/>
          </w:rPr>
          <w:t>Τροποποίηση 4389/2016, Άρθρο 60</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61" w:history="1">
        <w:r>
          <w:rPr>
            <w:rStyle w:val="Hyperlink"/>
            <w:b/>
            <w:bCs/>
            <w:color w:val="0000EE"/>
            <w:u w:color="0000EE"/>
            <w:lang w:val="el" w:eastAsia="el"/>
          </w:rPr>
          <w:t>Τροποποίηση 4389/2016, Άρθρο 61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34" w:history="1">
        <w:r>
          <w:rPr>
            <w:rStyle w:val="Hyperlink"/>
            <w:b/>
            <w:bCs/>
            <w:color w:val="0000EE"/>
            <w:u w:color="0000EE"/>
            <w:lang w:val="el" w:eastAsia="el"/>
          </w:rPr>
          <w:t>Τροποποίηση 3775/2009, Άρθρο 34</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34" w:history="1">
        <w:r>
          <w:rPr>
            <w:rStyle w:val="Hyperlink"/>
            <w:b/>
            <w:bCs/>
            <w:color w:val="0000EE"/>
            <w:u w:color="0000EE"/>
            <w:lang w:val="el" w:eastAsia="el"/>
          </w:rPr>
          <w:t>Τροποποίηση 3775/2009, Άρθρο 34</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62" w:history="1">
        <w:r>
          <w:rPr>
            <w:rStyle w:val="Hyperlink"/>
            <w:b/>
            <w:bCs/>
            <w:color w:val="0000EE"/>
            <w:u w:color="0000EE"/>
            <w:lang w:val="el" w:eastAsia="el"/>
          </w:rPr>
          <w:t>Τροποποίηση 4583/2018, Άρθρο 62</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62" w:history="1">
        <w:r>
          <w:rPr>
            <w:rStyle w:val="Hyperlink"/>
            <w:b/>
            <w:bCs/>
            <w:color w:val="0000EE"/>
            <w:u w:color="0000EE"/>
            <w:lang w:val="el" w:eastAsia="el"/>
          </w:rPr>
          <w:t>Τροποποίηση 4583/2018, Άρθρο 62</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63" w:history="1">
        <w:r>
          <w:rPr>
            <w:rStyle w:val="Hyperlink"/>
            <w:b/>
            <w:bCs/>
            <w:color w:val="0000EE"/>
            <w:u w:color="0000EE"/>
            <w:lang w:val="el" w:eastAsia="el"/>
          </w:rPr>
          <w:t>Τροποποίηση 4758/2020, Άρθρο 163</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2" w:anchor="art_10" w:history="1">
        <w:r>
          <w:rPr>
            <w:rStyle w:val="Hyperlink"/>
            <w:b w:val="0"/>
            <w:bCs w:val="0"/>
            <w:i w:val="0"/>
            <w:iCs w:val="0"/>
            <w:smallCaps w:val="0"/>
            <w:color w:val="0000EE"/>
            <w:u w:color="0000EE"/>
            <w:lang w:val="el" w:eastAsia="el"/>
          </w:rPr>
          <w:t>Τροποποίηση 3483/2006, Άρθρο 10</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5" w:history="1">
        <w:r>
          <w:rPr>
            <w:rStyle w:val="Hyperlink"/>
            <w:b/>
            <w:bCs/>
            <w:color w:val="0000EE"/>
            <w:u w:color="0000EE"/>
            <w:lang w:val="el" w:eastAsia="el"/>
          </w:rPr>
          <w:t>Τροποποίηση 3899/2010, Άρθρο 5</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Προσθήκη 3634/2008, Άρθρο 22</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36" w:history="1">
        <w:r>
          <w:rPr>
            <w:rStyle w:val="Hyperlink"/>
            <w:b/>
            <w:bCs/>
            <w:color w:val="0000EE"/>
            <w:u w:color="0000EE"/>
            <w:lang w:val="el" w:eastAsia="el"/>
          </w:rPr>
          <w:t>Τροποποίηση 3986/2011, Άρθρο 36</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36" w:history="1">
        <w:r>
          <w:rPr>
            <w:rStyle w:val="Hyperlink"/>
            <w:b/>
            <w:bCs/>
            <w:color w:val="0000EE"/>
            <w:u w:color="0000EE"/>
            <w:lang w:val="el" w:eastAsia="el"/>
          </w:rPr>
          <w:t>Τροποποίηση 3986/2011, Άρθρο 36</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38" w:history="1">
        <w:r>
          <w:rPr>
            <w:rStyle w:val="Hyperlink"/>
            <w:b/>
            <w:bCs/>
            <w:color w:val="0000EE"/>
            <w:u w:color="0000EE"/>
            <w:lang w:val="el" w:eastAsia="el"/>
          </w:rPr>
          <w:t>Τροποποίηση 4024/2011, Άρθρο 38</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9" w:history="1">
        <w:r>
          <w:rPr>
            <w:rStyle w:val="Hyperlink"/>
            <w:b/>
            <w:bCs/>
            <w:color w:val="0000EE"/>
            <w:u w:color="0000EE"/>
            <w:lang w:val="el" w:eastAsia="el"/>
          </w:rPr>
          <w:t>Τροποποίηση 4301/2014, Άρθρο 29</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60" w:history="1">
        <w:r>
          <w:rPr>
            <w:rStyle w:val="Hyperlink"/>
            <w:b/>
            <w:bCs/>
            <w:color w:val="0000EE"/>
            <w:u w:color="0000EE"/>
            <w:lang w:val="el" w:eastAsia="el"/>
          </w:rPr>
          <w:t>Τροποποίηση 4389/2016, Άρθρο 60</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Τροποποίηση 3336/2005,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5" w:history="1">
        <w:r>
          <w:rPr>
            <w:rStyle w:val="Hyperlink"/>
            <w:b/>
            <w:bCs/>
            <w:color w:val="0000EE"/>
            <w:u w:color="0000EE"/>
            <w:lang w:val="el" w:eastAsia="el"/>
          </w:rPr>
          <w:t>Προσθήκη 3833/2010, Άρθρο 15</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36" w:history="1">
        <w:r>
          <w:rPr>
            <w:rStyle w:val="Hyperlink"/>
            <w:b/>
            <w:bCs/>
            <w:color w:val="0000EE"/>
            <w:u w:color="0000EE"/>
            <w:lang w:val="el" w:eastAsia="el"/>
          </w:rPr>
          <w:t>Τροποποίηση 3986/2011, Άρθρο 36</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51" w:history="1">
        <w:r>
          <w:rPr>
            <w:rStyle w:val="Hyperlink"/>
            <w:b/>
            <w:bCs/>
            <w:color w:val="0000EE"/>
            <w:u w:color="0000EE"/>
            <w:lang w:val="el" w:eastAsia="el"/>
          </w:rPr>
          <w:t>Τροποποίηση 4607/2019, Άρθρο 51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24" w:history="1">
        <w:r>
          <w:rPr>
            <w:rStyle w:val="Hyperlink"/>
            <w:b/>
            <w:bCs/>
            <w:color w:val="0000EE"/>
            <w:u w:color="0000EE"/>
            <w:lang w:val="el" w:eastAsia="el"/>
          </w:rPr>
          <w:t>Τροποποίηση 4514/2018, Άρθρο 124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3336/2005,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3336/2005,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85" w:history="1">
        <w:r>
          <w:rPr>
            <w:rStyle w:val="Hyperlink"/>
            <w:b/>
            <w:bCs/>
            <w:color w:val="0000EE"/>
            <w:u w:color="0000EE"/>
            <w:lang w:val="el" w:eastAsia="el"/>
          </w:rPr>
          <w:t>Τροποποίηση 3842/2010, Άρθρο 85</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3336/2005,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3336/2005,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30" w:history="1">
        <w:r>
          <w:rPr>
            <w:rStyle w:val="Hyperlink"/>
            <w:b/>
            <w:bCs/>
            <w:color w:val="0000EE"/>
            <w:u w:color="0000EE"/>
            <w:lang w:val="el" w:eastAsia="el"/>
          </w:rPr>
          <w:t>Αφαίρεση 3634/2008, Άρθρο 30</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61" w:history="1">
        <w:r>
          <w:rPr>
            <w:rStyle w:val="Hyperlink"/>
            <w:b/>
            <w:bCs/>
            <w:color w:val="0000EE"/>
            <w:u w:color="0000EE"/>
            <w:lang w:val="el" w:eastAsia="el"/>
          </w:rPr>
          <w:t>Τροποποίηση 4389/2016, Άρθρο 61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Προσθήκη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84" w:history="1">
        <w:r>
          <w:rPr>
            <w:rStyle w:val="Hyperlink"/>
            <w:b/>
            <w:bCs/>
            <w:color w:val="0000EE"/>
            <w:u w:color="0000EE"/>
            <w:lang w:val="el" w:eastAsia="el"/>
          </w:rPr>
          <w:t>Τροποποίηση 4261/2014, Άρθρο 184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5" w:history="1">
        <w:r>
          <w:rPr>
            <w:rStyle w:val="Hyperlink"/>
            <w:b/>
            <w:bCs/>
            <w:color w:val="0000EE"/>
            <w:u w:color="0000EE"/>
            <w:lang w:val="el" w:eastAsia="el"/>
          </w:rPr>
          <w:t>Προσθήκη 3833/2010, Άρθρο 15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62" w:history="1">
        <w:r>
          <w:rPr>
            <w:rStyle w:val="Hyperlink"/>
            <w:b/>
            <w:bCs/>
            <w:color w:val="0000EE"/>
            <w:u w:color="0000EE"/>
            <w:lang w:val="el" w:eastAsia="el"/>
          </w:rPr>
          <w:t>Τροποποίηση 4583/2018, Άρθρο 62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62" w:history="1">
        <w:r>
          <w:rPr>
            <w:rStyle w:val="Hyperlink"/>
            <w:b/>
            <w:bCs/>
            <w:color w:val="0000EE"/>
            <w:u w:color="0000EE"/>
            <w:lang w:val="el" w:eastAsia="el"/>
          </w:rPr>
          <w:t>Τροποποίηση 4583/2018, Άρθρο 62</w:t>
        </w:r>
      </w:hyperlink>
    </w:p>
  </w:footnote>
  <w:footnote w:id="10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 w:history="1">
        <w:r>
          <w:rPr>
            <w:rStyle w:val="Hyperlink"/>
            <w:b w:val="0"/>
            <w:bCs w:val="0"/>
            <w:i w:val="0"/>
            <w:iCs w:val="0"/>
            <w:smallCaps w:val="0"/>
            <w:color w:val="0000EE"/>
            <w:u w:color="0000EE"/>
            <w:lang w:val="el" w:eastAsia="el"/>
          </w:rPr>
          <w:t>Αφαίρεση 3583/2007, Άρθρο 1</w:t>
        </w:r>
      </w:hyperlink>
    </w:p>
  </w:footnote>
  <w:footnote w:id="11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 w:history="1">
        <w:r>
          <w:rPr>
            <w:rStyle w:val="Hyperlink"/>
            <w:b w:val="0"/>
            <w:bCs w:val="0"/>
            <w:i w:val="0"/>
            <w:iCs w:val="0"/>
            <w:smallCaps w:val="0"/>
            <w:color w:val="0000EE"/>
            <w:u w:color="0000EE"/>
            <w:lang w:val="el" w:eastAsia="el"/>
          </w:rPr>
          <w:t>Τροποποίηση 3583/2007, Άρθρο 1</w:t>
        </w:r>
      </w:hyperlink>
    </w:p>
  </w:footnote>
  <w:footnote w:id="11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5" w:history="1">
        <w:r>
          <w:rPr>
            <w:rStyle w:val="Hyperlink"/>
            <w:b w:val="0"/>
            <w:bCs w:val="0"/>
            <w:i w:val="0"/>
            <w:iCs w:val="0"/>
            <w:smallCaps w:val="0"/>
            <w:color w:val="0000EE"/>
            <w:u w:color="0000EE"/>
            <w:lang w:val="el" w:eastAsia="el"/>
          </w:rPr>
          <w:t>Αφαίρεση 3833/2010, Άρθρο 15</w:t>
        </w:r>
      </w:hyperlink>
    </w:p>
  </w:footnote>
  <w:footnote w:id="112">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 w:history="1">
        <w:r>
          <w:rPr>
            <w:rStyle w:val="Hyperlink"/>
            <w:b w:val="0"/>
            <w:bCs w:val="0"/>
            <w:i w:val="0"/>
            <w:iCs w:val="0"/>
            <w:smallCaps w:val="0"/>
            <w:color w:val="0000EE"/>
            <w:u w:color="0000EE"/>
            <w:lang w:val="el" w:eastAsia="el"/>
          </w:rPr>
          <w:t>Τροποποίηση 3583/2007, Άρθρο 1</w:t>
        </w:r>
      </w:hyperlink>
    </w:p>
  </w:footnote>
  <w:footnote w:id="11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22" w:history="1">
        <w:r>
          <w:rPr>
            <w:rStyle w:val="Hyperlink"/>
            <w:b w:val="0"/>
            <w:bCs w:val="0"/>
            <w:i w:val="0"/>
            <w:iCs w:val="0"/>
            <w:smallCaps w:val="0"/>
            <w:color w:val="0000EE"/>
            <w:u w:color="0000EE"/>
            <w:lang w:val="el" w:eastAsia="el"/>
          </w:rPr>
          <w:t>Αφαίρεση 3634/2008, Άρθρο 22</w:t>
        </w:r>
      </w:hyperlink>
    </w:p>
  </w:footnote>
  <w:footnote w:id="11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 w:history="1">
        <w:r>
          <w:rPr>
            <w:rStyle w:val="Hyperlink"/>
            <w:b w:val="0"/>
            <w:bCs w:val="0"/>
            <w:i w:val="0"/>
            <w:iCs w:val="0"/>
            <w:smallCaps w:val="0"/>
            <w:color w:val="0000EE"/>
            <w:u w:color="0000EE"/>
            <w:lang w:val="el" w:eastAsia="el"/>
          </w:rPr>
          <w:t>Αφαίρεση 3583/2007,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0" w:history="1">
        <w:r>
          <w:rPr>
            <w:rStyle w:val="Hyperlink"/>
            <w:b/>
            <w:bCs/>
            <w:color w:val="0000EE"/>
            <w:u w:color="0000EE"/>
            <w:lang w:val="el" w:eastAsia="el"/>
          </w:rPr>
          <w:t>Τροποποίηση 3483/2006, Άρθρο 10</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62" w:history="1">
        <w:r>
          <w:rPr>
            <w:rStyle w:val="Hyperlink"/>
            <w:b/>
            <w:bCs/>
            <w:color w:val="0000EE"/>
            <w:u w:color="0000EE"/>
            <w:lang w:val="el" w:eastAsia="el"/>
          </w:rPr>
          <w:t>Τροποποίηση 4583/2018, Άρθρο 62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58" w:history="1">
        <w:r>
          <w:rPr>
            <w:rStyle w:val="Hyperlink"/>
            <w:b/>
            <w:bCs/>
            <w:color w:val="0000EE"/>
            <w:u w:color="0000EE"/>
            <w:lang w:val="el" w:eastAsia="el"/>
          </w:rPr>
          <w:t>Προσθήκη 4758/2020, Άρθρο 58</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50</w:t>
      </w:r>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Προσθήκη 3583/2007,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2" w:history="1">
        <w:r>
          <w:rPr>
            <w:rStyle w:val="Hyperlink"/>
            <w:b/>
            <w:bCs/>
            <w:color w:val="0000EE"/>
            <w:u w:color="0000EE"/>
            <w:lang w:val="el" w:eastAsia="el"/>
          </w:rPr>
          <w:t>Αφαίρεση 3634/2008, Άρθρο 22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2" w:history="1">
        <w:r>
          <w:rPr>
            <w:rStyle w:val="Hyperlink"/>
            <w:b/>
            <w:bCs/>
            <w:color w:val="0000EE"/>
            <w:u w:color="0000EE"/>
            <w:lang w:val="el" w:eastAsia="el"/>
          </w:rPr>
          <w:t>Προσθήκη 3634/2008, Άρθρο 22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4093/2012,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 w:history="1">
        <w:r>
          <w:rPr>
            <w:rStyle w:val="Hyperlink"/>
            <w:b/>
            <w:bCs/>
            <w:color w:val="0000EE"/>
            <w:u w:color="0000EE"/>
            <w:lang w:val="el" w:eastAsia="el"/>
          </w:rPr>
          <w:t>Τροποποίηση 4336/2015, Άρθρο 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 w:history="1">
        <w:r>
          <w:rPr>
            <w:rStyle w:val="Hyperlink"/>
            <w:b/>
            <w:bCs/>
            <w:color w:val="0000EE"/>
            <w:u w:color="0000EE"/>
            <w:lang w:val="el" w:eastAsia="el"/>
          </w:rPr>
          <w:t>Αφαίρεση 4336/2015, Άρθρο 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2" w:history="1">
        <w:r>
          <w:rPr>
            <w:rStyle w:val="Hyperlink"/>
            <w:b/>
            <w:bCs/>
            <w:color w:val="0000EE"/>
            <w:u w:color="0000EE"/>
            <w:lang w:val="el" w:eastAsia="el"/>
          </w:rPr>
          <w:t>Τροποποίηση 3634/2008, Άρθρο 22</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3336/2005,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15" w:history="1">
        <w:r>
          <w:rPr>
            <w:rStyle w:val="Hyperlink"/>
            <w:b/>
            <w:bCs/>
            <w:color w:val="0000EE"/>
            <w:u w:color="0000EE"/>
            <w:lang w:val="el" w:eastAsia="el"/>
          </w:rPr>
          <w:t>Προσθήκη 4537/2018, Άρθρο 115</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2" w:history="1">
        <w:r>
          <w:rPr>
            <w:rStyle w:val="Hyperlink"/>
            <w:b/>
            <w:bCs/>
            <w:color w:val="0000EE"/>
            <w:u w:color="0000EE"/>
            <w:lang w:val="el" w:eastAsia="el"/>
          </w:rPr>
          <w:t>Τροποποίηση 3634/2008, Άρθρο 22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Προσθήκη 3583/2007,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68" w:history="1">
        <w:r>
          <w:rPr>
            <w:rStyle w:val="Hyperlink"/>
            <w:b/>
            <w:bCs/>
            <w:color w:val="0000EE"/>
            <w:u w:color="0000EE"/>
            <w:lang w:val="el" w:eastAsia="el"/>
          </w:rPr>
          <w:t>Τροποποίηση 4472/2017, Άρθρο 68</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4" w:history="1">
        <w:r>
          <w:rPr>
            <w:rStyle w:val="Hyperlink"/>
            <w:b/>
            <w:bCs/>
            <w:color w:val="0000EE"/>
            <w:u w:color="0000EE"/>
            <w:lang w:val="el" w:eastAsia="el"/>
          </w:rPr>
          <w:t>Τροποποίηση 3833/2010, Άρθρο 14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4" w:history="1">
        <w:r>
          <w:rPr>
            <w:rStyle w:val="Hyperlink"/>
            <w:b/>
            <w:bCs/>
            <w:color w:val="0000EE"/>
            <w:u w:color="0000EE"/>
            <w:lang w:val="el" w:eastAsia="el"/>
          </w:rPr>
          <w:t>Τροποποίηση 3845/2010, Άρθρο 4</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Τροποποίηση 3336/2005,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0" w:history="1">
        <w:r>
          <w:rPr>
            <w:rStyle w:val="Hyperlink"/>
            <w:b/>
            <w:bCs/>
            <w:color w:val="0000EE"/>
            <w:u w:color="0000EE"/>
            <w:lang w:val="el" w:eastAsia="el"/>
          </w:rPr>
          <w:t>Τροποποίηση 3752/2009, Άρθρο 10</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4" w:history="1">
        <w:r>
          <w:rPr>
            <w:rStyle w:val="Hyperlink"/>
            <w:b/>
            <w:bCs/>
            <w:color w:val="0000EE"/>
            <w:u w:color="0000EE"/>
            <w:lang w:val="el" w:eastAsia="el"/>
          </w:rPr>
          <w:t>Τροποποίηση 3833/2010, Άρθρο 14</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4" w:history="1">
        <w:r>
          <w:rPr>
            <w:rStyle w:val="Hyperlink"/>
            <w:b/>
            <w:bCs/>
            <w:color w:val="0000EE"/>
            <w:u w:color="0000EE"/>
            <w:lang w:val="el" w:eastAsia="el"/>
          </w:rPr>
          <w:t>Τροποποίηση 3845/2010, Άρθρο 4</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60" w:history="1">
        <w:r>
          <w:rPr>
            <w:rStyle w:val="Hyperlink"/>
            <w:b/>
            <w:bCs/>
            <w:color w:val="0000EE"/>
            <w:u w:color="0000EE"/>
            <w:lang w:val="el" w:eastAsia="el"/>
          </w:rPr>
          <w:t>Τροποποίηση 4389/2016, Άρθρο 60</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Προσθήκη 3583/2007,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68" w:history="1">
        <w:r>
          <w:rPr>
            <w:rStyle w:val="Hyperlink"/>
            <w:b/>
            <w:bCs/>
            <w:color w:val="0000EE"/>
            <w:u w:color="0000EE"/>
            <w:lang w:val="el" w:eastAsia="el"/>
          </w:rPr>
          <w:t>Αφαίρεση 4472/2017, Άρθρο 68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Προσθήκη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68" w:history="1">
        <w:r>
          <w:rPr>
            <w:rStyle w:val="Hyperlink"/>
            <w:b/>
            <w:bCs/>
            <w:color w:val="0000EE"/>
            <w:u w:color="0000EE"/>
            <w:lang w:val="el" w:eastAsia="el"/>
          </w:rPr>
          <w:t>Αφαίρεση 4472/2017, Άρθρο 68</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3583/2007,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68" w:history="1">
        <w:r>
          <w:rPr>
            <w:rStyle w:val="Hyperlink"/>
            <w:b/>
            <w:bCs/>
            <w:color w:val="0000EE"/>
            <w:u w:color="0000EE"/>
            <w:lang w:val="el" w:eastAsia="el"/>
          </w:rPr>
          <w:t>Τροποποίηση 4472/2017, Άρθρο 68</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Τροποποίηση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68" w:history="1">
        <w:r>
          <w:rPr>
            <w:rStyle w:val="Hyperlink"/>
            <w:b/>
            <w:bCs/>
            <w:color w:val="0000EE"/>
            <w:u w:color="0000EE"/>
            <w:lang w:val="el" w:eastAsia="el"/>
          </w:rPr>
          <w:t>Αφαίρεση 4472/2017, Άρθρο 68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85" w:history="1">
        <w:r>
          <w:rPr>
            <w:rStyle w:val="Hyperlink"/>
            <w:b/>
            <w:bCs/>
            <w:color w:val="0000EE"/>
            <w:u w:color="0000EE"/>
            <w:lang w:val="el" w:eastAsia="el"/>
          </w:rPr>
          <w:t>Τροποποίηση 3842/2010, Άρθρο 85</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29</w:t>
      </w:r>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0" w:history="1">
        <w:r>
          <w:rPr>
            <w:rStyle w:val="Hyperlink"/>
            <w:b/>
            <w:bCs/>
            <w:color w:val="0000EE"/>
            <w:u w:color="0000EE"/>
            <w:lang w:val="el" w:eastAsia="el"/>
          </w:rPr>
          <w:t>Τροποποίηση 3752/2009, Άρθρο 10</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4" w:history="1">
        <w:r>
          <w:rPr>
            <w:rStyle w:val="Hyperlink"/>
            <w:b/>
            <w:bCs/>
            <w:color w:val="0000EE"/>
            <w:u w:color="0000EE"/>
            <w:lang w:val="el" w:eastAsia="el"/>
          </w:rPr>
          <w:t>Τροποποίηση 3833/2010, Άρθρο 14</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4" w:history="1">
        <w:r>
          <w:rPr>
            <w:rStyle w:val="Hyperlink"/>
            <w:b/>
            <w:bCs/>
            <w:color w:val="0000EE"/>
            <w:u w:color="0000EE"/>
            <w:lang w:val="el" w:eastAsia="el"/>
          </w:rPr>
          <w:t>Τροποποίηση 3845/2010, Άρθρο 4</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60" w:history="1">
        <w:r>
          <w:rPr>
            <w:rStyle w:val="Hyperlink"/>
            <w:b/>
            <w:bCs/>
            <w:color w:val="0000EE"/>
            <w:u w:color="0000EE"/>
            <w:lang w:val="el" w:eastAsia="el"/>
          </w:rPr>
          <w:t>Τροποποίηση 4389/2016, Άρθρο 60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0" w:history="1">
        <w:r>
          <w:rPr>
            <w:rStyle w:val="Hyperlink"/>
            <w:b/>
            <w:bCs/>
            <w:color w:val="0000EE"/>
            <w:u w:color="0000EE"/>
            <w:lang w:val="el" w:eastAsia="el"/>
          </w:rPr>
          <w:t>Τροποποίηση 3752/2009, Άρθρο 10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4" w:history="1">
        <w:r>
          <w:rPr>
            <w:rStyle w:val="Hyperlink"/>
            <w:b/>
            <w:bCs/>
            <w:color w:val="0000EE"/>
            <w:u w:color="0000EE"/>
            <w:lang w:val="el" w:eastAsia="el"/>
          </w:rPr>
          <w:t>Τροποποίηση 3833/2010, Άρθρο 14</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4" w:history="1">
        <w:r>
          <w:rPr>
            <w:rStyle w:val="Hyperlink"/>
            <w:b/>
            <w:bCs/>
            <w:color w:val="0000EE"/>
            <w:u w:color="0000EE"/>
            <w:lang w:val="el" w:eastAsia="el"/>
          </w:rPr>
          <w:t>Τροποποίηση 3845/2010, Άρθρο 4</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60" w:history="1">
        <w:r>
          <w:rPr>
            <w:rStyle w:val="Hyperlink"/>
            <w:b/>
            <w:bCs/>
            <w:color w:val="0000EE"/>
            <w:u w:color="0000EE"/>
            <w:lang w:val="el" w:eastAsia="el"/>
          </w:rPr>
          <w:t>Τροποποίηση 4389/2016, Άρθρο 60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0" w:history="1">
        <w:r>
          <w:rPr>
            <w:rStyle w:val="Hyperlink"/>
            <w:b/>
            <w:bCs/>
            <w:color w:val="0000EE"/>
            <w:u w:color="0000EE"/>
            <w:lang w:val="el" w:eastAsia="el"/>
          </w:rPr>
          <w:t>Τροποποίηση 3752/2009, Άρθρο 10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4" w:history="1">
        <w:r>
          <w:rPr>
            <w:rStyle w:val="Hyperlink"/>
            <w:b/>
            <w:bCs/>
            <w:color w:val="0000EE"/>
            <w:u w:color="0000EE"/>
            <w:lang w:val="el" w:eastAsia="el"/>
          </w:rPr>
          <w:t>Τροποποίηση 3833/2010, Άρθρο 14</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4" w:history="1">
        <w:r>
          <w:rPr>
            <w:rStyle w:val="Hyperlink"/>
            <w:b/>
            <w:bCs/>
            <w:color w:val="0000EE"/>
            <w:u w:color="0000EE"/>
            <w:lang w:val="el" w:eastAsia="el"/>
          </w:rPr>
          <w:t>Τροποποίηση 3845/2010, Άρθρο 4</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30</w:t>
      </w:r>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31</w:t>
      </w:r>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92" w:history="1">
        <w:r>
          <w:rPr>
            <w:rStyle w:val="Hyperlink"/>
            <w:b/>
            <w:bCs/>
            <w:color w:val="0000EE"/>
            <w:u w:color="0000EE"/>
            <w:lang w:val="el" w:eastAsia="el"/>
          </w:rPr>
          <w:t>Τροποποίηση 4583/2018, Άρθρο 92</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32</w:t>
      </w:r>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92" w:history="1">
        <w:r>
          <w:rPr>
            <w:rStyle w:val="Hyperlink"/>
            <w:b/>
            <w:bCs/>
            <w:color w:val="0000EE"/>
            <w:u w:color="0000EE"/>
            <w:lang w:val="el" w:eastAsia="el"/>
          </w:rPr>
          <w:t>Τροποποίηση 4583/2018, Άρθρο 92</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4" w:history="1">
        <w:r>
          <w:rPr>
            <w:rStyle w:val="Hyperlink"/>
            <w:b/>
            <w:bCs/>
            <w:color w:val="0000EE"/>
            <w:u w:color="0000EE"/>
            <w:lang w:val="el" w:eastAsia="el"/>
          </w:rPr>
          <w:t>Προσθήκη 4758/2020, Άρθρο 4</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5" w:history="1">
        <w:r>
          <w:rPr>
            <w:rStyle w:val="Hyperlink"/>
            <w:b/>
            <w:bCs/>
            <w:color w:val="0000EE"/>
            <w:u w:color="0000EE"/>
            <w:lang w:val="el" w:eastAsia="el"/>
          </w:rPr>
          <w:t>Προσθήκη 4758/2020, Άρθρο 5</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33</w:t>
      </w:r>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 w:history="1">
        <w:r>
          <w:rPr>
            <w:rStyle w:val="Hyperlink"/>
            <w:b/>
            <w:bCs/>
            <w:color w:val="0000EE"/>
            <w:u w:color="0000EE"/>
            <w:lang w:val="el" w:eastAsia="el"/>
          </w:rPr>
          <w:t>Τροποποίηση 3899/2010, Άρθρο 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 w:history="1">
        <w:r>
          <w:rPr>
            <w:rStyle w:val="Hyperlink"/>
            <w:b/>
            <w:bCs/>
            <w:color w:val="0000EE"/>
            <w:u w:color="0000EE"/>
            <w:lang w:val="el" w:eastAsia="el"/>
          </w:rPr>
          <w:t>Τροποποίηση 3899/2010, Άρθρο 6</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 w:history="1">
        <w:r>
          <w:rPr>
            <w:rStyle w:val="Hyperlink"/>
            <w:b/>
            <w:bCs/>
            <w:color w:val="0000EE"/>
            <w:u w:color="0000EE"/>
            <w:lang w:val="el" w:eastAsia="el"/>
          </w:rPr>
          <w:t>Τροποποίηση 4093/2012, Άρθρο 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6" w:history="1">
        <w:r>
          <w:rPr>
            <w:rStyle w:val="Hyperlink"/>
            <w:b/>
            <w:bCs/>
            <w:color w:val="0000EE"/>
            <w:u w:color="0000EE"/>
            <w:lang w:val="el" w:eastAsia="el"/>
          </w:rPr>
          <w:t>Τροποποίηση 3899/2010, Άρθρο 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36" w:history="1">
        <w:r>
          <w:rPr>
            <w:rStyle w:val="Hyperlink"/>
            <w:b/>
            <w:bCs/>
            <w:color w:val="0000EE"/>
            <w:u w:color="0000EE"/>
            <w:lang w:val="el" w:eastAsia="el"/>
          </w:rPr>
          <w:t>Τροποποίηση 3986/2011, Άρθρο 36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4093/2012,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69" w:history="1">
        <w:r>
          <w:rPr>
            <w:rStyle w:val="Hyperlink"/>
            <w:b/>
            <w:bCs/>
            <w:color w:val="0000EE"/>
            <w:u w:color="0000EE"/>
            <w:lang w:val="el" w:eastAsia="el"/>
          </w:rPr>
          <w:t>Τροποποίηση 4235/2014, Άρθρο 69</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60" w:history="1">
        <w:r>
          <w:rPr>
            <w:rStyle w:val="Hyperlink"/>
            <w:b/>
            <w:bCs/>
            <w:color w:val="0000EE"/>
            <w:u w:color="0000EE"/>
            <w:lang w:val="el" w:eastAsia="el"/>
          </w:rPr>
          <w:t>Τροποποίηση 4389/2016, Άρθρο 60</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60" w:history="1">
        <w:r>
          <w:rPr>
            <w:rStyle w:val="Hyperlink"/>
            <w:b/>
            <w:bCs/>
            <w:color w:val="0000EE"/>
            <w:u w:color="0000EE"/>
            <w:lang w:val="el" w:eastAsia="el"/>
          </w:rPr>
          <w:t>Τροποποίηση 4389/2016, Άρθρο 60</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 w:history="1">
        <w:r>
          <w:rPr>
            <w:rStyle w:val="Hyperlink"/>
            <w:b/>
            <w:bCs/>
            <w:color w:val="0000EE"/>
            <w:u w:color="0000EE"/>
            <w:lang w:val="el" w:eastAsia="el"/>
          </w:rPr>
          <w:t>Τροποποίηση 4093/2012, Άρθρο 2</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9" w:history="1">
        <w:r>
          <w:rPr>
            <w:rStyle w:val="Hyperlink"/>
            <w:b/>
            <w:bCs/>
            <w:color w:val="0000EE"/>
            <w:u w:color="0000EE"/>
            <w:lang w:val="el" w:eastAsia="el"/>
          </w:rPr>
          <w:t>Προσθήκη 4758/2020, Άρθρο 19</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30" w:history="1">
        <w:r>
          <w:rPr>
            <w:rStyle w:val="Hyperlink"/>
            <w:b/>
            <w:bCs/>
            <w:color w:val="0000EE"/>
            <w:u w:color="0000EE"/>
            <w:lang w:val="el" w:eastAsia="el"/>
          </w:rPr>
          <w:t>Προσθήκη 3943/2011, Άρθρο 30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Προσθήκη 4410/2016,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5" w:history="1">
        <w:r>
          <w:rPr>
            <w:rStyle w:val="Hyperlink"/>
            <w:b/>
            <w:bCs/>
            <w:color w:val="0000EE"/>
            <w:u w:color="0000EE"/>
            <w:lang w:val="el" w:eastAsia="el"/>
          </w:rPr>
          <w:t>Τροποποίηση 4758/2020, Άρθρο 15</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 w:history="1">
        <w:r>
          <w:rPr>
            <w:rStyle w:val="Hyperlink"/>
            <w:b/>
            <w:bCs/>
            <w:color w:val="0000EE"/>
            <w:u w:color="0000EE"/>
            <w:lang w:val="el" w:eastAsia="el"/>
          </w:rPr>
          <w:t>Προσθήκη 4410/2016, Άρθρο 2</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6" w:history="1">
        <w:r>
          <w:rPr>
            <w:rStyle w:val="Hyperlink"/>
            <w:b/>
            <w:bCs/>
            <w:color w:val="0000EE"/>
            <w:u w:color="0000EE"/>
            <w:lang w:val="el" w:eastAsia="el"/>
          </w:rPr>
          <w:t>Τροποποίηση 4758/2020, Άρθρο 16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3" w:history="1">
        <w:r>
          <w:rPr>
            <w:rStyle w:val="Hyperlink"/>
            <w:b/>
            <w:bCs/>
            <w:color w:val="0000EE"/>
            <w:u w:color="0000EE"/>
            <w:lang w:val="el" w:eastAsia="el"/>
          </w:rPr>
          <w:t>Προσθήκη 4410/2016, Άρθρο 3</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7" w:history="1">
        <w:r>
          <w:rPr>
            <w:rStyle w:val="Hyperlink"/>
            <w:b/>
            <w:bCs/>
            <w:color w:val="0000EE"/>
            <w:u w:color="0000EE"/>
            <w:lang w:val="el" w:eastAsia="el"/>
          </w:rPr>
          <w:t>Τροποποίηση 4758/2020, Άρθρο 17</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16" w:history="1">
        <w:r>
          <w:rPr>
            <w:rStyle w:val="Hyperlink"/>
            <w:b/>
            <w:bCs/>
            <w:color w:val="0000EE"/>
            <w:u w:color="0000EE"/>
            <w:lang w:val="el" w:eastAsia="el"/>
          </w:rPr>
          <w:t>Τροποποίηση 4537/2018, Άρθρο 116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3583/2007,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6" w:history="1">
        <w:r>
          <w:rPr>
            <w:rStyle w:val="Hyperlink"/>
            <w:b/>
            <w:bCs/>
            <w:color w:val="0000EE"/>
            <w:u w:color="0000EE"/>
            <w:lang w:val="el" w:eastAsia="el"/>
          </w:rPr>
          <w:t>Τροποποίηση 3899/2010, Άρθρο 6</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36" w:history="1">
        <w:r>
          <w:rPr>
            <w:rStyle w:val="Hyperlink"/>
            <w:b/>
            <w:bCs/>
            <w:color w:val="0000EE"/>
            <w:u w:color="0000EE"/>
            <w:lang w:val="el" w:eastAsia="el"/>
          </w:rPr>
          <w:t>Τροποποίηση 3986/2011, Άρθρο 36</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3583/2007,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Προσθήκη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5" w:history="1">
        <w:r>
          <w:rPr>
            <w:rStyle w:val="Hyperlink"/>
            <w:b/>
            <w:bCs/>
            <w:color w:val="0000EE"/>
            <w:u w:color="0000EE"/>
            <w:lang w:val="el" w:eastAsia="el"/>
          </w:rPr>
          <w:t>Προσθήκη 4410/2016, Άρθρο 5</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5" w:history="1">
        <w:r>
          <w:rPr>
            <w:rStyle w:val="Hyperlink"/>
            <w:b/>
            <w:bCs/>
            <w:color w:val="0000EE"/>
            <w:u w:color="0000EE"/>
            <w:lang w:val="el" w:eastAsia="el"/>
          </w:rPr>
          <w:t>Προσθήκη 4410/2016, Άρθρο 5</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03" w:history="1">
        <w:r>
          <w:rPr>
            <w:rStyle w:val="Hyperlink"/>
            <w:b/>
            <w:bCs/>
            <w:color w:val="0000EE"/>
            <w:u w:color="0000EE"/>
            <w:lang w:val="el" w:eastAsia="el"/>
          </w:rPr>
          <w:t>Τροποποίηση 4446/2016, Άρθρο 103</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24" w:history="1">
        <w:r>
          <w:rPr>
            <w:rStyle w:val="Hyperlink"/>
            <w:b/>
            <w:bCs/>
            <w:color w:val="0000EE"/>
            <w:u w:color="0000EE"/>
            <w:lang w:val="el" w:eastAsia="el"/>
          </w:rPr>
          <w:t>Τροποποίηση 4514/2018, Άρθρο 124</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5" w:history="1">
        <w:r>
          <w:rPr>
            <w:rStyle w:val="Hyperlink"/>
            <w:b/>
            <w:bCs/>
            <w:color w:val="0000EE"/>
            <w:u w:color="0000EE"/>
            <w:lang w:val="el" w:eastAsia="el"/>
          </w:rPr>
          <w:t>Τροποποίηση 3833/2010, Άρθρο 15</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Προσθήκη 3583/2007,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8" w:history="1">
        <w:r>
          <w:rPr>
            <w:rStyle w:val="Hyperlink"/>
            <w:b/>
            <w:bCs/>
            <w:color w:val="0000EE"/>
            <w:u w:color="0000EE"/>
            <w:lang w:val="el" w:eastAsia="el"/>
          </w:rPr>
          <w:t>Προσθήκη 3634/2008, Άρθρο 28</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5" w:history="1">
        <w:r>
          <w:rPr>
            <w:rStyle w:val="Hyperlink"/>
            <w:b/>
            <w:bCs/>
            <w:color w:val="0000EE"/>
            <w:u w:color="0000EE"/>
            <w:lang w:val="el" w:eastAsia="el"/>
          </w:rPr>
          <w:t>Τροποποίηση 3899/2010, Άρθρο 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8" w:history="1">
        <w:r>
          <w:rPr>
            <w:rStyle w:val="Hyperlink"/>
            <w:b/>
            <w:bCs/>
            <w:color w:val="0000EE"/>
            <w:u w:color="0000EE"/>
            <w:lang w:val="el" w:eastAsia="el"/>
          </w:rPr>
          <w:t>Προσθήκη 3634/2008, Άρθρο 28</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5" w:history="1">
        <w:r>
          <w:rPr>
            <w:rStyle w:val="Hyperlink"/>
            <w:b/>
            <w:bCs/>
            <w:color w:val="0000EE"/>
            <w:u w:color="0000EE"/>
            <w:lang w:val="el" w:eastAsia="el"/>
          </w:rPr>
          <w:t>Αφαίρεση 3899/2010, Άρθρο 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5" w:history="1">
        <w:r>
          <w:rPr>
            <w:rStyle w:val="Hyperlink"/>
            <w:b/>
            <w:bCs/>
            <w:color w:val="0000EE"/>
            <w:u w:color="0000EE"/>
            <w:lang w:val="el" w:eastAsia="el"/>
          </w:rPr>
          <w:t>Προσθήκη 3833/2010, Άρθρο 15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36" w:history="1">
        <w:r>
          <w:rPr>
            <w:rStyle w:val="Hyperlink"/>
            <w:b/>
            <w:bCs/>
            <w:color w:val="0000EE"/>
            <w:u w:color="0000EE"/>
            <w:lang w:val="el" w:eastAsia="el"/>
          </w:rPr>
          <w:t>Τροποποίηση 3986/2011, Άρθρο 36</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5" w:history="1">
        <w:r>
          <w:rPr>
            <w:rStyle w:val="Hyperlink"/>
            <w:b/>
            <w:bCs/>
            <w:color w:val="0000EE"/>
            <w:u w:color="0000EE"/>
            <w:lang w:val="el" w:eastAsia="el"/>
          </w:rPr>
          <w:t>Τροποποίηση 4537/2018, Άρθρο 115</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03" w:history="1">
        <w:r>
          <w:rPr>
            <w:rStyle w:val="Hyperlink"/>
            <w:b/>
            <w:bCs/>
            <w:color w:val="0000EE"/>
            <w:u w:color="0000EE"/>
            <w:lang w:val="el" w:eastAsia="el"/>
          </w:rPr>
          <w:t>Προσθήκη 4446/2016, Άρθρο 103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24" w:history="1">
        <w:r>
          <w:rPr>
            <w:rStyle w:val="Hyperlink"/>
            <w:b/>
            <w:bCs/>
            <w:color w:val="0000EE"/>
            <w:u w:color="0000EE"/>
            <w:lang w:val="el" w:eastAsia="el"/>
          </w:rPr>
          <w:t>Τροποποίηση 4514/2018, Άρθρο 124</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8" w:history="1">
        <w:r>
          <w:rPr>
            <w:rStyle w:val="Hyperlink"/>
            <w:b/>
            <w:bCs/>
            <w:color w:val="0000EE"/>
            <w:u w:color="0000EE"/>
            <w:lang w:val="el" w:eastAsia="el"/>
          </w:rPr>
          <w:t>Τροποποίηση 3634/2008, Άρθρο 28</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5" w:history="1">
        <w:r>
          <w:rPr>
            <w:rStyle w:val="Hyperlink"/>
            <w:b/>
            <w:bCs/>
            <w:color w:val="0000EE"/>
            <w:u w:color="0000EE"/>
            <w:lang w:val="el" w:eastAsia="el"/>
          </w:rPr>
          <w:t>Τροποποίηση 3833/2010, Άρθρο 15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03" w:history="1">
        <w:r>
          <w:rPr>
            <w:rStyle w:val="Hyperlink"/>
            <w:b/>
            <w:bCs/>
            <w:color w:val="0000EE"/>
            <w:u w:color="0000EE"/>
            <w:lang w:val="el" w:eastAsia="el"/>
          </w:rPr>
          <w:t>Προσθήκη 4446/2016, Άρθρο 103</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50" w:history="1">
        <w:r>
          <w:rPr>
            <w:rStyle w:val="Hyperlink"/>
            <w:b/>
            <w:bCs/>
            <w:color w:val="0000EE"/>
            <w:u w:color="0000EE"/>
            <w:lang w:val="el" w:eastAsia="el"/>
          </w:rPr>
          <w:t>Προσθήκη 4808/2021, Άρθρο 150</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85" w:history="1">
        <w:r>
          <w:rPr>
            <w:rStyle w:val="Hyperlink"/>
            <w:b/>
            <w:bCs/>
            <w:color w:val="0000EE"/>
            <w:u w:color="0000EE"/>
            <w:lang w:val="el" w:eastAsia="el"/>
          </w:rPr>
          <w:t>Τροποποίηση 3842/2010, Άρθρο 85</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85" w:history="1">
        <w:r>
          <w:rPr>
            <w:rStyle w:val="Hyperlink"/>
            <w:b/>
            <w:bCs/>
            <w:color w:val="0000EE"/>
            <w:u w:color="0000EE"/>
            <w:lang w:val="el" w:eastAsia="el"/>
          </w:rPr>
          <w:t>Τροποποίηση 3842/2010, Άρθρο 85</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63" w:history="1">
        <w:r>
          <w:rPr>
            <w:rStyle w:val="Hyperlink"/>
            <w:b/>
            <w:bCs/>
            <w:color w:val="0000EE"/>
            <w:u w:color="0000EE"/>
            <w:lang w:val="el" w:eastAsia="el"/>
          </w:rPr>
          <w:t>Προσθήκη 4758/2020, Άρθρο 63</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85" w:history="1">
        <w:r>
          <w:rPr>
            <w:rStyle w:val="Hyperlink"/>
            <w:b/>
            <w:bCs/>
            <w:color w:val="0000EE"/>
            <w:u w:color="0000EE"/>
            <w:lang w:val="el" w:eastAsia="el"/>
          </w:rPr>
          <w:t>Τροποποίηση 3842/2010, Άρθρο 85</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85" w:history="1">
        <w:r>
          <w:rPr>
            <w:rStyle w:val="Hyperlink"/>
            <w:b/>
            <w:bCs/>
            <w:color w:val="0000EE"/>
            <w:u w:color="0000EE"/>
            <w:lang w:val="el" w:eastAsia="el"/>
          </w:rPr>
          <w:t>Τροποποίηση 3842/2010, Άρθρο 85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85" w:history="1">
        <w:r>
          <w:rPr>
            <w:rStyle w:val="Hyperlink"/>
            <w:b/>
            <w:bCs/>
            <w:color w:val="0000EE"/>
            <w:u w:color="0000EE"/>
            <w:lang w:val="el" w:eastAsia="el"/>
          </w:rPr>
          <w:t>Τροποποίηση 3842/2010, Άρθρο 85</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85" w:history="1">
        <w:r>
          <w:rPr>
            <w:rStyle w:val="Hyperlink"/>
            <w:b/>
            <w:bCs/>
            <w:color w:val="0000EE"/>
            <w:u w:color="0000EE"/>
            <w:lang w:val="el" w:eastAsia="el"/>
          </w:rPr>
          <w:t>Τροποποίηση 3842/2010, Άρθρο 85</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3583/2007,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3583/2007,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85" w:history="1">
        <w:r>
          <w:rPr>
            <w:rStyle w:val="Hyperlink"/>
            <w:b/>
            <w:bCs/>
            <w:color w:val="0000EE"/>
            <w:u w:color="0000EE"/>
            <w:lang w:val="el" w:eastAsia="el"/>
          </w:rPr>
          <w:t>Τροποποίηση 3842/2010, Άρθρο 85</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85" w:history="1">
        <w:r>
          <w:rPr>
            <w:rStyle w:val="Hyperlink"/>
            <w:b/>
            <w:bCs/>
            <w:color w:val="0000EE"/>
            <w:u w:color="0000EE"/>
            <w:lang w:val="el" w:eastAsia="el"/>
          </w:rPr>
          <w:t>Τροποποίηση 3842/2010, Άρθρο 85</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85" w:history="1">
        <w:r>
          <w:rPr>
            <w:rStyle w:val="Hyperlink"/>
            <w:b/>
            <w:bCs/>
            <w:color w:val="0000EE"/>
            <w:u w:color="0000EE"/>
            <w:lang w:val="el" w:eastAsia="el"/>
          </w:rPr>
          <w:t>Προσθήκη 3842/2010, Άρθρο 85</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6" w:history="1">
        <w:r>
          <w:rPr>
            <w:rStyle w:val="Hyperlink"/>
            <w:b/>
            <w:bCs/>
            <w:color w:val="0000EE"/>
            <w:u w:color="0000EE"/>
            <w:lang w:val="el" w:eastAsia="el"/>
          </w:rPr>
          <w:t>Τροποποίηση 3943/2011, Άρθρο 26</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7" w:history="1">
        <w:r>
          <w:rPr>
            <w:rStyle w:val="Hyperlink"/>
            <w:b/>
            <w:bCs/>
            <w:color w:val="0000EE"/>
            <w:u w:color="0000EE"/>
            <w:lang w:val="el" w:eastAsia="el"/>
          </w:rPr>
          <w:t>Προσθήκη 4758/2020, Άρθρο 7</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10" w:history="1">
        <w:r>
          <w:rPr>
            <w:rStyle w:val="Hyperlink"/>
            <w:b/>
            <w:bCs/>
            <w:color w:val="0000EE"/>
            <w:u w:color="0000EE"/>
            <w:lang w:val="el" w:eastAsia="el"/>
          </w:rPr>
          <w:t>Προσθήκη 4549/2018, Άρθρο 110</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8" w:history="1">
        <w:r>
          <w:rPr>
            <w:rStyle w:val="Hyperlink"/>
            <w:b/>
            <w:bCs/>
            <w:color w:val="0000EE"/>
            <w:u w:color="0000EE"/>
            <w:lang w:val="el" w:eastAsia="el"/>
          </w:rPr>
          <w:t>Τροποποίηση 4758/2020, Άρθρο 18</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3" w:history="1">
        <w:r>
          <w:rPr>
            <w:rStyle w:val="Hyperlink"/>
            <w:b/>
            <w:bCs/>
            <w:color w:val="0000EE"/>
            <w:u w:color="0000EE"/>
            <w:lang w:val="el" w:eastAsia="el"/>
          </w:rPr>
          <w:t>Προσθήκη 4758/2020, Άρθρο 13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1" w:history="1">
        <w:r>
          <w:rPr>
            <w:rStyle w:val="Hyperlink"/>
            <w:b/>
            <w:bCs/>
            <w:color w:val="0000EE"/>
            <w:u w:color="0000EE"/>
            <w:lang w:val="el" w:eastAsia="el"/>
          </w:rPr>
          <w:t>Προσθήκη 4378/2016, Άρθρο 11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Αφαίρεση 3583/2007,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60" w:history="1">
        <w:r>
          <w:rPr>
            <w:rStyle w:val="Hyperlink"/>
            <w:b/>
            <w:bCs/>
            <w:color w:val="0000EE"/>
            <w:u w:color="0000EE"/>
            <w:lang w:val="el" w:eastAsia="el"/>
          </w:rPr>
          <w:t>Τροποποίηση 4410/2016, Άρθρο 60</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59" w:history="1">
        <w:r>
          <w:rPr>
            <w:rStyle w:val="Hyperlink"/>
            <w:b/>
            <w:bCs/>
            <w:color w:val="0000EE"/>
            <w:u w:color="0000EE"/>
            <w:lang w:val="el" w:eastAsia="el"/>
          </w:rPr>
          <w:t>Τροποποίηση 4389/2016, Άρθρο 59</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39" w:history="1">
        <w:r>
          <w:rPr>
            <w:rStyle w:val="Hyperlink"/>
            <w:b/>
            <w:bCs/>
            <w:color w:val="0000EE"/>
            <w:u w:color="0000EE"/>
            <w:lang w:val="el" w:eastAsia="el"/>
          </w:rPr>
          <w:t>Τροποποίηση 4758/2020, Άρθρο 39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83" w:history="1">
        <w:r>
          <w:rPr>
            <w:rStyle w:val="Hyperlink"/>
            <w:b/>
            <w:bCs/>
            <w:color w:val="0000EE"/>
            <w:u w:color="0000EE"/>
            <w:lang w:val="el" w:eastAsia="el"/>
          </w:rPr>
          <w:t>Τροποποίηση 4821/2021, Άρθρο 83</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39" w:history="1">
        <w:r>
          <w:rPr>
            <w:rStyle w:val="Hyperlink"/>
            <w:b/>
            <w:bCs/>
            <w:color w:val="0000EE"/>
            <w:u w:color="0000EE"/>
            <w:lang w:val="el" w:eastAsia="el"/>
          </w:rPr>
          <w:t>Προσθήκη 4758/2020, Άρθρο 39</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39" w:history="1">
        <w:r>
          <w:rPr>
            <w:rStyle w:val="Hyperlink"/>
            <w:b/>
            <w:bCs/>
            <w:color w:val="0000EE"/>
            <w:u w:color="0000EE"/>
            <w:lang w:val="el" w:eastAsia="el"/>
          </w:rPr>
          <w:t>Τροποποίηση 4758/2020, Άρθρο 39</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30" w:history="1">
        <w:r>
          <w:rPr>
            <w:rStyle w:val="Hyperlink"/>
            <w:b/>
            <w:bCs/>
            <w:color w:val="0000EE"/>
            <w:u w:color="0000EE"/>
            <w:lang w:val="el" w:eastAsia="el"/>
          </w:rPr>
          <w:t>Προσθήκη 4831/2021, Άρθρο 130</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1" w:history="1">
        <w:r>
          <w:rPr>
            <w:rStyle w:val="Hyperlink"/>
            <w:b/>
            <w:bCs/>
            <w:color w:val="0000EE"/>
            <w:u w:color="0000EE"/>
            <w:lang w:val="el" w:eastAsia="el"/>
          </w:rPr>
          <w:t>Προσθήκη 4378/2016, Άρθρο 11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3583/2007, Άρθρο 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6" w:history="1">
        <w:r>
          <w:rPr>
            <w:rStyle w:val="Hyperlink"/>
            <w:b/>
            <w:bCs/>
            <w:color w:val="0000EE"/>
            <w:u w:color="0000EE"/>
            <w:lang w:val="el" w:eastAsia="el"/>
          </w:rPr>
          <w:t>Προσθήκη 3763/2009, Άρθρο 26</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 w:history="1">
        <w:r>
          <w:rPr>
            <w:rStyle w:val="Hyperlink"/>
            <w:b/>
            <w:bCs/>
            <w:color w:val="0000EE"/>
            <w:u w:color="0000EE"/>
            <w:lang w:val="el" w:eastAsia="el"/>
          </w:rPr>
          <w:t>Τροποποίηση 3583/2007, Άρθρο 1</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 w:history="1">
        <w:r>
          <w:rPr>
            <w:rStyle w:val="Hyperlink"/>
            <w:b/>
            <w:bCs/>
            <w:color w:val="0000EE"/>
            <w:u w:color="0000EE"/>
            <w:lang w:val="el" w:eastAsia="el"/>
          </w:rPr>
          <w:t>Προσθήκη 3583/2007, Άρθρο 1</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17" w:history="1">
        <w:r>
          <w:rPr>
            <w:rStyle w:val="Hyperlink"/>
            <w:b/>
            <w:bCs/>
            <w:color w:val="0000EE"/>
            <w:u w:color="0000EE"/>
            <w:lang w:val="el" w:eastAsia="el"/>
          </w:rPr>
          <w:t>Προσθήκη 4537/2018, Άρθρο 117</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33" w:history="1">
        <w:r>
          <w:rPr>
            <w:rStyle w:val="Hyperlink"/>
            <w:b/>
            <w:bCs/>
            <w:color w:val="0000EE"/>
            <w:u w:color="0000EE"/>
            <w:lang w:val="el" w:eastAsia="el"/>
          </w:rPr>
          <w:t>Τροποποίηση 4831/2021, Άρθρο 133</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17" w:history="1">
        <w:r>
          <w:rPr>
            <w:rStyle w:val="Hyperlink"/>
            <w:b/>
            <w:bCs/>
            <w:color w:val="0000EE"/>
            <w:u w:color="0000EE"/>
            <w:lang w:val="el" w:eastAsia="el"/>
          </w:rPr>
          <w:t>Τροποποίηση 4537/2018, Άρθρο 117</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Τροποποίηση 3583/2007,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9" w:history="1">
        <w:r>
          <w:rPr>
            <w:rStyle w:val="Hyperlink"/>
            <w:b/>
            <w:bCs/>
            <w:color w:val="0000EE"/>
            <w:u w:color="0000EE"/>
            <w:lang w:val="el" w:eastAsia="el"/>
          </w:rPr>
          <w:t>Τροποποίηση 3634/2008, Άρθρο 29</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5" w:history="1">
        <w:r>
          <w:rPr>
            <w:rStyle w:val="Hyperlink"/>
            <w:b/>
            <w:bCs/>
            <w:color w:val="0000EE"/>
            <w:u w:color="0000EE"/>
            <w:lang w:val="el" w:eastAsia="el"/>
          </w:rPr>
          <w:t>Τροποποίηση 4211/2013, Άρθρο 5</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59" w:history="1">
        <w:r>
          <w:rPr>
            <w:rStyle w:val="Hyperlink"/>
            <w:b/>
            <w:bCs/>
            <w:color w:val="0000EE"/>
            <w:u w:color="0000EE"/>
            <w:lang w:val="el" w:eastAsia="el"/>
          </w:rPr>
          <w:t>Τροποποίηση 4389/2016, Άρθρο 59</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9" w:history="1">
        <w:r>
          <w:rPr>
            <w:rStyle w:val="Hyperlink"/>
            <w:b/>
            <w:bCs/>
            <w:color w:val="0000EE"/>
            <w:u w:color="0000EE"/>
            <w:lang w:val="el" w:eastAsia="el"/>
          </w:rPr>
          <w:t>Τροποποίηση 4818/2021, Άρθρο 49</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3583/2007, Άρθρο 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6" w:history="1">
        <w:r>
          <w:rPr>
            <w:rStyle w:val="Hyperlink"/>
            <w:b/>
            <w:bCs/>
            <w:color w:val="0000EE"/>
            <w:u w:color="0000EE"/>
            <w:lang w:val="el" w:eastAsia="el"/>
          </w:rPr>
          <w:t>Τροποποίηση 3763/2009, Άρθρο 26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9" w:history="1">
        <w:r>
          <w:rPr>
            <w:rStyle w:val="Hyperlink"/>
            <w:b/>
            <w:bCs/>
            <w:color w:val="0000EE"/>
            <w:u w:color="0000EE"/>
            <w:lang w:val="el" w:eastAsia="el"/>
          </w:rPr>
          <w:t>Αφαίρεση 4818/2021, Άρθρο 49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1" w:history="1">
        <w:r>
          <w:rPr>
            <w:rStyle w:val="Hyperlink"/>
            <w:b/>
            <w:bCs/>
            <w:color w:val="0000EE"/>
            <w:u w:color="0000EE"/>
            <w:lang w:val="el" w:eastAsia="el"/>
          </w:rPr>
          <w:t>Προσθήκη 4378/2016, Άρθρο 11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 w:history="1">
        <w:r>
          <w:rPr>
            <w:rStyle w:val="Hyperlink"/>
            <w:b/>
            <w:bCs/>
            <w:color w:val="0000EE"/>
            <w:u w:color="0000EE"/>
            <w:lang w:val="el" w:eastAsia="el"/>
          </w:rPr>
          <w:t>Τροποποίηση 3583/2007,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64" w:history="1">
        <w:r>
          <w:rPr>
            <w:rStyle w:val="Hyperlink"/>
            <w:b/>
            <w:bCs/>
            <w:color w:val="0000EE"/>
            <w:u w:color="0000EE"/>
            <w:lang w:val="el" w:eastAsia="el"/>
          </w:rPr>
          <w:t>Τροποποίηση 4583/2018, Άρθρο 64</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64" w:history="1">
        <w:r>
          <w:rPr>
            <w:rStyle w:val="Hyperlink"/>
            <w:b/>
            <w:bCs/>
            <w:color w:val="0000EE"/>
            <w:u w:color="0000EE"/>
            <w:lang w:val="el" w:eastAsia="el"/>
          </w:rPr>
          <w:t>Τροποποίηση 4583/2018, Άρθρο 64</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64" w:history="1">
        <w:r>
          <w:rPr>
            <w:rStyle w:val="Hyperlink"/>
            <w:b/>
            <w:bCs/>
            <w:color w:val="0000EE"/>
            <w:u w:color="0000EE"/>
            <w:lang w:val="el" w:eastAsia="el"/>
          </w:rPr>
          <w:t>Τροποποίηση 4583/2018, Άρθρο 64</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Προσθήκη 3583/2007, Άρθρο 1</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Προσθήκη 3583/2007, Άρθρο 1</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Προσθήκη 3583/2007, Άρθρο 1</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3701/2020, Άρθρο 53</w:t>
      </w:r>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65" w:history="1">
        <w:r>
          <w:rPr>
            <w:rStyle w:val="Hyperlink"/>
            <w:b/>
            <w:bCs/>
            <w:color w:val="0000EE"/>
            <w:u w:color="0000EE"/>
            <w:lang w:val="el" w:eastAsia="el"/>
          </w:rPr>
          <w:t>Προσθήκη 4758/2020, Άρθρο 65</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62" w:history="1">
        <w:r>
          <w:rPr>
            <w:rStyle w:val="Hyperlink"/>
            <w:b/>
            <w:bCs/>
            <w:color w:val="0000EE"/>
            <w:u w:color="0000EE"/>
            <w:lang w:val="el" w:eastAsia="el"/>
          </w:rPr>
          <w:t>Προσθήκη 4370/2016, Άρθρο 62</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 w:history="1">
        <w:r>
          <w:rPr>
            <w:rStyle w:val="Hyperlink"/>
            <w:b/>
            <w:bCs/>
            <w:color w:val="0000EE"/>
            <w:u w:color="0000EE"/>
            <w:lang w:val="el" w:eastAsia="el"/>
          </w:rPr>
          <w:t>Τροποποίηση 3583/2007, Άρθρο 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65" w:history="1">
        <w:r>
          <w:rPr>
            <w:rStyle w:val="Hyperlink"/>
            <w:b/>
            <w:bCs/>
            <w:color w:val="0000EE"/>
            <w:u w:color="0000EE"/>
            <w:lang w:val="el" w:eastAsia="el"/>
          </w:rPr>
          <w:t>Προσθήκη 4583/2018, Άρθρο 65</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Τροποποίηση 3583/2007, Άρθρο 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3" w:history="1">
        <w:r>
          <w:rPr>
            <w:rStyle w:val="Hyperlink"/>
            <w:b/>
            <w:bCs/>
            <w:color w:val="0000EE"/>
            <w:u w:color="0000EE"/>
            <w:lang w:val="el" w:eastAsia="el"/>
          </w:rPr>
          <w:t>Τροποποίηση 4254/2014, Άρθρο 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65" w:history="1">
        <w:r>
          <w:rPr>
            <w:rStyle w:val="Hyperlink"/>
            <w:b/>
            <w:bCs/>
            <w:color w:val="0000EE"/>
            <w:u w:color="0000EE"/>
            <w:lang w:val="el" w:eastAsia="el"/>
          </w:rPr>
          <w:t>Προσθήκη 4583/2018, Άρθρο 65</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13" w:history="1">
        <w:r>
          <w:rPr>
            <w:rStyle w:val="Hyperlink"/>
            <w:b/>
            <w:bCs/>
            <w:color w:val="0000EE"/>
            <w:u w:color="0000EE"/>
            <w:lang w:val="el" w:eastAsia="el"/>
          </w:rPr>
          <w:t>Τροποποίηση 4514/2018, Άρθρο 113</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13" w:history="1">
        <w:r>
          <w:rPr>
            <w:rStyle w:val="Hyperlink"/>
            <w:b/>
            <w:bCs/>
            <w:color w:val="0000EE"/>
            <w:u w:color="0000EE"/>
            <w:lang w:val="el" w:eastAsia="el"/>
          </w:rPr>
          <w:t>Προσθήκη 4514/2018, Άρθρο 113</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4" w:history="1">
        <w:r>
          <w:rPr>
            <w:rStyle w:val="Hyperlink"/>
            <w:b/>
            <w:bCs/>
            <w:color w:val="0000EE"/>
            <w:u w:color="0000EE"/>
            <w:lang w:val="el" w:eastAsia="el"/>
          </w:rPr>
          <w:t>Τροποποίηση 3610/2007, Άρθρο 24</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53" w:history="1">
        <w:r>
          <w:rPr>
            <w:rStyle w:val="Hyperlink"/>
            <w:b/>
            <w:bCs/>
            <w:color w:val="0000EE"/>
            <w:u w:color="0000EE"/>
            <w:lang w:val="el" w:eastAsia="el"/>
          </w:rPr>
          <w:t>Προσθήκη 4818/2021, Άρθρο 53</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6" w:history="1">
        <w:r>
          <w:rPr>
            <w:rStyle w:val="Hyperlink"/>
            <w:b/>
            <w:bCs/>
            <w:color w:val="0000EE"/>
            <w:u w:color="0000EE"/>
            <w:lang w:val="el" w:eastAsia="el"/>
          </w:rPr>
          <w:t>Τροποποίηση 3259/2004, Άρθρο 16</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41" w:history="1">
        <w:r>
          <w:rPr>
            <w:rStyle w:val="Hyperlink"/>
            <w:b/>
            <w:bCs/>
            <w:color w:val="0000EE"/>
            <w:u w:color="0000EE"/>
            <w:lang w:val="el" w:eastAsia="el"/>
          </w:rPr>
          <w:t>Προσθήκη 4949/2022, Άρθρο 41</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9" w:history="1">
        <w:r>
          <w:rPr>
            <w:rStyle w:val="Hyperlink"/>
            <w:b/>
            <w:bCs/>
            <w:color w:val="0000EE"/>
            <w:u w:color="0000EE"/>
            <w:lang w:val="el" w:eastAsia="el"/>
          </w:rPr>
          <w:t>Προσθήκη 3790/2009, Άρθρο 9</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3" w:history="1">
        <w:r>
          <w:rPr>
            <w:rStyle w:val="Hyperlink"/>
            <w:b/>
            <w:bCs/>
            <w:color w:val="0000EE"/>
            <w:u w:color="0000EE"/>
            <w:lang w:val="el" w:eastAsia="el"/>
          </w:rPr>
          <w:t>Προσθήκη 4138/2013, Άρθρο 13</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7" w:history="1">
        <w:r>
          <w:rPr>
            <w:rStyle w:val="Hyperlink"/>
            <w:b/>
            <w:bCs/>
            <w:color w:val="0000EE"/>
            <w:u w:color="0000EE"/>
            <w:lang w:val="el" w:eastAsia="el"/>
          </w:rPr>
          <w:t>Τροποποίηση 4238/2014, Άρθρο 27</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3" w:history="1">
        <w:r>
          <w:rPr>
            <w:rStyle w:val="Hyperlink"/>
            <w:b/>
            <w:bCs/>
            <w:color w:val="0000EE"/>
            <w:u w:color="0000EE"/>
            <w:lang w:val="el" w:eastAsia="el"/>
          </w:rPr>
          <w:t>Τροποποίηση 4254/2014, Άρθρο 3</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55" w:history="1">
        <w:r>
          <w:rPr>
            <w:rStyle w:val="Hyperlink"/>
            <w:b/>
            <w:bCs/>
            <w:color w:val="0000EE"/>
            <w:u w:color="0000EE"/>
            <w:lang w:val="el" w:eastAsia="el"/>
          </w:rPr>
          <w:t>Τροποποίηση 4410/2016, Άρθρο 55</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43" w:history="1">
        <w:r>
          <w:rPr>
            <w:rStyle w:val="Hyperlink"/>
            <w:b/>
            <w:bCs/>
            <w:color w:val="0000EE"/>
            <w:u w:color="0000EE"/>
            <w:lang w:val="el" w:eastAsia="el"/>
          </w:rPr>
          <w:t>Τροποποίηση 4537/2018, Άρθρο 143</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43" w:history="1">
        <w:r>
          <w:rPr>
            <w:rStyle w:val="Hyperlink"/>
            <w:b/>
            <w:bCs/>
            <w:color w:val="0000EE"/>
            <w:u w:color="0000EE"/>
            <w:lang w:val="el" w:eastAsia="el"/>
          </w:rPr>
          <w:t>Τροποποίηση 4537/2018, Άρθρο 143</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3" w:history="1">
        <w:r>
          <w:rPr>
            <w:rStyle w:val="Hyperlink"/>
            <w:b/>
            <w:bCs/>
            <w:color w:val="0000EE"/>
            <w:u w:color="0000EE"/>
            <w:lang w:val="el" w:eastAsia="el"/>
          </w:rPr>
          <w:t>Τροποποίηση 4254/2014, Άρθρο 3</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13" w:history="1">
        <w:r>
          <w:rPr>
            <w:rStyle w:val="Hyperlink"/>
            <w:b/>
            <w:bCs/>
            <w:color w:val="0000EE"/>
            <w:u w:color="0000EE"/>
            <w:lang w:val="el" w:eastAsia="el"/>
          </w:rPr>
          <w:t>Τροποποίηση 4514/2018, Άρθρο 113</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 w:history="1">
        <w:r>
          <w:rPr>
            <w:rStyle w:val="Hyperlink"/>
            <w:b/>
            <w:bCs/>
            <w:color w:val="0000EE"/>
            <w:u w:color="0000EE"/>
            <w:lang w:val="el" w:eastAsia="el"/>
          </w:rPr>
          <w:t>Τροποποίηση 3583/2007, Άρθρο 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7" w:history="1">
        <w:r>
          <w:rPr>
            <w:rStyle w:val="Hyperlink"/>
            <w:b/>
            <w:bCs/>
            <w:color w:val="0000EE"/>
            <w:u w:color="0000EE"/>
            <w:lang w:val="el" w:eastAsia="el"/>
          </w:rPr>
          <w:t>Τροποποίηση 3453/2006, Άρθρο 7</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3" w:history="1">
        <w:r>
          <w:rPr>
            <w:rStyle w:val="Hyperlink"/>
            <w:b/>
            <w:bCs/>
            <w:color w:val="0000EE"/>
            <w:u w:color="0000EE"/>
            <w:lang w:val="el" w:eastAsia="el"/>
          </w:rPr>
          <w:t>Τροποποίηση 4254/2014, Άρθρο 3</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1" w:history="1">
        <w:r>
          <w:rPr>
            <w:rStyle w:val="Hyperlink"/>
            <w:b/>
            <w:bCs/>
            <w:color w:val="0000EE"/>
            <w:u w:color="0000EE"/>
            <w:lang w:val="el" w:eastAsia="el"/>
          </w:rPr>
          <w:t>Προσθήκη 4378/2016, Άρθρο 11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Τροποποίηση 3583/2007, Άρθρο 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3" w:history="1">
        <w:r>
          <w:rPr>
            <w:rStyle w:val="Hyperlink"/>
            <w:b/>
            <w:bCs/>
            <w:color w:val="0000EE"/>
            <w:u w:color="0000EE"/>
            <w:lang w:val="el" w:eastAsia="el"/>
          </w:rPr>
          <w:t>Τροποποίηση 4254/2014, Άρθρο 3</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Τροποποίηση 3583/2007, Άρθρο 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 w:history="1">
        <w:r>
          <w:rPr>
            <w:rStyle w:val="Hyperlink"/>
            <w:b/>
            <w:bCs/>
            <w:color w:val="0000EE"/>
            <w:u w:color="0000EE"/>
            <w:lang w:val="el" w:eastAsia="el"/>
          </w:rPr>
          <w:t>Τροποποίηση 3583/2007, Άρθρο 1</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59" w:history="1">
        <w:r>
          <w:rPr>
            <w:rStyle w:val="Hyperlink"/>
            <w:b/>
            <w:bCs/>
            <w:color w:val="0000EE"/>
            <w:u w:color="0000EE"/>
            <w:lang w:val="el" w:eastAsia="el"/>
          </w:rPr>
          <w:t>Προσθήκη 4389/2016, Άρθρο 59</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 w:history="1">
        <w:r>
          <w:rPr>
            <w:rStyle w:val="Hyperlink"/>
            <w:b/>
            <w:bCs/>
            <w:color w:val="0000EE"/>
            <w:u w:color="0000EE"/>
            <w:lang w:val="el" w:eastAsia="el"/>
          </w:rPr>
          <w:t>Τροποποίηση 3583/2007, Άρθρο 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 w:history="1">
        <w:r>
          <w:rPr>
            <w:rStyle w:val="Hyperlink"/>
            <w:b/>
            <w:bCs/>
            <w:color w:val="0000EE"/>
            <w:u w:color="0000EE"/>
            <w:lang w:val="el" w:eastAsia="el"/>
          </w:rPr>
          <w:t>Τροποποίηση 3583/2007, Άρθρο 1</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 w:history="1">
        <w:r>
          <w:rPr>
            <w:rStyle w:val="Hyperlink"/>
            <w:b/>
            <w:bCs/>
            <w:color w:val="0000EE"/>
            <w:u w:color="0000EE"/>
            <w:lang w:val="el" w:eastAsia="el"/>
          </w:rPr>
          <w:t>Προσθήκη 3583/2007, Άρθρο 1</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 w:history="1">
        <w:r>
          <w:rPr>
            <w:rStyle w:val="Hyperlink"/>
            <w:b/>
            <w:bCs/>
            <w:color w:val="0000EE"/>
            <w:u w:color="0000EE"/>
            <w:lang w:val="el" w:eastAsia="el"/>
          </w:rPr>
          <w:t>Τροποποίηση 3583/2007, Άρθρο 1</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 w:history="1">
        <w:r>
          <w:rPr>
            <w:rStyle w:val="Hyperlink"/>
            <w:b/>
            <w:bCs/>
            <w:color w:val="0000EE"/>
            <w:u w:color="0000EE"/>
            <w:lang w:val="el" w:eastAsia="el"/>
          </w:rPr>
          <w:t>Τροποποίηση 3583/2007, Άρθρο 1</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 w:history="1">
        <w:r>
          <w:rPr>
            <w:rStyle w:val="Hyperlink"/>
            <w:b/>
            <w:bCs/>
            <w:color w:val="0000EE"/>
            <w:u w:color="0000EE"/>
            <w:lang w:val="el" w:eastAsia="el"/>
          </w:rPr>
          <w:t>Τροποποίηση 3583/2007, Άρθρο 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Προσθήκη 3583/2007, Άρθρο 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 w:history="1">
        <w:r>
          <w:rPr>
            <w:rStyle w:val="Hyperlink"/>
            <w:b/>
            <w:bCs/>
            <w:color w:val="0000EE"/>
            <w:u w:color="0000EE"/>
            <w:lang w:val="el" w:eastAsia="el"/>
          </w:rPr>
          <w:t>Προσθήκη 3583/2007, Άρθρο 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4" w:history="1">
        <w:r>
          <w:rPr>
            <w:rStyle w:val="Hyperlink"/>
            <w:b/>
            <w:bCs/>
            <w:color w:val="0000EE"/>
            <w:u w:color="0000EE"/>
            <w:lang w:val="el" w:eastAsia="el"/>
          </w:rPr>
          <w:t>Προσθήκη 3610/2007, Άρθρο 24</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5" w:history="1">
        <w:r>
          <w:rPr>
            <w:rStyle w:val="Hyperlink"/>
            <w:b/>
            <w:bCs/>
            <w:color w:val="0000EE"/>
            <w:u w:color="0000EE"/>
            <w:lang w:val="el" w:eastAsia="el"/>
          </w:rPr>
          <w:t>Προσθήκη 3899/2010, Άρθρο 5</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320" w:history="1">
        <w:r>
          <w:rPr>
            <w:rStyle w:val="Hyperlink"/>
            <w:b/>
            <w:bCs/>
            <w:color w:val="0000EE"/>
            <w:u w:color="0000EE"/>
            <w:lang w:val="el" w:eastAsia="el"/>
          </w:rPr>
          <w:t>Τροποποίηση 4072/2012, Άρθρο 320</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39" w:history="1">
        <w:r>
          <w:rPr>
            <w:rStyle w:val="Hyperlink"/>
            <w:b/>
            <w:bCs/>
            <w:color w:val="0000EE"/>
            <w:u w:color="0000EE"/>
            <w:lang w:val="el" w:eastAsia="el"/>
          </w:rPr>
          <w:t>Τροποποίηση 4141/2013, Άρθρο 39</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66" w:history="1">
        <w:r>
          <w:rPr>
            <w:rStyle w:val="Hyperlink"/>
            <w:b/>
            <w:bCs/>
            <w:color w:val="0000EE"/>
            <w:u w:color="0000EE"/>
            <w:lang w:val="el" w:eastAsia="el"/>
          </w:rPr>
          <w:t>Προσθήκη 4583/2018, Άρθρο 66</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0" w:history="1">
        <w:r>
          <w:rPr>
            <w:rStyle w:val="Hyperlink"/>
            <w:b/>
            <w:bCs/>
            <w:color w:val="0000EE"/>
            <w:u w:color="0000EE"/>
            <w:lang w:val="el" w:eastAsia="el"/>
          </w:rPr>
          <w:t>Τροποποίηση 4410/2016, Άρθρο 10</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21" w:history="1">
        <w:r>
          <w:rPr>
            <w:rStyle w:val="Hyperlink"/>
            <w:b/>
            <w:bCs/>
            <w:color w:val="0000EE"/>
            <w:u w:color="0000EE"/>
            <w:lang w:val="el" w:eastAsia="el"/>
          </w:rPr>
          <w:t>Προσθήκη 4758/2020, Άρθρο 21</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60" w:history="1">
        <w:r>
          <w:rPr>
            <w:rStyle w:val="Hyperlink"/>
            <w:b/>
            <w:bCs/>
            <w:color w:val="0000EE"/>
            <w:u w:color="0000EE"/>
            <w:lang w:val="el" w:eastAsia="el"/>
          </w:rPr>
          <w:t>Προσθήκη 4758/2020, Άρθρο 60</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4" w:history="1">
        <w:r>
          <w:rPr>
            <w:rStyle w:val="Hyperlink"/>
            <w:b/>
            <w:bCs/>
            <w:color w:val="0000EE"/>
            <w:u w:color="0000EE"/>
            <w:lang w:val="el" w:eastAsia="el"/>
          </w:rPr>
          <w:t>Προσθήκη 4758/2020, Άρθρο 24</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 w:history="1">
        <w:r>
          <w:rPr>
            <w:rStyle w:val="Hyperlink"/>
            <w:b/>
            <w:bCs/>
            <w:color w:val="0000EE"/>
            <w:u w:color="0000EE"/>
            <w:lang w:val="el" w:eastAsia="el"/>
          </w:rPr>
          <w:t>Προσθήκη 3583/2007, Άρθρο 1</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 w:history="1">
        <w:r>
          <w:rPr>
            <w:rStyle w:val="Hyperlink"/>
            <w:b/>
            <w:bCs/>
            <w:color w:val="0000EE"/>
            <w:u w:color="0000EE"/>
            <w:lang w:val="el" w:eastAsia="el"/>
          </w:rPr>
          <w:t>Τροποποίηση 3583/2007, Άρθρο 1</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32" w:history="1">
        <w:r>
          <w:rPr>
            <w:rStyle w:val="Hyperlink"/>
            <w:b/>
            <w:bCs/>
            <w:color w:val="0000EE"/>
            <w:u w:color="0000EE"/>
            <w:lang w:val="el" w:eastAsia="el"/>
          </w:rPr>
          <w:t>Τροποποίηση 4745/2020, Άρθρο 32</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 w:history="1">
        <w:r>
          <w:rPr>
            <w:rStyle w:val="Hyperlink"/>
            <w:b/>
            <w:bCs/>
            <w:color w:val="0000EE"/>
            <w:u w:color="0000EE"/>
            <w:lang w:val="el" w:eastAsia="el"/>
          </w:rPr>
          <w:t>Τροποποίηση 3583/2007, Άρθρο 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6" w:history="1">
        <w:r>
          <w:rPr>
            <w:rStyle w:val="Hyperlink"/>
            <w:b/>
            <w:bCs/>
            <w:color w:val="0000EE"/>
            <w:u w:color="0000EE"/>
            <w:lang w:val="el" w:eastAsia="el"/>
          </w:rPr>
          <w:t>Προσθήκη 3583/2007, Άρθρο 6</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2" w:history="1">
        <w:r>
          <w:rPr>
            <w:rStyle w:val="Hyperlink"/>
            <w:b/>
            <w:bCs/>
            <w:color w:val="0000EE"/>
            <w:u w:color="0000EE"/>
            <w:lang w:val="el" w:eastAsia="el"/>
          </w:rPr>
          <w:t>Τροποποίηση 4469/2017, Άρθρο 22</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Αφαίρεση 3583/2007, Άρθρο 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38" w:history="1">
        <w:r>
          <w:rPr>
            <w:rStyle w:val="Hyperlink"/>
            <w:b/>
            <w:bCs/>
            <w:color w:val="0000EE"/>
            <w:u w:color="0000EE"/>
            <w:lang w:val="el" w:eastAsia="el"/>
          </w:rPr>
          <w:t>Τροποποίηση 4646/2019, Άρθρο 38</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2" w:history="1">
        <w:r>
          <w:rPr>
            <w:rStyle w:val="Hyperlink"/>
            <w:b/>
            <w:bCs/>
            <w:color w:val="0000EE"/>
            <w:u w:color="0000EE"/>
            <w:lang w:val="el" w:eastAsia="el"/>
          </w:rPr>
          <w:t>Τροποποίηση 4758/2020, Άρθρο 22</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 w:history="1">
        <w:r>
          <w:rPr>
            <w:rStyle w:val="Hyperlink"/>
            <w:b/>
            <w:bCs/>
            <w:color w:val="0000EE"/>
            <w:u w:color="0000EE"/>
            <w:lang w:val="el" w:eastAsia="el"/>
          </w:rPr>
          <w:t>Προσθήκη 3583/2007, Άρθρο 1</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4" w:history="1">
        <w:r>
          <w:rPr>
            <w:rStyle w:val="Hyperlink"/>
            <w:b/>
            <w:bCs/>
            <w:color w:val="0000EE"/>
            <w:u w:color="0000EE"/>
            <w:lang w:val="el" w:eastAsia="el"/>
          </w:rPr>
          <w:t>Τροποποίηση 4758/2020, Άρθρο 24</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 w:history="1">
        <w:r>
          <w:rPr>
            <w:rStyle w:val="Hyperlink"/>
            <w:b/>
            <w:bCs/>
            <w:color w:val="0000EE"/>
            <w:u w:color="0000EE"/>
            <w:lang w:val="el" w:eastAsia="el"/>
          </w:rPr>
          <w:t>Προσθήκη 3583/2007, Άρθρο 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 w:history="1">
        <w:r>
          <w:rPr>
            <w:rStyle w:val="Hyperlink"/>
            <w:b/>
            <w:bCs/>
            <w:color w:val="0000EE"/>
            <w:u w:color="0000EE"/>
            <w:lang w:val="el" w:eastAsia="el"/>
          </w:rPr>
          <w:t>Αφαίρεση 3583/2007, Άρθρο 1</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 w:history="1">
        <w:r>
          <w:rPr>
            <w:rStyle w:val="Hyperlink"/>
            <w:b/>
            <w:bCs/>
            <w:color w:val="0000EE"/>
            <w:u w:color="0000EE"/>
            <w:lang w:val="el" w:eastAsia="el"/>
          </w:rPr>
          <w:t>Προσθήκη 3610/2007, Άρθρο 1</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3" w:history="1">
        <w:r>
          <w:rPr>
            <w:rStyle w:val="Hyperlink"/>
            <w:b/>
            <w:bCs/>
            <w:color w:val="0000EE"/>
            <w:u w:color="0000EE"/>
            <w:lang w:val="el" w:eastAsia="el"/>
          </w:rPr>
          <w:t>Τροποποίηση 4758/2020, Άρθρο 23</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32" w:history="1">
        <w:r>
          <w:rPr>
            <w:rStyle w:val="Hyperlink"/>
            <w:b/>
            <w:bCs/>
            <w:color w:val="0000EE"/>
            <w:u w:color="0000EE"/>
            <w:lang w:val="el" w:eastAsia="el"/>
          </w:rPr>
          <w:t>Τροποποίηση 4745/2020, Άρθρο 32</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 w:history="1">
        <w:r>
          <w:rPr>
            <w:rStyle w:val="Hyperlink"/>
            <w:b/>
            <w:bCs/>
            <w:color w:val="0000EE"/>
            <w:u w:color="0000EE"/>
            <w:lang w:val="el" w:eastAsia="el"/>
          </w:rPr>
          <w:t>Τροποποίηση 3583/2007, Άρθρο 1</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49" w:history="1">
        <w:r>
          <w:rPr>
            <w:rStyle w:val="Hyperlink"/>
            <w:b/>
            <w:bCs/>
            <w:color w:val="0000EE"/>
            <w:u w:color="0000EE"/>
            <w:lang w:val="el" w:eastAsia="el"/>
          </w:rPr>
          <w:t>Προσθήκη 4818/2021, Άρθρο 49</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20" w:history="1">
        <w:r>
          <w:rPr>
            <w:rStyle w:val="Hyperlink"/>
            <w:b/>
            <w:bCs/>
            <w:color w:val="0000EE"/>
            <w:u w:color="0000EE"/>
            <w:lang w:val="el" w:eastAsia="el"/>
          </w:rPr>
          <w:t>Τροποποίηση 4758/2020, Άρθρο 20</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45" w:history="1">
        <w:r>
          <w:rPr>
            <w:rStyle w:val="Hyperlink"/>
            <w:b/>
            <w:bCs/>
            <w:color w:val="0000EE"/>
            <w:u w:color="0000EE"/>
            <w:lang w:val="el" w:eastAsia="el"/>
          </w:rPr>
          <w:t>Αφαίρεση 2992/2002, Άρθρο 45</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3" w:history="1">
        <w:r>
          <w:rPr>
            <w:rStyle w:val="Hyperlink"/>
            <w:b/>
            <w:bCs/>
            <w:color w:val="0000EE"/>
            <w:u w:color="0000EE"/>
            <w:lang w:val="el" w:eastAsia="el"/>
          </w:rPr>
          <w:t>Τροποποίηση 4254/2014, Άρθρο 3</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8" w:history="1">
        <w:r>
          <w:rPr>
            <w:rStyle w:val="Hyperlink"/>
            <w:b/>
            <w:bCs/>
            <w:color w:val="0000EE"/>
            <w:u w:color="0000EE"/>
            <w:lang w:val="el" w:eastAsia="el"/>
          </w:rPr>
          <w:t>Τροποποίηση 4474/2017, Άρθρο 8</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16" w:history="1">
        <w:r>
          <w:rPr>
            <w:rStyle w:val="Hyperlink"/>
            <w:b/>
            <w:bCs/>
            <w:color w:val="0000EE"/>
            <w:u w:color="0000EE"/>
            <w:lang w:val="el" w:eastAsia="el"/>
          </w:rPr>
          <w:t>Προσθήκη 3259/2004, Άρθρο 16</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1" w:history="1">
        <w:r>
          <w:rPr>
            <w:rStyle w:val="Hyperlink"/>
            <w:b/>
            <w:bCs/>
            <w:color w:val="0000EE"/>
            <w:u w:color="0000EE"/>
            <w:lang w:val="el" w:eastAsia="el"/>
          </w:rPr>
          <w:t>Τροποποίηση 3583/2007, Άρθρο 1</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36" w:history="1">
        <w:r>
          <w:rPr>
            <w:rStyle w:val="Hyperlink"/>
            <w:b/>
            <w:bCs/>
            <w:color w:val="0000EE"/>
            <w:u w:color="0000EE"/>
            <w:lang w:val="el" w:eastAsia="el"/>
          </w:rPr>
          <w:t>Τροποποίηση 3986/2011, Άρθρο 36</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 w:history="1">
        <w:r>
          <w:rPr>
            <w:rStyle w:val="Hyperlink"/>
            <w:b/>
            <w:bCs/>
            <w:color w:val="0000EE"/>
            <w:u w:color="0000EE"/>
            <w:lang w:val="el" w:eastAsia="el"/>
          </w:rPr>
          <w:t>Τροποποίηση 3583/2007, Άρθρο 1</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1" w:history="1">
        <w:r>
          <w:rPr>
            <w:rStyle w:val="Hyperlink"/>
            <w:b/>
            <w:bCs/>
            <w:color w:val="0000EE"/>
            <w:u w:color="0000EE"/>
            <w:lang w:val="el" w:eastAsia="el"/>
          </w:rPr>
          <w:t>Προσθήκη 3336/2005, Άρθρο 1</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6" w:history="1">
        <w:r>
          <w:rPr>
            <w:rStyle w:val="Hyperlink"/>
            <w:b/>
            <w:bCs/>
            <w:color w:val="0000EE"/>
            <w:u w:color="0000EE"/>
            <w:lang w:val="el" w:eastAsia="el"/>
          </w:rPr>
          <w:t>Προσθήκη 4758/2020, Άρθρο 26</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 w:history="1">
        <w:r>
          <w:rPr>
            <w:rStyle w:val="Hyperlink"/>
            <w:b/>
            <w:bCs/>
            <w:color w:val="0000EE"/>
            <w:u w:color="0000EE"/>
            <w:lang w:val="el" w:eastAsia="el"/>
          </w:rPr>
          <w:t>Προσθήκη 3583/2007, Άρθρο 1</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84" w:history="1">
        <w:r>
          <w:rPr>
            <w:rStyle w:val="Hyperlink"/>
            <w:b/>
            <w:bCs/>
            <w:color w:val="0000EE"/>
            <w:u w:color="0000EE"/>
            <w:lang w:val="el" w:eastAsia="el"/>
          </w:rPr>
          <w:t>Προσθήκη 4623/2019, Άρθρο 84</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84" w:history="1">
        <w:r>
          <w:rPr>
            <w:rStyle w:val="Hyperlink"/>
            <w:b/>
            <w:bCs/>
            <w:color w:val="0000EE"/>
            <w:u w:color="0000EE"/>
            <w:lang w:val="el" w:eastAsia="el"/>
          </w:rPr>
          <w:t>Προσθήκη 4623/2019, Άρθρο 84</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172391,'4')" TargetMode="External" /><Relationship Id="rId6" Type="http://schemas.openxmlformats.org/officeDocument/2006/relationships/hyperlink" Target="javascript:open_links('802439,172391')" TargetMode="External" /><Relationship Id="rId7" Type="http://schemas.openxmlformats.org/officeDocument/2006/relationships/hyperlink" Target="javascript:open_fek_links('%CE%91','265','1996')" TargetMode="External" /><Relationship Id="rId8" Type="http://schemas.openxmlformats.org/officeDocument/2006/relationships/hyperlink" Target="javascript:open_links('802439,46481')" TargetMode="External" /><Relationship Id="rId9" Type="http://schemas.openxmlformats.org/officeDocument/2006/relationships/hyperlink" Target="javascript:open_fek_links('%CE%91','201','198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8/01/29/3634"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06/08/07/3483" TargetMode="External" /><Relationship Id="rId104" Type="http://schemas.openxmlformats.org/officeDocument/2006/relationships/hyperlink" Target="http://data.aade.gr/eli/pri/law/2018/12/18/4583" TargetMode="External" /><Relationship Id="rId105" Type="http://schemas.openxmlformats.org/officeDocument/2006/relationships/hyperlink" Target="http://data.aade.gr/eli/pri/law/2020/12/04/4758" TargetMode="External" /><Relationship Id="rId106" Type="http://schemas.openxmlformats.org/officeDocument/2006/relationships/hyperlink" Target="http://data.aade.gr/eli/pri/law/2007/06/28/3583"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8/01/29/3634" TargetMode="External" /><Relationship Id="rId109" Type="http://schemas.openxmlformats.org/officeDocument/2006/relationships/hyperlink" Target="http://data.aade.gr/eli/pri/law/2012/11/12/4093"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15/08/14/4336" TargetMode="External" /><Relationship Id="rId111" Type="http://schemas.openxmlformats.org/officeDocument/2006/relationships/hyperlink" Target="http://data.aade.gr/eli/pri/law/2015/08/14/4336"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5/04/20/3336" TargetMode="External" /><Relationship Id="rId114" Type="http://schemas.openxmlformats.org/officeDocument/2006/relationships/hyperlink" Target="http://data.aade.gr/eli/pri/law/2018/05/15/4537" TargetMode="External" /><Relationship Id="rId115" Type="http://schemas.openxmlformats.org/officeDocument/2006/relationships/hyperlink" Target="http://data.aade.gr/eli/pri/law/2008/01/29/3634"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17/05/19/4472" TargetMode="External" /><Relationship Id="rId118" Type="http://schemas.openxmlformats.org/officeDocument/2006/relationships/hyperlink" Target="http://data.aade.gr/eli/pri/law/2010/03/15/3833" TargetMode="External" /><Relationship Id="rId119" Type="http://schemas.openxmlformats.org/officeDocument/2006/relationships/hyperlink" Target="http://data.aade.gr/eli/pri/law/2010/05/06/3845"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05/04/20/3336" TargetMode="External" /><Relationship Id="rId121" Type="http://schemas.openxmlformats.org/officeDocument/2006/relationships/hyperlink" Target="http://data.aade.gr/eli/pri/law/2009/03/04/3752" TargetMode="External" /><Relationship Id="rId122" Type="http://schemas.openxmlformats.org/officeDocument/2006/relationships/hyperlink" Target="http://data.aade.gr/eli/pri/law/2010/03/15/3833" TargetMode="External" /><Relationship Id="rId123" Type="http://schemas.openxmlformats.org/officeDocument/2006/relationships/hyperlink" Target="http://data.aade.gr/eli/pri/law/2010/05/06/3845" TargetMode="External" /><Relationship Id="rId124" Type="http://schemas.openxmlformats.org/officeDocument/2006/relationships/hyperlink" Target="http://data.aade.gr/eli/pri/law/2016/05/27/4389"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17/05/19/4472"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17/05/19/4472"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20/06/30/4701"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17/05/19/4472" TargetMode="External" /><Relationship Id="rId132" Type="http://schemas.openxmlformats.org/officeDocument/2006/relationships/hyperlink" Target="http://data.aade.gr/eli/pri/law/2007/06/28/3583" TargetMode="External" /><Relationship Id="rId133" Type="http://schemas.openxmlformats.org/officeDocument/2006/relationships/hyperlink" Target="http://data.aade.gr/eli/pri/law/2017/05/19/447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09/03/04/3752" TargetMode="External" /><Relationship Id="rId136" Type="http://schemas.openxmlformats.org/officeDocument/2006/relationships/hyperlink" Target="http://data.aade.gr/eli/pri/law/2010/03/15/3833" TargetMode="External" /><Relationship Id="rId137" Type="http://schemas.openxmlformats.org/officeDocument/2006/relationships/hyperlink" Target="http://data.aade.gr/eli/pri/law/2010/05/06/3845" TargetMode="External" /><Relationship Id="rId138" Type="http://schemas.openxmlformats.org/officeDocument/2006/relationships/hyperlink" Target="http://data.aade.gr/eli/pri/law/2016/05/27/4389" TargetMode="External" /><Relationship Id="rId139" Type="http://schemas.openxmlformats.org/officeDocument/2006/relationships/hyperlink" Target="http://data.aade.gr/eli/pri/law/2009/03/04/3752"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3/15/3833" TargetMode="External" /><Relationship Id="rId141" Type="http://schemas.openxmlformats.org/officeDocument/2006/relationships/hyperlink" Target="http://data.aade.gr/eli/pri/law/2010/05/06/3845" TargetMode="External" /><Relationship Id="rId142" Type="http://schemas.openxmlformats.org/officeDocument/2006/relationships/hyperlink" Target="http://data.aade.gr/eli/pri/law/2016/05/27/4389" TargetMode="External" /><Relationship Id="rId143" Type="http://schemas.openxmlformats.org/officeDocument/2006/relationships/hyperlink" Target="http://data.aade.gr/eli/pri/law/2009/03/04/3752" TargetMode="External" /><Relationship Id="rId144" Type="http://schemas.openxmlformats.org/officeDocument/2006/relationships/hyperlink" Target="http://data.aade.gr/eli/pri/law/2010/03/15/3833" TargetMode="External" /><Relationship Id="rId145" Type="http://schemas.openxmlformats.org/officeDocument/2006/relationships/hyperlink" Target="http://data.aade.gr/eli/pri/law/2010/05/06/3845" TargetMode="External" /><Relationship Id="rId146" Type="http://schemas.openxmlformats.org/officeDocument/2006/relationships/hyperlink" Target="http://data.aade.gr/eli/pri/law/2018/12/18/4583" TargetMode="External" /><Relationship Id="rId147" Type="http://schemas.openxmlformats.org/officeDocument/2006/relationships/hyperlink" Target="http://data.aade.gr/eli/pri/law/2018/12/18/4583" TargetMode="External" /><Relationship Id="rId148" Type="http://schemas.openxmlformats.org/officeDocument/2006/relationships/hyperlink" Target="http://data.aade.gr/eli/pri/law/2020/12/04/4758" TargetMode="External" /><Relationship Id="rId149" Type="http://schemas.openxmlformats.org/officeDocument/2006/relationships/hyperlink" Target="http://data.aade.gr/eli/pri/law/2020/12/04/4758"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10/12/17/3899" TargetMode="External" /><Relationship Id="rId151" Type="http://schemas.openxmlformats.org/officeDocument/2006/relationships/hyperlink" Target="http://data.aade.gr/eli/pri/law/2010/12/17/3899" TargetMode="External" /><Relationship Id="rId152" Type="http://schemas.openxmlformats.org/officeDocument/2006/relationships/hyperlink" Target="http://data.aade.gr/eli/pri/law/2012/11/12/4093" TargetMode="External" /><Relationship Id="rId153" Type="http://schemas.openxmlformats.org/officeDocument/2006/relationships/hyperlink" Target="http://data.aade.gr/eli/pri/law/2010/12/17/3899" TargetMode="External" /><Relationship Id="rId154" Type="http://schemas.openxmlformats.org/officeDocument/2006/relationships/hyperlink" Target="http://data.aade.gr/eli/pri/law/2011/07/01/3986" TargetMode="External" /><Relationship Id="rId155" Type="http://schemas.openxmlformats.org/officeDocument/2006/relationships/hyperlink" Target="http://data.aade.gr/eli/pri/law/2012/11/12/4093" TargetMode="External" /><Relationship Id="rId156" Type="http://schemas.openxmlformats.org/officeDocument/2006/relationships/hyperlink" Target="http://data.aade.gr/eli/pri/law/2014/02/11/4235" TargetMode="External" /><Relationship Id="rId157" Type="http://schemas.openxmlformats.org/officeDocument/2006/relationships/hyperlink" Target="http://data.aade.gr/eli/pri/law/2016/05/27/4389" TargetMode="External" /><Relationship Id="rId158" Type="http://schemas.openxmlformats.org/officeDocument/2006/relationships/hyperlink" Target="http://data.aade.gr/eli/pri/law/2016/05/27/4389" TargetMode="External" /><Relationship Id="rId159" Type="http://schemas.openxmlformats.org/officeDocument/2006/relationships/hyperlink" Target="http://data.aade.gr/eli/pri/law/2012/11/12/409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20/12/04/4758" TargetMode="External" /><Relationship Id="rId161" Type="http://schemas.openxmlformats.org/officeDocument/2006/relationships/hyperlink" Target="http://data.aade.gr/eli/pri/law/2011/03/31/3943" TargetMode="External" /><Relationship Id="rId162" Type="http://schemas.openxmlformats.org/officeDocument/2006/relationships/hyperlink" Target="http://data.aade.gr/eli/pri/law/2016/08/03/4410" TargetMode="External" /><Relationship Id="rId163" Type="http://schemas.openxmlformats.org/officeDocument/2006/relationships/hyperlink" Target="http://data.aade.gr/eli/pri/law/2020/12/04/4758" TargetMode="External" /><Relationship Id="rId164" Type="http://schemas.openxmlformats.org/officeDocument/2006/relationships/hyperlink" Target="http://data.aade.gr/eli/pri/law/2016/08/03/4410" TargetMode="External" /><Relationship Id="rId165" Type="http://schemas.openxmlformats.org/officeDocument/2006/relationships/hyperlink" Target="http://data.aade.gr/eli/pri/law/2020/12/04/4758" TargetMode="External" /><Relationship Id="rId166" Type="http://schemas.openxmlformats.org/officeDocument/2006/relationships/hyperlink" Target="http://data.aade.gr/eli/pri/law/2016/08/03/4410" TargetMode="External" /><Relationship Id="rId167" Type="http://schemas.openxmlformats.org/officeDocument/2006/relationships/hyperlink" Target="http://data.aade.gr/eli/pri/law/2020/12/04/4758" TargetMode="External" /><Relationship Id="rId168" Type="http://schemas.openxmlformats.org/officeDocument/2006/relationships/hyperlink" Target="http://data.aade.gr/eli/pri/law/2018/05/15/4537"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13/11/28/4211" TargetMode="External" /><Relationship Id="rId170" Type="http://schemas.openxmlformats.org/officeDocument/2006/relationships/hyperlink" Target="http://data.aade.gr/eli/pri/law/2007/06/28/3583" TargetMode="External" /><Relationship Id="rId171" Type="http://schemas.openxmlformats.org/officeDocument/2006/relationships/hyperlink" Target="http://data.aade.gr/eli/pri/law/2010/12/17/3899" TargetMode="External" /><Relationship Id="rId172" Type="http://schemas.openxmlformats.org/officeDocument/2006/relationships/hyperlink" Target="http://data.aade.gr/eli/pri/law/2011/07/01/3986"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16/08/03/4410" TargetMode="External" /><Relationship Id="rId177" Type="http://schemas.openxmlformats.org/officeDocument/2006/relationships/hyperlink" Target="http://data.aade.gr/eli/pri/law/2016/08/03/4410" TargetMode="External" /><Relationship Id="rId178" Type="http://schemas.openxmlformats.org/officeDocument/2006/relationships/hyperlink" Target="http://data.aade.gr/eli/pri/law/2016/12/22/4446" TargetMode="External" /><Relationship Id="rId179" Type="http://schemas.openxmlformats.org/officeDocument/2006/relationships/hyperlink" Target="http://data.aade.gr/eli/pri/law/2018/01/30/4514" TargetMode="External" /><Relationship Id="rId18" Type="http://schemas.openxmlformats.org/officeDocument/2006/relationships/hyperlink" Target="http://data.aade.gr/eli/pri/law/2020/12/04/4758" TargetMode="External" /><Relationship Id="rId180" Type="http://schemas.openxmlformats.org/officeDocument/2006/relationships/hyperlink" Target="http://data.aade.gr/eli/pri/law/2010/03/15/3833"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08/01/29/3634" TargetMode="External" /><Relationship Id="rId183" Type="http://schemas.openxmlformats.org/officeDocument/2006/relationships/hyperlink" Target="http://data.aade.gr/eli/pri/law/2010/12/17/3899" TargetMode="External" /><Relationship Id="rId184" Type="http://schemas.openxmlformats.org/officeDocument/2006/relationships/hyperlink" Target="http://data.aade.gr/eli/pri/law/2008/01/29/3634" TargetMode="External" /><Relationship Id="rId185" Type="http://schemas.openxmlformats.org/officeDocument/2006/relationships/hyperlink" Target="http://data.aade.gr/eli/pri/law/2010/12/17/3899" TargetMode="External" /><Relationship Id="rId186" Type="http://schemas.openxmlformats.org/officeDocument/2006/relationships/hyperlink" Target="http://data.aade.gr/eli/pri/law/2010/03/15/3833" TargetMode="External" /><Relationship Id="rId187" Type="http://schemas.openxmlformats.org/officeDocument/2006/relationships/hyperlink" Target="http://data.aade.gr/eli/pri/law/2011/07/01/3986" TargetMode="External" /><Relationship Id="rId188" Type="http://schemas.openxmlformats.org/officeDocument/2006/relationships/hyperlink" Target="http://data.aade.gr/eli/pri/law/2018/05/15/4537" TargetMode="External" /><Relationship Id="rId189" Type="http://schemas.openxmlformats.org/officeDocument/2006/relationships/hyperlink" Target="http://data.aade.gr/eli/pri/law/2016/12/22/4446"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18/01/30/4514" TargetMode="External" /><Relationship Id="rId191" Type="http://schemas.openxmlformats.org/officeDocument/2006/relationships/hyperlink" Target="http://data.aade.gr/eli/pri/law/2008/01/29/3634" TargetMode="External" /><Relationship Id="rId192" Type="http://schemas.openxmlformats.org/officeDocument/2006/relationships/hyperlink" Target="http://data.aade.gr/eli/pri/law/2010/03/15/3833" TargetMode="External" /><Relationship Id="rId193" Type="http://schemas.openxmlformats.org/officeDocument/2006/relationships/hyperlink" Target="http://data.aade.gr/eli/pri/law/2016/12/22/4446" TargetMode="External" /><Relationship Id="rId194" Type="http://schemas.openxmlformats.org/officeDocument/2006/relationships/hyperlink" Target="http://data.aade.gr/eli/pri/law/2021/06/19/4808"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10/04/23/3842"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20/12/04/4758" TargetMode="External" /><Relationship Id="rId199" Type="http://schemas.openxmlformats.org/officeDocument/2006/relationships/hyperlink" Target="http://data.aade.gr/eli/pri/law/2010/04/23/3842"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07/06/28/3583" TargetMode="External" /><Relationship Id="rId204" Type="http://schemas.openxmlformats.org/officeDocument/2006/relationships/hyperlink" Target="http://data.aade.gr/eli/pri/law/2007/06/28/3583"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10/04/23/3842" TargetMode="External" /><Relationship Id="rId207" Type="http://schemas.openxmlformats.org/officeDocument/2006/relationships/hyperlink" Target="http://data.aade.gr/eli/pri/law/2010/04/23/3842" TargetMode="External" /><Relationship Id="rId208" Type="http://schemas.openxmlformats.org/officeDocument/2006/relationships/hyperlink" Target="http://data.aade.gr/eli/pri/law/2011/03/31/3943" TargetMode="External" /><Relationship Id="rId209" Type="http://schemas.openxmlformats.org/officeDocument/2006/relationships/hyperlink" Target="http://data.aade.gr/eli/pri/law/2020/12/04/4758" TargetMode="External" /><Relationship Id="rId21" Type="http://schemas.openxmlformats.org/officeDocument/2006/relationships/hyperlink" Target="http://data.aade.gr/eli/pri/law/2012/04/11/4072" TargetMode="External" /><Relationship Id="rId210" Type="http://schemas.openxmlformats.org/officeDocument/2006/relationships/hyperlink" Target="http://data.aade.gr/eli/pri/law/2018/06/14/4549" TargetMode="External" /><Relationship Id="rId211" Type="http://schemas.openxmlformats.org/officeDocument/2006/relationships/hyperlink" Target="http://data.aade.gr/eli/pri/law/2020/12/04/4758" TargetMode="External" /><Relationship Id="rId212" Type="http://schemas.openxmlformats.org/officeDocument/2006/relationships/hyperlink" Target="http://data.aade.gr/eli/pri/law/2020/12/04/4758" TargetMode="External" /><Relationship Id="rId213" Type="http://schemas.openxmlformats.org/officeDocument/2006/relationships/hyperlink" Target="http://data.aade.gr/eli/pri/law/2016/04/05/4378" TargetMode="External" /><Relationship Id="rId214" Type="http://schemas.openxmlformats.org/officeDocument/2006/relationships/hyperlink" Target="http://data.aade.gr/eli/pri/law/2007/06/28/3583" TargetMode="External" /><Relationship Id="rId215" Type="http://schemas.openxmlformats.org/officeDocument/2006/relationships/hyperlink" Target="http://data.aade.gr/eli/pri/law/2016/08/03/4410" TargetMode="External" /><Relationship Id="rId216" Type="http://schemas.openxmlformats.org/officeDocument/2006/relationships/hyperlink" Target="http://data.aade.gr/eli/pri/law/2016/05/27/4389" TargetMode="External" /><Relationship Id="rId217" Type="http://schemas.openxmlformats.org/officeDocument/2006/relationships/hyperlink" Target="http://data.aade.gr/eli/pri/law/2020/12/04/4758" TargetMode="External" /><Relationship Id="rId218" Type="http://schemas.openxmlformats.org/officeDocument/2006/relationships/hyperlink" Target="http://data.aade.gr/eli/pri/law/2021/07/31/4821" TargetMode="External" /><Relationship Id="rId219" Type="http://schemas.openxmlformats.org/officeDocument/2006/relationships/hyperlink" Target="http://data.aade.gr/eli/pri/law/2020/12/04/4758"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20/12/04/4758" TargetMode="External" /><Relationship Id="rId221" Type="http://schemas.openxmlformats.org/officeDocument/2006/relationships/hyperlink" Target="http://data.aade.gr/eli/pri/law/2021/09/23/4831" TargetMode="External" /><Relationship Id="rId222" Type="http://schemas.openxmlformats.org/officeDocument/2006/relationships/hyperlink" Target="http://data.aade.gr/eli/pri/law/2016/04/05/4378" TargetMode="External" /><Relationship Id="rId223" Type="http://schemas.openxmlformats.org/officeDocument/2006/relationships/hyperlink" Target="http://data.aade.gr/eli/pri/law/2007/06/28/3583" TargetMode="External" /><Relationship Id="rId224" Type="http://schemas.openxmlformats.org/officeDocument/2006/relationships/hyperlink" Target="http://data.aade.gr/eli/pri/law/2009/05/27/3763" TargetMode="External" /><Relationship Id="rId225" Type="http://schemas.openxmlformats.org/officeDocument/2006/relationships/hyperlink" Target="http://data.aade.gr/eli/pri/law/2007/06/28/3583" TargetMode="External" /><Relationship Id="rId226" Type="http://schemas.openxmlformats.org/officeDocument/2006/relationships/hyperlink" Target="http://data.aade.gr/eli/pri/law/2007/06/28/3583" TargetMode="External" /><Relationship Id="rId227" Type="http://schemas.openxmlformats.org/officeDocument/2006/relationships/hyperlink" Target="http://data.aade.gr/eli/pri/law/2018/05/15/4537" TargetMode="External" /><Relationship Id="rId228" Type="http://schemas.openxmlformats.org/officeDocument/2006/relationships/hyperlink" Target="http://data.aade.gr/eli/pri/law/2021/09/23/4831" TargetMode="External" /><Relationship Id="rId229" Type="http://schemas.openxmlformats.org/officeDocument/2006/relationships/hyperlink" Target="http://data.aade.gr/eli/pri/law/2018/05/15/4537"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07/06/28/3583" TargetMode="External" /><Relationship Id="rId231" Type="http://schemas.openxmlformats.org/officeDocument/2006/relationships/hyperlink" Target="http://data.aade.gr/eli/pri/law/2008/01/29/3634" TargetMode="External" /><Relationship Id="rId232" Type="http://schemas.openxmlformats.org/officeDocument/2006/relationships/hyperlink" Target="http://data.aade.gr/eli/pri/law/2013/11/28/4211" TargetMode="External" /><Relationship Id="rId233" Type="http://schemas.openxmlformats.org/officeDocument/2006/relationships/hyperlink" Target="http://data.aade.gr/eli/pri/law/2016/05/27/4389" TargetMode="External" /><Relationship Id="rId234" Type="http://schemas.openxmlformats.org/officeDocument/2006/relationships/hyperlink" Target="http://data.aade.gr/eli/pri/law/2021/07/18/4818" TargetMode="External" /><Relationship Id="rId235" Type="http://schemas.openxmlformats.org/officeDocument/2006/relationships/hyperlink" Target="http://data.aade.gr/eli/pri/law/2007/06/28/3583" TargetMode="External" /><Relationship Id="rId236" Type="http://schemas.openxmlformats.org/officeDocument/2006/relationships/hyperlink" Target="http://data.aade.gr/eli/pri/law/2009/05/27/3763" TargetMode="External" /><Relationship Id="rId237" Type="http://schemas.openxmlformats.org/officeDocument/2006/relationships/hyperlink" Target="http://data.aade.gr/eli/pri/law/2021/07/18/4818" TargetMode="External" /><Relationship Id="rId238" Type="http://schemas.openxmlformats.org/officeDocument/2006/relationships/hyperlink" Target="http://data.aade.gr/eli/pri/law/2016/04/05/4378" TargetMode="External" /><Relationship Id="rId239" Type="http://schemas.openxmlformats.org/officeDocument/2006/relationships/hyperlink" Target="http://data.aade.gr/eli/pri/law/2007/06/28/3583"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18/12/18/4583" TargetMode="External" /><Relationship Id="rId241" Type="http://schemas.openxmlformats.org/officeDocument/2006/relationships/hyperlink" Target="http://data.aade.gr/eli/pri/law/2018/12/18/4583" TargetMode="External" /><Relationship Id="rId242" Type="http://schemas.openxmlformats.org/officeDocument/2006/relationships/hyperlink" Target="http://data.aade.gr/eli/pri/law/2018/12/18/4583" TargetMode="External" /><Relationship Id="rId243" Type="http://schemas.openxmlformats.org/officeDocument/2006/relationships/hyperlink" Target="http://data.aade.gr/eli/pri/law/2007/06/28/3583" TargetMode="External" /><Relationship Id="rId244" Type="http://schemas.openxmlformats.org/officeDocument/2006/relationships/hyperlink" Target="http://data.aade.gr/eli/pri/law/2007/06/28/3583" TargetMode="External" /><Relationship Id="rId245" Type="http://schemas.openxmlformats.org/officeDocument/2006/relationships/hyperlink" Target="http://data.aade.gr/eli/pri/law/2007/06/28/3583" TargetMode="External" /><Relationship Id="rId246" Type="http://schemas.openxmlformats.org/officeDocument/2006/relationships/hyperlink" Target="http://data.aade.gr/eli/pri/law/2020/12/04/4758" TargetMode="External" /><Relationship Id="rId247" Type="http://schemas.openxmlformats.org/officeDocument/2006/relationships/hyperlink" Target="http://data.aade.gr/eli/pri/law/2016/03/07/4370" TargetMode="External" /><Relationship Id="rId248" Type="http://schemas.openxmlformats.org/officeDocument/2006/relationships/hyperlink" Target="http://data.aade.gr/eli/pri/law/2007/06/28/3583" TargetMode="External" /><Relationship Id="rId249" Type="http://schemas.openxmlformats.org/officeDocument/2006/relationships/hyperlink" Target="http://data.aade.gr/eli/pri/law/2018/12/18/4583"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07/06/28/3583" TargetMode="External" /><Relationship Id="rId251" Type="http://schemas.openxmlformats.org/officeDocument/2006/relationships/hyperlink" Target="http://data.aade.gr/eli/pri/law/2014/04/07/4254" TargetMode="External" /><Relationship Id="rId252" Type="http://schemas.openxmlformats.org/officeDocument/2006/relationships/hyperlink" Target="http://data.aade.gr/eli/pri/law/2018/12/18/4583" TargetMode="External" /><Relationship Id="rId253" Type="http://schemas.openxmlformats.org/officeDocument/2006/relationships/hyperlink" Target="http://data.aade.gr/eli/pri/law/2018/01/30/4514" TargetMode="External" /><Relationship Id="rId254" Type="http://schemas.openxmlformats.org/officeDocument/2006/relationships/hyperlink" Target="http://data.aade.gr/eli/pri/law/2018/01/30/4514" TargetMode="External" /><Relationship Id="rId255" Type="http://schemas.openxmlformats.org/officeDocument/2006/relationships/hyperlink" Target="http://data.aade.gr/eli/pri/law/2007/11/22/3610" TargetMode="External" /><Relationship Id="rId256" Type="http://schemas.openxmlformats.org/officeDocument/2006/relationships/hyperlink" Target="http://data.aade.gr/eli/pri/law/2021/07/18/4818" TargetMode="External" /><Relationship Id="rId257" Type="http://schemas.openxmlformats.org/officeDocument/2006/relationships/hyperlink" Target="http://data.aade.gr/eli/pri/law/2004/08/04/3259" TargetMode="External" /><Relationship Id="rId258" Type="http://schemas.openxmlformats.org/officeDocument/2006/relationships/hyperlink" Target="http://data.aade.gr/eli/pri/law/2022/06/30/4949" TargetMode="External" /><Relationship Id="rId259" Type="http://schemas.openxmlformats.org/officeDocument/2006/relationships/hyperlink" Target="http://data.aade.gr/eli/pri/law/2009/08/07/3790"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13/03/19/4138" TargetMode="External" /><Relationship Id="rId261" Type="http://schemas.openxmlformats.org/officeDocument/2006/relationships/hyperlink" Target="http://data.aade.gr/eli/pri/law/2014/02/17/4238" TargetMode="External" /><Relationship Id="rId262" Type="http://schemas.openxmlformats.org/officeDocument/2006/relationships/hyperlink" Target="http://data.aade.gr/eli/pri/law/2014/04/07/4254" TargetMode="External" /><Relationship Id="rId263" Type="http://schemas.openxmlformats.org/officeDocument/2006/relationships/hyperlink" Target="http://data.aade.gr/eli/pri/law/2016/08/03/4410" TargetMode="External" /><Relationship Id="rId264" Type="http://schemas.openxmlformats.org/officeDocument/2006/relationships/hyperlink" Target="http://data.aade.gr/eli/pri/law/2018/05/15/4537" TargetMode="External" /><Relationship Id="rId265" Type="http://schemas.openxmlformats.org/officeDocument/2006/relationships/hyperlink" Target="http://data.aade.gr/eli/pri/law/2018/05/15/4537" TargetMode="External" /><Relationship Id="rId266" Type="http://schemas.openxmlformats.org/officeDocument/2006/relationships/hyperlink" Target="http://data.aade.gr/eli/pri/law/2014/04/07/4254" TargetMode="External" /><Relationship Id="rId267" Type="http://schemas.openxmlformats.org/officeDocument/2006/relationships/hyperlink" Target="http://data.aade.gr/eli/pri/law/2018/01/30/4514" TargetMode="External" /><Relationship Id="rId268" Type="http://schemas.openxmlformats.org/officeDocument/2006/relationships/hyperlink" Target="http://data.aade.gr/eli/pri/law/2007/06/28/3583" TargetMode="External" /><Relationship Id="rId269" Type="http://schemas.openxmlformats.org/officeDocument/2006/relationships/hyperlink" Target="http://data.aade.gr/eli/pri/law/2006/04/07/3453" TargetMode="External" /><Relationship Id="rId27" Type="http://schemas.openxmlformats.org/officeDocument/2006/relationships/hyperlink" Target="http://data.aade.gr/eli/pri/law/2007/06/28/3583" TargetMode="External" /><Relationship Id="rId270" Type="http://schemas.openxmlformats.org/officeDocument/2006/relationships/hyperlink" Target="http://data.aade.gr/eli/pri/law/2014/04/07/4254" TargetMode="External" /><Relationship Id="rId271" Type="http://schemas.openxmlformats.org/officeDocument/2006/relationships/hyperlink" Target="http://data.aade.gr/eli/pri/law/2016/04/05/4378"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14/04/07/4254" TargetMode="External" /><Relationship Id="rId274" Type="http://schemas.openxmlformats.org/officeDocument/2006/relationships/hyperlink" Target="http://data.aade.gr/eli/pri/law/2007/06/28/3583" TargetMode="External" /><Relationship Id="rId275" Type="http://schemas.openxmlformats.org/officeDocument/2006/relationships/hyperlink" Target="http://data.aade.gr/eli/pri/law/2007/06/28/3583" TargetMode="External" /><Relationship Id="rId276" Type="http://schemas.openxmlformats.org/officeDocument/2006/relationships/hyperlink" Target="http://data.aade.gr/eli/pri/law/2016/05/27/4389" TargetMode="External" /><Relationship Id="rId277" Type="http://schemas.openxmlformats.org/officeDocument/2006/relationships/hyperlink" Target="http://data.aade.gr/eli/pri/law/2007/06/28/3583" TargetMode="External" /><Relationship Id="rId278" Type="http://schemas.openxmlformats.org/officeDocument/2006/relationships/hyperlink" Target="http://data.aade.gr/eli/pri/law/2007/06/28/3583" TargetMode="External" /><Relationship Id="rId279" Type="http://schemas.openxmlformats.org/officeDocument/2006/relationships/hyperlink" Target="http://data.aade.gr/eli/pri/law/2007/06/28/3583" TargetMode="External" /><Relationship Id="rId28" Type="http://schemas.openxmlformats.org/officeDocument/2006/relationships/hyperlink" Target="http://data.aade.gr/eli/pri/law/2007/06/28/3583" TargetMode="External" /><Relationship Id="rId280" Type="http://schemas.openxmlformats.org/officeDocument/2006/relationships/hyperlink" Target="http://data.aade.gr/eli/pri/law/2007/06/28/3583" TargetMode="External" /><Relationship Id="rId281" Type="http://schemas.openxmlformats.org/officeDocument/2006/relationships/hyperlink" Target="http://data.aade.gr/eli/pri/law/2007/06/28/3583" TargetMode="External" /><Relationship Id="rId282" Type="http://schemas.openxmlformats.org/officeDocument/2006/relationships/hyperlink" Target="http://data.aade.gr/eli/pri/law/2007/06/28/3583" TargetMode="External" /><Relationship Id="rId283" Type="http://schemas.openxmlformats.org/officeDocument/2006/relationships/hyperlink" Target="http://data.aade.gr/eli/pri/law/2007/06/28/3583" TargetMode="External" /><Relationship Id="rId284" Type="http://schemas.openxmlformats.org/officeDocument/2006/relationships/hyperlink" Target="http://data.aade.gr/eli/pri/law/2007/06/28/3583" TargetMode="External" /><Relationship Id="rId285" Type="http://schemas.openxmlformats.org/officeDocument/2006/relationships/hyperlink" Target="http://data.aade.gr/eli/pri/law/2007/11/22/3610" TargetMode="External" /><Relationship Id="rId286" Type="http://schemas.openxmlformats.org/officeDocument/2006/relationships/hyperlink" Target="http://data.aade.gr/eli/pri/law/2010/12/17/3899" TargetMode="External" /><Relationship Id="rId287" Type="http://schemas.openxmlformats.org/officeDocument/2006/relationships/hyperlink" Target="http://data.aade.gr/eli/pri/law/2012/04/11/4072" TargetMode="External" /><Relationship Id="rId288" Type="http://schemas.openxmlformats.org/officeDocument/2006/relationships/hyperlink" Target="http://data.aade.gr/eli/pri/law/2013/04/05/4141" TargetMode="External" /><Relationship Id="rId289" Type="http://schemas.openxmlformats.org/officeDocument/2006/relationships/hyperlink" Target="http://data.aade.gr/eli/pri/law/2018/12/18/4583" TargetMode="External" /><Relationship Id="rId29" Type="http://schemas.openxmlformats.org/officeDocument/2006/relationships/hyperlink" Target="http://data.aade.gr/eli/pri/law/2005/04/20/3336" TargetMode="External" /><Relationship Id="rId290" Type="http://schemas.openxmlformats.org/officeDocument/2006/relationships/hyperlink" Target="http://data.aade.gr/eli/pri/law/2016/08/03/4410" TargetMode="External" /><Relationship Id="rId291" Type="http://schemas.openxmlformats.org/officeDocument/2006/relationships/hyperlink" Target="http://data.aade.gr/eli/pri/law/2020/12/04/4758" TargetMode="External" /><Relationship Id="rId292" Type="http://schemas.openxmlformats.org/officeDocument/2006/relationships/hyperlink" Target="http://data.aade.gr/eli/pri/law/2020/12/04/4758" TargetMode="External" /><Relationship Id="rId293" Type="http://schemas.openxmlformats.org/officeDocument/2006/relationships/hyperlink" Target="http://data.aade.gr/eli/pri/law/2020/12/04/4758" TargetMode="External" /><Relationship Id="rId294" Type="http://schemas.openxmlformats.org/officeDocument/2006/relationships/hyperlink" Target="http://data.aade.gr/eli/pri/law/2007/06/28/3583" TargetMode="External" /><Relationship Id="rId295" Type="http://schemas.openxmlformats.org/officeDocument/2006/relationships/hyperlink" Target="http://data.aade.gr/eli/pri/law/2007/06/28/3583" TargetMode="External" /><Relationship Id="rId296" Type="http://schemas.openxmlformats.org/officeDocument/2006/relationships/hyperlink" Target="http://data.aade.gr/eli/pri/law/2020/11/06/4745" TargetMode="External" /><Relationship Id="rId297" Type="http://schemas.openxmlformats.org/officeDocument/2006/relationships/hyperlink" Target="http://data.aade.gr/eli/pri/law/2007/06/28/3583" TargetMode="External" /><Relationship Id="rId298" Type="http://schemas.openxmlformats.org/officeDocument/2006/relationships/hyperlink" Target="http://data.aade.gr/eli/pri/law/2007/06/28/3583" TargetMode="External" /><Relationship Id="rId299" Type="http://schemas.openxmlformats.org/officeDocument/2006/relationships/hyperlink" Target="http://data.aade.gr/eli/pri/law/2017/05/03/4469"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6/08/03/4410" TargetMode="External" /><Relationship Id="rId300" Type="http://schemas.openxmlformats.org/officeDocument/2006/relationships/hyperlink" Target="http://data.aade.gr/eli/pri/law/2007/06/28/3583" TargetMode="External" /><Relationship Id="rId301" Type="http://schemas.openxmlformats.org/officeDocument/2006/relationships/hyperlink" Target="http://data.aade.gr/eli/pri/law/2019/12/12/4646" TargetMode="External" /><Relationship Id="rId302" Type="http://schemas.openxmlformats.org/officeDocument/2006/relationships/hyperlink" Target="http://data.aade.gr/eli/pri/law/2020/12/04/4758" TargetMode="External" /><Relationship Id="rId303" Type="http://schemas.openxmlformats.org/officeDocument/2006/relationships/hyperlink" Target="http://data.aade.gr/eli/pri/law/2007/06/28/3583" TargetMode="External" /><Relationship Id="rId304" Type="http://schemas.openxmlformats.org/officeDocument/2006/relationships/hyperlink" Target="http://data.aade.gr/eli/pri/law/2020/12/04/4758" TargetMode="External" /><Relationship Id="rId305" Type="http://schemas.openxmlformats.org/officeDocument/2006/relationships/hyperlink" Target="http://data.aade.gr/eli/pri/law/2007/06/28/3583" TargetMode="External" /><Relationship Id="rId306" Type="http://schemas.openxmlformats.org/officeDocument/2006/relationships/hyperlink" Target="http://data.aade.gr/eli/pri/law/2007/06/28/3583" TargetMode="External" /><Relationship Id="rId307" Type="http://schemas.openxmlformats.org/officeDocument/2006/relationships/hyperlink" Target="http://data.aade.gr/eli/pri/law/2007/11/22/3610" TargetMode="External" /><Relationship Id="rId308" Type="http://schemas.openxmlformats.org/officeDocument/2006/relationships/hyperlink" Target="http://data.aade.gr/eli/pri/law/2020/12/04/4758" TargetMode="External" /><Relationship Id="rId309" Type="http://schemas.openxmlformats.org/officeDocument/2006/relationships/hyperlink" Target="http://data.aade.gr/eli/pri/law/2020/11/06/4745"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07/06/28/3583" TargetMode="External" /><Relationship Id="rId311" Type="http://schemas.openxmlformats.org/officeDocument/2006/relationships/hyperlink" Target="http://data.aade.gr/eli/pri/law/2021/07/18/4818" TargetMode="External" /><Relationship Id="rId312" Type="http://schemas.openxmlformats.org/officeDocument/2006/relationships/hyperlink" Target="http://data.aade.gr/eli/pri/law/2020/12/04/4758" TargetMode="External" /><Relationship Id="rId313" Type="http://schemas.openxmlformats.org/officeDocument/2006/relationships/hyperlink" Target="http://data.aade.gr/eli/pri/law/2002/03/20/2992" TargetMode="External" /><Relationship Id="rId314" Type="http://schemas.openxmlformats.org/officeDocument/2006/relationships/hyperlink" Target="http://data.aade.gr/eli/pri/law/2014/04/07/4254" TargetMode="External" /><Relationship Id="rId315" Type="http://schemas.openxmlformats.org/officeDocument/2006/relationships/hyperlink" Target="http://data.aade.gr/eli/pri/law/2017/06/07/4474" TargetMode="External" /><Relationship Id="rId316" Type="http://schemas.openxmlformats.org/officeDocument/2006/relationships/hyperlink" Target="http://data.aade.gr/eli/pri/law/2004/08/04/3259" TargetMode="External" /><Relationship Id="rId317" Type="http://schemas.openxmlformats.org/officeDocument/2006/relationships/hyperlink" Target="http://data.aade.gr/eli/pri/law/2007/06/28/3583" TargetMode="External" /><Relationship Id="rId318" Type="http://schemas.openxmlformats.org/officeDocument/2006/relationships/hyperlink" Target="http://data.aade.gr/eli/pri/law/2011/07/01/3986" TargetMode="External" /><Relationship Id="rId319" Type="http://schemas.openxmlformats.org/officeDocument/2006/relationships/hyperlink" Target="http://data.aade.gr/eli/pri/law/2007/06/28/3583" TargetMode="External" /><Relationship Id="rId32" Type="http://schemas.openxmlformats.org/officeDocument/2006/relationships/hyperlink" Target="http://data.aade.gr/eli/pri/law/2010/04/23/3842" TargetMode="External" /><Relationship Id="rId320" Type="http://schemas.openxmlformats.org/officeDocument/2006/relationships/hyperlink" Target="http://data.aade.gr/eli/pri/law/2005/04/20/3336" TargetMode="External" /><Relationship Id="rId321" Type="http://schemas.openxmlformats.org/officeDocument/2006/relationships/hyperlink" Target="http://data.aade.gr/eli/pri/law/2020/12/04/4758" TargetMode="External" /><Relationship Id="rId322" Type="http://schemas.openxmlformats.org/officeDocument/2006/relationships/hyperlink" Target="http://data.aade.gr/eli/pri/law/2007/06/28/3583" TargetMode="External" /><Relationship Id="rId323" Type="http://schemas.openxmlformats.org/officeDocument/2006/relationships/hyperlink" Target="http://data.aade.gr/eli/pri/law/2019/08/09/4623" TargetMode="External" /><Relationship Id="rId324" Type="http://schemas.openxmlformats.org/officeDocument/2006/relationships/hyperlink" Target="http://data.aade.gr/eli/pri/law/2019/08/09/4623" TargetMode="External" /><Relationship Id="rId325" Type="http://schemas.openxmlformats.org/officeDocument/2006/relationships/hyperlink" Target="http://data.aade.gr/eli/pri/law/2005/04/20/3336" TargetMode="External" /><Relationship Id="rId33" Type="http://schemas.openxmlformats.org/officeDocument/2006/relationships/hyperlink" Target="http://data.aade.gr/eli/pri/law/2020/12/04/4758"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07/06/28/3583"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6/08/03/4410"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2/04/11/4072" TargetMode="External" /><Relationship Id="rId43" Type="http://schemas.openxmlformats.org/officeDocument/2006/relationships/hyperlink" Target="http://data.aade.gr/eli/pri/law/2013/11/28/4211" TargetMode="External" /><Relationship Id="rId44" Type="http://schemas.openxmlformats.org/officeDocument/2006/relationships/hyperlink" Target="http://data.aade.gr/eli/pri/law/2020/12/04/4758"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07/06/28/3583"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07/06/28/3583" TargetMode="External" /><Relationship Id="rId55" Type="http://schemas.openxmlformats.org/officeDocument/2006/relationships/hyperlink" Target="http://data.aade.gr/eli/pri/law/2007/06/28/3583" TargetMode="External" /><Relationship Id="rId56" Type="http://schemas.openxmlformats.org/officeDocument/2006/relationships/hyperlink" Target="http://data.aade.gr/eli/pri/law/2005/04/20/3336" TargetMode="External" /><Relationship Id="rId57" Type="http://schemas.openxmlformats.org/officeDocument/2006/relationships/hyperlink" Target="http://data.aade.gr/eli/pri/law/2018/12/18/4583" TargetMode="External" /><Relationship Id="rId58" Type="http://schemas.openxmlformats.org/officeDocument/2006/relationships/hyperlink" Target="http://data.aade.gr/eli/pri/law/2005/04/20/3336" TargetMode="External" /><Relationship Id="rId59" Type="http://schemas.openxmlformats.org/officeDocument/2006/relationships/hyperlink" Target="http://data.aade.gr/eli/pri/law/2010/05/06/3845"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0/03/15/3833" TargetMode="External" /><Relationship Id="rId61" Type="http://schemas.openxmlformats.org/officeDocument/2006/relationships/hyperlink" Target="http://data.aade.gr/eli/pri/law/2010/12/17/3899" TargetMode="External" /><Relationship Id="rId62" Type="http://schemas.openxmlformats.org/officeDocument/2006/relationships/hyperlink" Target="http://data.aade.gr/eli/pri/law/2011/07/01/3986" TargetMode="External" /><Relationship Id="rId63" Type="http://schemas.openxmlformats.org/officeDocument/2006/relationships/hyperlink" Target="http://data.aade.gr/eli/pri/law/2012/11/08/4092" TargetMode="External" /><Relationship Id="rId64" Type="http://schemas.openxmlformats.org/officeDocument/2006/relationships/hyperlink" Target="http://data.aade.gr/eli/pri/law/2012/11/12/4093" TargetMode="External" /><Relationship Id="rId65" Type="http://schemas.openxmlformats.org/officeDocument/2006/relationships/hyperlink" Target="http://data.aade.gr/eli/pri/law/2016/05/27/4389" TargetMode="External" /><Relationship Id="rId66" Type="http://schemas.openxmlformats.org/officeDocument/2006/relationships/hyperlink" Target="http://data.aade.gr/eli/pri/law/2016/05/27/4389" TargetMode="External" /><Relationship Id="rId67" Type="http://schemas.openxmlformats.org/officeDocument/2006/relationships/hyperlink" Target="http://data.aade.gr/eli/pri/law/2009/07/21/3775" TargetMode="External" /><Relationship Id="rId68" Type="http://schemas.openxmlformats.org/officeDocument/2006/relationships/hyperlink" Target="http://data.aade.gr/eli/pri/law/2009/07/21/3775" TargetMode="External" /><Relationship Id="rId69" Type="http://schemas.openxmlformats.org/officeDocument/2006/relationships/hyperlink" Target="http://data.aade.gr/eli/pri/law/2018/12/18/4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18/12/18/4583" TargetMode="External" /><Relationship Id="rId71" Type="http://schemas.openxmlformats.org/officeDocument/2006/relationships/hyperlink" Target="http://data.aade.gr/eli/pri/law/2020/12/04/4758" TargetMode="External" /><Relationship Id="rId72" Type="http://schemas.openxmlformats.org/officeDocument/2006/relationships/hyperlink" Target="http://data.aade.gr/eli/pri/law/2006/08/07/3483" TargetMode="External" /><Relationship Id="rId73" Type="http://schemas.openxmlformats.org/officeDocument/2006/relationships/hyperlink" Target="http://data.aade.gr/eli/pri/law/2010/12/17/3899"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11/07/01/3986" TargetMode="External" /><Relationship Id="rId76" Type="http://schemas.openxmlformats.org/officeDocument/2006/relationships/hyperlink" Target="http://data.aade.gr/eli/pri/law/2011/07/01/3986" TargetMode="External" /><Relationship Id="rId77" Type="http://schemas.openxmlformats.org/officeDocument/2006/relationships/hyperlink" Target="http://data.aade.gr/eli/pri/law/2011/10/27/4024" TargetMode="External" /><Relationship Id="rId78" Type="http://schemas.openxmlformats.org/officeDocument/2006/relationships/hyperlink" Target="http://data.aade.gr/eli/pri/law/2014/10/07/4301" TargetMode="External" /><Relationship Id="rId79" Type="http://schemas.openxmlformats.org/officeDocument/2006/relationships/hyperlink" Target="http://data.aade.gr/eli/pri/law/2016/05/27/4389"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5/04/20/3336" TargetMode="External" /><Relationship Id="rId81" Type="http://schemas.openxmlformats.org/officeDocument/2006/relationships/hyperlink" Target="http://data.aade.gr/eli/pri/law/2010/03/15/3833" TargetMode="External" /><Relationship Id="rId82" Type="http://schemas.openxmlformats.org/officeDocument/2006/relationships/hyperlink" Target="http://data.aade.gr/eli/pri/law/2011/07/01/3986" TargetMode="External" /><Relationship Id="rId83" Type="http://schemas.openxmlformats.org/officeDocument/2006/relationships/hyperlink" Target="http://data.aade.gr/eli/pri/law/2019/04/24/4607" TargetMode="External" /><Relationship Id="rId84" Type="http://schemas.openxmlformats.org/officeDocument/2006/relationships/hyperlink" Target="http://data.aade.gr/eli/pri/law/2018/01/30/4514" TargetMode="External" /><Relationship Id="rId85" Type="http://schemas.openxmlformats.org/officeDocument/2006/relationships/hyperlink" Target="http://data.aade.gr/eli/pri/law/2005/04/20/3336" TargetMode="External" /><Relationship Id="rId86" Type="http://schemas.openxmlformats.org/officeDocument/2006/relationships/hyperlink" Target="http://data.aade.gr/eli/pri/law/2005/04/20/3336"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05/04/20/3336" TargetMode="External" /><Relationship Id="rId89" Type="http://schemas.openxmlformats.org/officeDocument/2006/relationships/hyperlink" Target="http://data.aade.gr/eli/pri/law/2005/04/20/3336"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8/01/29/3634" TargetMode="External" /><Relationship Id="rId91" Type="http://schemas.openxmlformats.org/officeDocument/2006/relationships/hyperlink" Target="http://data.aade.gr/eli/pri/law/2016/05/27/4389"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14/05/05/4261" TargetMode="External" /><Relationship Id="rId94" Type="http://schemas.openxmlformats.org/officeDocument/2006/relationships/hyperlink" Target="http://data.aade.gr/eli/pri/law/2010/03/15/3833" TargetMode="External" /><Relationship Id="rId95" Type="http://schemas.openxmlformats.org/officeDocument/2006/relationships/hyperlink" Target="http://data.aade.gr/eli/pri/law/2018/12/18/4583" TargetMode="External" /><Relationship Id="rId96" Type="http://schemas.openxmlformats.org/officeDocument/2006/relationships/hyperlink" Target="http://data.aade.gr/eli/pri/law/2018/12/18/458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10/03/15/38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