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pStyle w:val="MainText"/>
        <w:spacing w:before="120" w:after="0"/>
        <w:rPr>
          <w:lang w:val="el" w:eastAsia="el"/>
        </w:rPr>
      </w:pPr>
      <w:r>
        <w:rPr>
          <w:b/>
          <w:bCs/>
          <w:lang w:val="el" w:eastAsia="el"/>
        </w:rPr>
        <w:t>3.</w:t>
      </w:r>
      <w:r>
        <w:rPr>
          <w:b/>
          <w:bCs/>
          <w:lang w:val="el" w:eastAsia="el"/>
        </w:rPr>
        <w:t xml:space="preserve"> 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εφαρμογής του παρόντος άρθρου, καθώς και ο τρόπος ελέγχου</w:t>
      </w:r>
    </w:p>
    <w:p>
      <w:pPr>
        <w:spacing w:before="240" w:after="240"/>
        <w:rPr>
          <w:lang w:val="el" w:eastAsia="el"/>
        </w:rPr>
      </w:pPr>
      <w:r>
        <w:rPr>
          <w:b/>
          <w:bCs/>
          <w:lang w:val="el" w:eastAsia="el"/>
        </w:rPr>
        <w:t>της νόμιμης χρησιμοποίησης των παραλαμβανόμενων με μερική ή ολική</w:t>
      </w:r>
    </w:p>
    <w:p>
      <w:pPr>
        <w:spacing w:before="240" w:after="240"/>
        <w:rPr>
          <w:lang w:val="el" w:eastAsia="el"/>
        </w:rPr>
      </w:pPr>
      <w:r>
        <w:rPr>
          <w:b/>
          <w:bCs/>
          <w:lang w:val="el" w:eastAsia="el"/>
        </w:rPr>
        <w:t>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7%</w:t>
      </w:r>
    </w:p>
    <w:p>
      <w:pPr>
        <w:spacing w:before="240" w:after="240"/>
        <w:rPr>
          <w:lang w:val="el" w:eastAsia="el"/>
        </w:rPr>
      </w:pPr>
      <w:r>
        <w:rPr>
          <w:b/>
          <w:bCs/>
          <w:lang w:val="el" w:eastAsia="el"/>
        </w:rPr>
        <w:t>Από 901 - 1400 " 15%</w:t>
      </w:r>
    </w:p>
    <w:p>
      <w:pPr>
        <w:spacing w:before="240" w:after="240"/>
        <w:rPr>
          <w:lang w:val="el" w:eastAsia="el"/>
        </w:rPr>
      </w:pPr>
      <w:r>
        <w:rPr>
          <w:b/>
          <w:bCs/>
          <w:lang w:val="el" w:eastAsia="el"/>
        </w:rPr>
        <w:t>Από 1401 - 1600 " 25%</w:t>
      </w:r>
    </w:p>
    <w:p>
      <w:pPr>
        <w:spacing w:before="240" w:after="240"/>
        <w:rPr>
          <w:lang w:val="el" w:eastAsia="el"/>
        </w:rPr>
      </w:pPr>
      <w:r>
        <w:rPr>
          <w:b/>
          <w:bCs/>
          <w:lang w:val="el" w:eastAsia="el"/>
        </w:rPr>
        <w:t>Από 1601 - 1800 " 35%</w:t>
      </w:r>
    </w:p>
    <w:p>
      <w:pPr>
        <w:spacing w:before="240" w:after="240"/>
        <w:rPr>
          <w:lang w:val="el" w:eastAsia="el"/>
        </w:rPr>
      </w:pPr>
      <w:r>
        <w:rPr>
          <w:b/>
          <w:bCs/>
          <w:lang w:val="el" w:eastAsia="el"/>
        </w:rPr>
        <w:t>Από 1801 - 2000 " 50%</w:t>
      </w:r>
    </w:p>
    <w:p>
      <w:pPr>
        <w:spacing w:before="240" w:after="240"/>
        <w:rPr>
          <w:lang w:val="el" w:eastAsia="el"/>
        </w:rPr>
      </w:pPr>
      <w:r>
        <w:rPr>
          <w:b/>
          <w:bCs/>
          <w:lang w:val="el" w:eastAsia="el"/>
        </w:rPr>
        <w:t>Από 2001 κυβικά εκατοστά και πάνω 88%</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κατασκευής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16%</w:t>
      </w:r>
    </w:p>
    <w:p>
      <w:pPr>
        <w:spacing w:before="240" w:after="240"/>
        <w:rPr>
          <w:lang w:val="el" w:eastAsia="el"/>
        </w:rPr>
      </w:pPr>
      <w:r>
        <w:rPr>
          <w:b/>
          <w:bCs/>
          <w:lang w:val="el" w:eastAsia="el"/>
        </w:rPr>
        <w:t>Από 901 - 1400 " 30%</w:t>
      </w:r>
    </w:p>
    <w:p>
      <w:pPr>
        <w:spacing w:before="240" w:after="240"/>
        <w:rPr>
          <w:lang w:val="el" w:eastAsia="el"/>
        </w:rPr>
      </w:pPr>
      <w:r>
        <w:rPr>
          <w:b/>
          <w:bCs/>
          <w:lang w:val="el" w:eastAsia="el"/>
        </w:rPr>
        <w:t>Από 1401 - 1600 " 50%</w:t>
      </w:r>
    </w:p>
    <w:p>
      <w:pPr>
        <w:spacing w:before="240" w:after="240"/>
        <w:rPr>
          <w:lang w:val="el" w:eastAsia="el"/>
        </w:rPr>
      </w:pPr>
      <w:r>
        <w:rPr>
          <w:b/>
          <w:bCs/>
          <w:lang w:val="el" w:eastAsia="el"/>
        </w:rPr>
        <w:t>Από 1601 - 1800 " 62%</w:t>
      </w:r>
    </w:p>
    <w:p>
      <w:pPr>
        <w:spacing w:before="240" w:after="240"/>
        <w:rPr>
          <w:lang w:val="el" w:eastAsia="el"/>
        </w:rPr>
      </w:pPr>
      <w:r>
        <w:rPr>
          <w:b/>
          <w:bCs/>
          <w:lang w:val="el" w:eastAsia="el"/>
        </w:rPr>
        <w:t>Από 1801 - 2000 " 92%</w:t>
      </w:r>
    </w:p>
    <w:p>
      <w:pPr>
        <w:spacing w:before="240" w:after="240"/>
        <w:rPr>
          <w:lang w:val="el" w:eastAsia="el"/>
        </w:rPr>
      </w:pPr>
      <w:r>
        <w:rPr>
          <w:b/>
          <w:bCs/>
          <w:lang w:val="el" w:eastAsia="el"/>
        </w:rPr>
        <w:t>Από 2001 κυβικά εκατοστά και πάνω 158%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27%</w:t>
      </w:r>
    </w:p>
    <w:p>
      <w:pPr>
        <w:spacing w:before="240" w:after="240"/>
        <w:rPr>
          <w:lang w:val="el" w:eastAsia="el"/>
        </w:rPr>
      </w:pPr>
      <w:r>
        <w:rPr>
          <w:b/>
          <w:bCs/>
          <w:lang w:val="el" w:eastAsia="el"/>
        </w:rPr>
        <w:t>Από 901 - 1400 " 55%</w:t>
      </w:r>
    </w:p>
    <w:p>
      <w:pPr>
        <w:spacing w:before="240" w:after="240"/>
        <w:rPr>
          <w:lang w:val="el" w:eastAsia="el"/>
        </w:rPr>
      </w:pPr>
      <w:r>
        <w:rPr>
          <w:b/>
          <w:bCs/>
          <w:lang w:val="el" w:eastAsia="el"/>
        </w:rPr>
        <w:t>Από 1401 - 1600 " 106%</w:t>
      </w:r>
    </w:p>
    <w:p>
      <w:pPr>
        <w:spacing w:before="240" w:after="240"/>
        <w:rPr>
          <w:lang w:val="el" w:eastAsia="el"/>
        </w:rPr>
      </w:pPr>
      <w:r>
        <w:rPr>
          <w:b/>
          <w:bCs/>
          <w:lang w:val="el" w:eastAsia="el"/>
        </w:rPr>
        <w:t>Από 1601 - 1800 " 143%</w:t>
      </w:r>
    </w:p>
    <w:p>
      <w:pPr>
        <w:spacing w:before="240" w:after="240"/>
        <w:rPr>
          <w:lang w:val="el" w:eastAsia="el"/>
        </w:rPr>
      </w:pPr>
      <w:r>
        <w:rPr>
          <w:b/>
          <w:bCs/>
          <w:lang w:val="el" w:eastAsia="el"/>
        </w:rPr>
        <w:t>Από 1801 - 2000 " 240%</w:t>
      </w:r>
    </w:p>
    <w:p>
      <w:pPr>
        <w:spacing w:before="240" w:after="240"/>
        <w:rPr>
          <w:lang w:val="el" w:eastAsia="el"/>
        </w:rPr>
      </w:pPr>
      <w:r>
        <w:rPr>
          <w:b/>
          <w:bCs/>
          <w:lang w:val="el" w:eastAsia="el"/>
        </w:rPr>
        <w:t>Από 2001 κυβικά εκατοστά και πάνω 371%</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41%</w:t>
      </w:r>
    </w:p>
    <w:p>
      <w:pPr>
        <w:spacing w:before="240" w:after="240"/>
        <w:rPr>
          <w:lang w:val="el" w:eastAsia="el"/>
        </w:rPr>
      </w:pPr>
      <w:r>
        <w:rPr>
          <w:b/>
          <w:bCs/>
          <w:lang w:val="el" w:eastAsia="el"/>
        </w:rPr>
        <w:t>Από 901 - 1400 " 73%</w:t>
      </w:r>
    </w:p>
    <w:p>
      <w:pPr>
        <w:spacing w:before="240" w:after="240"/>
        <w:rPr>
          <w:lang w:val="el" w:eastAsia="el"/>
        </w:rPr>
      </w:pPr>
      <w:r>
        <w:rPr>
          <w:b/>
          <w:bCs/>
          <w:lang w:val="el" w:eastAsia="el"/>
        </w:rPr>
        <w:t>Από 1401 - 1600 " 142%</w:t>
      </w:r>
    </w:p>
    <w:p>
      <w:pPr>
        <w:spacing w:before="240" w:after="240"/>
        <w:rPr>
          <w:lang w:val="el" w:eastAsia="el"/>
        </w:rPr>
      </w:pPr>
      <w:r>
        <w:rPr>
          <w:b/>
          <w:bCs/>
          <w:lang w:val="el" w:eastAsia="el"/>
        </w:rPr>
        <w:t>Από 1601 - 1800 " 165%</w:t>
      </w:r>
    </w:p>
    <w:p>
      <w:pPr>
        <w:spacing w:before="240" w:after="240"/>
        <w:rPr>
          <w:lang w:val="el" w:eastAsia="el"/>
        </w:rPr>
      </w:pPr>
      <w:r>
        <w:rPr>
          <w:b/>
          <w:bCs/>
          <w:lang w:val="el" w:eastAsia="el"/>
        </w:rPr>
        <w:t>Από 1801 - 2000 " 296%</w:t>
      </w:r>
    </w:p>
    <w:p>
      <w:pPr>
        <w:spacing w:before="240" w:after="240"/>
        <w:rPr>
          <w:lang w:val="el" w:eastAsia="el"/>
        </w:rPr>
      </w:pPr>
      <w:r>
        <w:rPr>
          <w:b/>
          <w:bCs/>
          <w:lang w:val="el" w:eastAsia="el"/>
        </w:rPr>
        <w:t>Από 2001 κυβικά εκατοστά και πάνω 385%</w:t>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Μεταχειρισμένες βάσεις των φορτηγών των προηγούμενων περιπτώσεων πέντε τοις εκατό (5%) για την περίπτωση (α) και επτά τοις εκατό (7%) για τις περιπτώσεις (β) και (γ).</w:t>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Μεταχειρισμένες βάσεις των φορτηγών των προηγούμενων περιπτώσεων πέντε τοις εκατό (5%) για την περίπτωση (α) και επτά τοις εκατό (7%) για τις περιπτώσεις (β) και (γ).`</w:t>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pStyle w:val="MainText"/>
        <w:spacing w:before="120" w:after="0"/>
        <w:rPr>
          <w:lang w:val="el" w:eastAsia="el"/>
        </w:rPr>
      </w:pPr>
      <w:r>
        <w:rPr>
          <w:b/>
          <w:bCs/>
          <w:lang w:val="el" w:eastAsia="el"/>
        </w:rPr>
        <w:t>6.</w:t>
      </w:r>
      <w:r>
        <w:rPr>
          <w:b/>
          <w:bCs/>
          <w:lang w:val="el" w:eastAsia="el"/>
        </w:rPr>
        <w:t xml:space="preserve"> Εάν συρρέουν και άλλα αδικήματα σε βαθμό κακουργήματος, δεν</w:t>
      </w:r>
    </w:p>
    <w:p>
      <w:pPr>
        <w:spacing w:before="240" w:after="240"/>
        <w:rPr>
          <w:lang w:val="el" w:eastAsia="el"/>
        </w:rPr>
      </w:pPr>
      <w:r>
        <w:rPr>
          <w:b/>
          <w:bCs/>
          <w:lang w:val="el" w:eastAsia="el"/>
        </w:rPr>
        <w:t>εφαρμόζονται οι περί συνάφειας ορισμοί της Ποινικής Δικονομίας, αλλά το</w:t>
      </w:r>
    </w:p>
    <w:p>
      <w:pPr>
        <w:spacing w:before="240" w:after="240"/>
        <w:rPr>
          <w:lang w:val="el" w:eastAsia="el"/>
        </w:rPr>
      </w:pPr>
      <w:r>
        <w:rPr>
          <w:b/>
          <w:bCs/>
          <w:lang w:val="el" w:eastAsia="el"/>
        </w:rPr>
        <w:t>πλημμέλημα της λαθρεμπορίας χωρίζεται και εισάγεται σύμφωνα με τις</w:t>
      </w:r>
    </w:p>
    <w:p>
      <w:pPr>
        <w:spacing w:before="240" w:after="240"/>
        <w:rPr>
          <w:lang w:val="el" w:eastAsia="el"/>
        </w:rPr>
      </w:pPr>
      <w:r>
        <w:rPr>
          <w:b/>
          <w:bCs/>
          <w:lang w:val="el" w:eastAsia="el"/>
        </w:rPr>
        <w:t>διατάξεις του παρόντος άρθρου.</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