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Όταν αποκτώνται ακίνητα ή κινητά (με εξαίρεση χρηματικά ποσά, καταθέσεις, απαιτήσεις και παροχές), αν η φορολογική δήλωση γι' αυτά υποβληθεί μετά την πάροδο τριών (3) ετών από το χρόνο γένεσης της φορολογικής υποχρέωσης, για τον υπολογισμό του φόρου λαμβάνεται υπόψη η αξία αυτών και οι φορολογικές κλίμακες που ισχύουν κατά το χρόνο υποβολής της δήλωσης. Αν εκδοθεί πράξη επιβολής φόρου από τον προϊστάμενο της δημόσιας οικονομικής υπηρεσίας μετά την πάροδο τριετίας από το χρόνο γένεσης της φορολογικής υποχρέωσης για τα περιουσιακά στοιχεία του προηγούμενου εδαφίου, εφόσον δεν έχει υποβληθεί γι' αυτά δήλωση από τον υπόχρεο μέχρι την έκδοση της πράξης, για τον υπολογισμό του φόρου λαμβάνεται υπόψη η αξία αυτών και οι φορολογικές κλίμακες που ισχύουν κατά το χρόνο έκδοσης της πράξης. Στις περιπτώσεις αυτές επιβάλλονται οι πρόσθετοι φόροι και τα πρόστιμα που προβλέπονται από την κείμενη νομοθεσία.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w:t>
      </w:r>
    </w:p>
    <w:p>
      <w:pPr>
        <w:spacing w:before="240" w:after="240"/>
        <w:rPr>
          <w:lang w:val="el" w:eastAsia="el"/>
        </w:rPr>
      </w:pPr>
      <w:r>
        <w:rPr>
          <w:lang w:val="el" w:eastAsia="el"/>
        </w:rPr>
        <w:t>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με συμψηφισμό του φόρου επικαρπίας.</w:t>
      </w:r>
    </w:p>
    <w:p>
      <w:pPr>
        <w:spacing w:before="240" w:after="240"/>
        <w:rPr>
          <w:lang w:val="el" w:eastAsia="el"/>
        </w:rPr>
      </w:pPr>
      <w:r>
        <w:rPr>
          <w:lang w:val="el" w:eastAsia="el"/>
        </w:rPr>
        <w:t>Το ίδιο ισχύει και σε περίπτωση μονομερούς ή συμβατικής παραίτησης του καταπιστευματοδόχου από το δικαίωμά του προσδοκίας υπέρ του βεβαρημένου.</w:t>
      </w:r>
    </w:p>
    <w:p>
      <w:pPr>
        <w:spacing w:before="240" w:after="240"/>
        <w:rPr>
          <w:lang w:val="el" w:eastAsia="el"/>
        </w:rPr>
      </w:pPr>
      <w:r>
        <w:rPr>
          <w:lang w:val="el" w:eastAsia="el"/>
        </w:rPr>
        <w:t>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εταιριών πλοιοκτητριών πλοίων υπό ελληνική σημαία ολικής χωρητικότητας άνω των χιλίων πεντακοσίων (1.500) κόρων.</w:t>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ζ)</w:t>
      </w:r>
      <w:r>
        <w:rPr>
          <w:lang w:val="en" w:eastAsia="en"/>
        </w:rPr>
        <w:tab/>
      </w:r>
      <w:r>
        <w:rPr>
          <w:lang w:val="el" w:eastAsia="el"/>
        </w:rPr>
        <w:t>η απόκτηση περιουσσίας, πληντωνπεριουσιακών στοιχείων για τα οποία εφαρμόζεται η παράγραφος 7 του άρθρου 29 του παρόντος, μέχρι του ποσού των τριακοσίων χιλιάδων (300.000) ευρώ ανά δικαιούχο, εφόσον δικαιούχοι είναι σύζυγος και ανήλικα τέκνα του κληρονομουμένου.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κατοικίας μέχρι εβδομήντα πέντε χιλιάδων (75.000) ευρώ για κάθε άγαμο κληρονόμο ή κληροδόχο και μέχρι εκατόν δεκαπέντε χιλιάδων (115.000) ευρώ για κάθε έγγαμο και διαζευγμένο ή χήρο ή άγαμο γονέα, που έχουν την επιμέλεια των τέκνων τους. Το ποσό αυτό προσαυξάνεται κατά είκοσι τρεις χιλιάδες (23.000) ευρώ για καθένα από τα δύο πρώτα τέκνα αυτών και κατά τριάντα πέντε χιλιάδες (35.000)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οικοπέδου μέχρι τριάντα πέντε χιλιάδων (35.000) ευρώ για κάθε άγαμο κληρονόμο ή κληροδόχο και μέχρι εξήντα τεσσάρων χιλιάδων (64.000) ευρώ για κάθε έγγαμο και διαζευγμένο ή χήρο ή άγαμο γονέα, που έχουν την επιμέλεια των τέκνων τους. Το ποσό αυτό προσαυξάνεται κατά δέκα χιλιάδες (10.000) ευρώ για καθένα από τα δύο πρώτα τέκνα αυτών και κατά δώδεκα χιλιάδες (12.000)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Απαγορεύεται η μεταβίβαση γεωργικής ή κτηνοτροφικής έκτασης, η οποία δεν έχει υπαχθεί σε φόρο, κατά την παράγραφο 1, πριν από την πάροδο δεκαπέντε (15) ετών, αν δεν υποβληθεί δήλωση με την αξία που έχει αυτή κατά το χρόνο της μεταβίβασης και δεν καταβληθεί ολόκληρος ο φόρος που αναλογεί επιμεριστικά στην αξία της έκτασης αυτής. Αν η αξία της γεωργικής ή κτηνοτροφικής έκτασης κατά το χρόνο μεταβίβασης είναι μικρότερη εκείνης του χρόνου της απαλλαγής, λαμβάνεται υπόψη η μεγαλύτερη αξία. Εξαιρείται η μεταβίβαση αιτία δωρεάς ή γονικής παροχής προς τα πρόσωπα που αναφέρονται στην παράγραφο 1 της ενότητας αυτής.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27 υποβάλλεται σε φόρο, ο οποίος υπολογίζεται με βάση τις φορολογικές κλίμακες του άρθρου 29.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στις επόμενες τρεις κατηγορίες. Για καθεμιά από τις κατηγορίες αυτές ισχύει χωριστή φορολογική κλίμακα ως εξής: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 α) σύζυγο του κληρονομουμένου, β)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γ) κατιόντες εξ αίματος δεύτερου βαθμού, δ) ανιόντες εξ αίματος πρώτου βαθμού.</w:t>
      </w:r>
      <w:r>
        <w:rPr>
          <w:rStyle w:val="Hyperlink"/>
          <w:color w:val="000000"/>
          <w:sz w:val="20"/>
          <w:szCs w:val="20"/>
          <w:u w:val="none" w:color="0000EE"/>
          <w:vertAlign w:val="superscript"/>
          <w:lang w:val="el" w:eastAsia="el"/>
        </w:rPr>
        <w:footnoteReference w:id="3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 α) κατιόντες τρίτου και επόμενων βαθμών, β) ανιόντες δεύτερου και επόμενων βαθμών, γ) εκούσια ή δικαστικά αναγνωρισθέντα τέκνα έναντι των ανιόντων του πατέρα που τα αναγνώρισε, δ) κατιόντες του αναγνωρισθέντος έναντι του αναγνωρίσαντος και των ανιόντων αυτού, ε) αδελφούς (αμφιθαλείς ή ετεροθαλείς), στ) συγγενείς εξ αίματος τρίτου βαθμού εκ πλαγίου, ζ) πατριούς και μητριές, η) τέκνα από προηγούμενο γάμο του συζύγου, θ) τέκνα εξ αγχιστείας (γαμπρούς - νύφες) και ι) ανιόντες εξ αγχιστείας (πεθερό - πεθερά).</w:t>
      </w:r>
      <w:r>
        <w:rPr>
          <w:rStyle w:val="Hyperlink"/>
          <w:color w:val="000000"/>
          <w:sz w:val="20"/>
          <w:szCs w:val="20"/>
          <w:u w:val="none" w:color="0000EE"/>
          <w:vertAlign w:val="superscript"/>
          <w:lang w:val="el" w:eastAsia="el"/>
        </w:rPr>
        <w:footnoteReference w:id="3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9"/>
        <w:gridCol w:w="1856"/>
        <w:gridCol w:w="1437"/>
        <w:gridCol w:w="2027"/>
        <w:gridCol w:w="2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κληρονομουμένου ή εξωτικό.</w:t>
      </w:r>
      <w:r>
        <w:rPr>
          <w:rStyle w:val="Hyperlink"/>
          <w:color w:val="000000"/>
          <w:sz w:val="20"/>
          <w:szCs w:val="20"/>
          <w:u w:val="none" w:color="0000EE"/>
          <w:vertAlign w:val="superscript"/>
          <w:lang w:val="el" w:eastAsia="el"/>
        </w:rPr>
        <w:footnoteReference w:id="3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583"/>
        <w:gridCol w:w="2233"/>
        <w:gridCol w:w="19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ποσό του φόρου που προκύπτει με βάση τις πιο πάνω κλίμακες περιλαμβάνεται ο φόρος υπέρ του Δημοσίου και οι πρόσθετοι σε αυτόν φόροι: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3% υπέρ δήμων και κοινοτήτων, που προβλέπεται από τις διατάξεις του βδ. 24/9-2.10.1958 (ΦΕΚ 171 Α) και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7% υπέρ νομαρχιακών ταμείων οδοποιίας που προβλέπεται από τις διατάξεις του άρθρου 7 του ν 3155/1955 (ΦΕΚ 63 Α`). Η απόδοση των φόρων υπέρ τρίτων γίνεται σύμφωνα με όσα ορίζονται στην παράγραφο 4 του άρθρου 81 του παρόντος νόμου.</w:t>
      </w:r>
    </w:p>
    <w:p>
      <w:pPr>
        <w:spacing w:before="240" w:after="240"/>
        <w:rPr>
          <w:lang w:val="el" w:eastAsia="el"/>
        </w:rPr>
      </w:pPr>
      <w:r>
        <w:rPr>
          <w:lang w:val="el" w:eastAsia="el"/>
        </w:rPr>
        <w:t>Η απόδοση των φόρων υπέρ τρίτων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Όταν ο κληρονόμος ή κληροδόχος έχει αναπηρία τουλάχιστον κατά ποσοστό 67%, ο φόρος που αναλογεί στη μέχρι σαράντα επτά εκατομμύρια (47.000.000) δραχμές αξία της κληρονομικής μερίδας ή κληροδοσίας μειώνεται κατά ποσοστό 60%.</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παραγράφου 2 του παρόντος άρθρου και από τις διατάξεις των ενοτήτων Α /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περίπτωση υιοθεσίας, για τον υπολογισμό του φόρου, η κατάταξη στην οικεία κατηγορία του παρόντος άρθρου του υιοθετηθέντος ή των γνήσιων κατιόντων αυτού έναντι του υιοθετήσαντος που γεννήθηκαν μετά την υιοθεσία, γίνεται με βάση τη συγγενική σχέση που δημιουργήθηκε με την υιοθεσία.</w:t>
      </w:r>
    </w:p>
    <w:p>
      <w:pPr>
        <w:spacing w:before="240" w:after="240"/>
        <w:rPr>
          <w:lang w:val="el" w:eastAsia="el"/>
        </w:rPr>
      </w:pPr>
      <w:r>
        <w:rPr>
          <w:lang w:val="el" w:eastAsia="el"/>
        </w:rPr>
        <w:t>Κατ` εξαίρεση, ο προϊστάμενος της δημόσιας οικονομικής υπηρεσίας μπορεί για τον υπολογισμό του φόρου να μη λάβει υπόψη το βαθμό συγγένειας που προκύπτει από την υιοθεσία, όταν διαπιστώσει ότι αυτή έγινε προφανώς για καταστρατήγηση του παρόντος νόμου, ιδιαίτερα όταν η υιοθεσία έγινε εν όψει επικείμενου θανάτου ή όταν η διαφορά της ηλικίας μεταξύ του υιοθετήσαντος και του υιοθετηθέντος δεν αποδεικνύει ειλικρινή πρόθεση υιοθεσίας.</w:t>
      </w:r>
    </w:p>
    <w:p>
      <w:pPr>
        <w:spacing w:before="240" w:after="240"/>
        <w:rPr>
          <w:lang w:val="el" w:eastAsia="el"/>
        </w:rPr>
      </w:pPr>
      <w:r>
        <w:rPr>
          <w:lang w:val="el" w:eastAsia="el"/>
        </w:rPr>
        <w:t>Η κατάταξη στην οικεία κατηγορία του άρθρου αυτού του υιοθετήσαντος έναντι του υιοθετηθέντος ή των γνήσιων κατιόντων αυτού που γεννήθηκαν μετά την υιοθεσία, γίνεται με βάση τη συγγενική σχέση που υπήρχε πριν από την υιοθεσία.</w:t>
      </w:r>
    </w:p>
    <w:p>
      <w:pPr>
        <w:pStyle w:val="MainText"/>
        <w:spacing w:before="120" w:after="0"/>
        <w:rPr>
          <w:lang w:val="el" w:eastAsia="el"/>
        </w:rPr>
      </w:pPr>
      <w:r>
        <w:rPr>
          <w:b/>
          <w:bCs/>
          <w:lang w:val="el" w:eastAsia="el"/>
        </w:rPr>
        <w:t>5.</w:t>
      </w:r>
      <w:r>
        <w:rPr>
          <w:lang w:val="el" w:eastAsia="el"/>
        </w:rPr>
        <w:t xml:space="preserve"> Σε περιπτώσεις σχολάζουσας κληρονομίας, ο φόρος υπολογίζεται στο σύνολο της αξίας της, με βάση τους συντελεστές της τελευταίας από τις κλίμακες που ισχύουν, με επιφύλαξη εφαρμογής του άρθρου 101 για νέα εκκαθάριση του φόρου.</w:t>
      </w:r>
    </w:p>
    <w:p>
      <w:pPr>
        <w:pStyle w:val="MainText"/>
        <w:spacing w:before="120" w:after="0"/>
        <w:rPr>
          <w:lang w:val="el" w:eastAsia="el"/>
        </w:rPr>
      </w:pPr>
      <w:r>
        <w:rPr>
          <w:b/>
          <w:bCs/>
          <w:lang w:val="el" w:eastAsia="el"/>
        </w:rPr>
        <w:t>6.</w:t>
      </w:r>
      <w:r>
        <w:rPr>
          <w:lang w:val="el" w:eastAsia="el"/>
        </w:rPr>
        <w:t xml:space="preserve"> Η μεταβίβαση μετοχών κατά τις διατάξεις του άρθρου 2 του ν.δ. 396/1974 (ΦΕΚ 112 Α`), υπόκειται σε φόρο κληρονομίας ή δωρεάς, που υπολογίζεται με βάση τους συντελεστές της κατηγορίας Α` της παραγράφου 1. Η μεταβίβαση αυτών των μετοχών από το μισθωτό πριν από την πάροδο του χρόνου δέσμευσης, υπόκειται σε φόρο κληρονομιών ή δωρεών, που υπολογίζεται με βάση τους συντελεστές της κατηγορίας Δ` της παραγράφου 1. Με αφαίρεση του ποσού του φόρου που καταβλήθηκε σύμφωνα με τις διατάξεις του πρώτου εδαφίου της παραγράφου αυτής, εκτός αν ο φόρος υπολογίζεται με βάση συντελεστές άλλης κατηγορίας, λόγω συγγένειας του μισθωτού προς το δικαιοπάροχό του, οπότε επιβάλλεται συμπληρωματικός φόρος που υπολογίζεται με βάση την κατηγορία αυτήν.</w:t>
      </w:r>
    </w:p>
    <w:p>
      <w:pPr>
        <w:spacing w:before="240" w:after="240"/>
        <w:rPr>
          <w:lang w:val="el" w:eastAsia="el"/>
        </w:rPr>
      </w:pPr>
      <w:r>
        <w:rPr>
          <w:lang w:val="el" w:eastAsia="el"/>
        </w:rPr>
        <w:t>Για την επιβολή του φόρου του προηγούμενου εδαφίου εξομοιώνεται με μεταβίβαση και η ανάληψη των μετοχών από το μισθωτό πριν από την πάροδο του χρόνου δέσμευσης, εκτός αν ο μισθωτός προβεί σε νέα κατάθεση αυτών στα πιστωτικά ιδρύματα του άρθρου 2 του ν.δ.396/1974 για το υπόλοιπο του χρόνου δέσμευσης χρονικό διάστημα, μέσα σε προθεσμία τριών μηνών από την ανάληψη.</w:t>
      </w:r>
    </w:p>
    <w:p>
      <w:pPr>
        <w:spacing w:before="240" w:after="240"/>
        <w:rPr>
          <w:lang w:val="el" w:eastAsia="el"/>
        </w:rPr>
      </w:pPr>
      <w:r>
        <w:rPr>
          <w:lang w:val="el" w:eastAsia="el"/>
        </w:rPr>
        <w:t>Οι διατάξεις του δεύτερου και τρίτου εδαφίου δεν εφαρμόζονται σε περίπτωση θανάτου του μισθωτού ή περιέλευσης αυτού σε κατάσταση πλήρους ανικανότητας προς βιοποριστική απασχόληση λόγω αναπηρίας ή θανάτου του συζύγου αυτού.</w:t>
      </w:r>
    </w:p>
    <w:p>
      <w:pPr>
        <w:pStyle w:val="MainText"/>
        <w:spacing w:before="120" w:after="0"/>
        <w:rPr>
          <w:lang w:val="el" w:eastAsia="el"/>
        </w:rPr>
      </w:pPr>
      <w:r>
        <w:rPr>
          <w:b/>
          <w:bCs/>
          <w:lang w:val="el" w:eastAsia="el"/>
        </w:rPr>
        <w:t>7.</w:t>
      </w:r>
      <w:r>
        <w:rPr>
          <w:lang w:val="el" w:eastAsia="el"/>
        </w:rPr>
        <w:t xml:space="preserve"> α. Η αιτία θανάτου, δωρεάς ή γονικής παροχής μεταβίβαση εισηγμένων στο χρηματιστήριο μετοχών,ομολογιών, ιδρυτικών και λοιπών γενικά τίτλων των</w:t>
      </w:r>
    </w:p>
    <w:p>
      <w:pPr>
        <w:spacing w:before="240" w:after="240"/>
        <w:rPr>
          <w:lang w:val="el" w:eastAsia="el"/>
        </w:rPr>
      </w:pPr>
      <w:r>
        <w:rPr>
          <w:lang w:val="el" w:eastAsia="el"/>
        </w:rPr>
        <w:t>εμπορικών εταιριών, δημοσίων χρεογράφων ή άλλων τέτοιας φύσης αξιών υπόκειται σε φόρο αυτοτελώς με συντελεστή έξι δέκατα τοις εκατό (0,6%), προκειμένουγια δικαιούχους που υπάγονται στην Α/ κατηγορία, και με συντελεστή ένα και δύο δέκατα τοις εκατό (1,2%),προκειμένου για δικαιούχους που υπάγονται στη Β/ κατηγορία.</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β. Η αιτία θανάτου, δωρεάς ή γονικής παροχής μεταβίβαση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δικαιούχους που υπάγονται στην Α/κατηγορία, και με συντελεστή δύο και τέσσερα δέκατα τοις εκατό (2,4%), προκειμένου για δικαιούχους που υπάγονται στη Β/ κατηγορία. Για την αιτία δωρεάς ή γονικής παροχής μεταβίβαση των περιουσιακών στοιχείων των περιπτώσεων α` και β/ απαιτείται η σύνταξη ιδιωτικού εγγράφου, το οποίο συνυποβάλλεται με την οικεία δήλωση, ή συμβολαιογραφικού εγγράφου. Για τα περιουσιακά στοιχεία της παραγράφου αυτής δεν έχουν εφαρμογή οι διατάξεις των άρθρων 4, 21, 22,23, 24, 29 παράγραφος 2, 36 και 47.</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Η διάταξη της παραγράφου αυτής δεν εφαρμόζεται στην περίπτωση που ο υπόχρεος σε φόρο, με τη δήλωση των παραπάνω περιουσιακών στοιχείων, συνυποβάλλει αίτημα για τη μη εφαρμογή της.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Μείωση φόρου διαδοχικών μεταβιβάσεων</w:t>
      </w:r>
    </w:p>
    <w:p>
      <w:pPr>
        <w:pStyle w:val="MainText"/>
        <w:spacing w:before="120" w:after="0"/>
        <w:rPr>
          <w:lang w:val="el" w:eastAsia="el"/>
        </w:rPr>
      </w:pPr>
      <w:r>
        <w:rPr>
          <w:b/>
          <w:bCs/>
          <w:lang w:val="el" w:eastAsia="el"/>
        </w:rPr>
        <w:t>1.</w:t>
      </w:r>
      <w:r>
        <w:rPr>
          <w:lang w:val="el" w:eastAsia="el"/>
        </w:rPr>
        <w:t xml:space="preserve"> Αν μέσα σε μία πενταετία από το χρόνο της γένεσης της φορολογικής υποχρέωσης αντικείμενα της κτήσης μεταβιβασθούν και πάλι περαιτέρω αιτία θανάτου, ο φόρος για τη νέα αυτή κτήση περιορίζεται:</w:t>
      </w:r>
    </w:p>
    <w:p>
      <w:pPr>
        <w:pStyle w:val="StructureList1"/>
        <w:spacing w:before="120" w:after="0"/>
        <w:rPr>
          <w:lang w:val="el" w:eastAsia="el"/>
        </w:rPr>
      </w:pPr>
      <w:r>
        <w:rPr>
          <w:lang w:val="el" w:eastAsia="el"/>
        </w:rPr>
        <w:t>α)</w:t>
      </w:r>
      <w:r>
        <w:rPr>
          <w:lang w:val="en" w:eastAsia="en"/>
        </w:rPr>
        <w:tab/>
      </w:r>
      <w:r>
        <w:rPr>
          <w:lang w:val="el" w:eastAsia="el"/>
        </w:rPr>
        <w:t>στα 5/10 αυτού, αν ο χρόνος της γένεσης της νέας φορολογικής υποχρέωσης εμπίπτει στο πρώτο έτος από την προηγούμενη μεταβίβαση,</w:t>
      </w:r>
    </w:p>
    <w:p>
      <w:pPr>
        <w:pStyle w:val="StructureList1"/>
        <w:spacing w:before="120" w:after="0"/>
        <w:rPr>
          <w:lang w:val="el" w:eastAsia="el"/>
        </w:rPr>
      </w:pPr>
      <w:r>
        <w:rPr>
          <w:lang w:val="el" w:eastAsia="el"/>
        </w:rPr>
        <w:t>β)</w:t>
      </w:r>
      <w:r>
        <w:rPr>
          <w:lang w:val="en" w:eastAsia="en"/>
        </w:rPr>
        <w:tab/>
      </w:r>
      <w:r>
        <w:rPr>
          <w:lang w:val="el" w:eastAsia="el"/>
        </w:rPr>
        <w:t>στα 6/10, αν εμπίπτει στο δεύτερο έτος,</w:t>
      </w:r>
    </w:p>
    <w:p>
      <w:pPr>
        <w:pStyle w:val="StructureList1"/>
        <w:spacing w:before="120" w:after="0"/>
        <w:rPr>
          <w:lang w:val="el" w:eastAsia="el"/>
        </w:rPr>
      </w:pPr>
      <w:r>
        <w:rPr>
          <w:lang w:val="el" w:eastAsia="el"/>
        </w:rPr>
        <w:t>γ)</w:t>
      </w:r>
      <w:r>
        <w:rPr>
          <w:lang w:val="en" w:eastAsia="en"/>
        </w:rPr>
        <w:tab/>
      </w:r>
      <w:r>
        <w:rPr>
          <w:lang w:val="el" w:eastAsia="el"/>
        </w:rPr>
        <w:t>στα 7/10, αν εμπίπτει στο τρίτο έτος,</w:t>
      </w:r>
    </w:p>
    <w:p>
      <w:pPr>
        <w:pStyle w:val="StructureList1"/>
        <w:spacing w:before="120" w:after="0"/>
        <w:rPr>
          <w:lang w:val="el" w:eastAsia="el"/>
        </w:rPr>
      </w:pPr>
      <w:r>
        <w:rPr>
          <w:lang w:val="el" w:eastAsia="el"/>
        </w:rPr>
        <w:t>δ)</w:t>
      </w:r>
      <w:r>
        <w:rPr>
          <w:lang w:val="en" w:eastAsia="en"/>
        </w:rPr>
        <w:tab/>
      </w:r>
      <w:r>
        <w:rPr>
          <w:lang w:val="el" w:eastAsia="el"/>
        </w:rPr>
        <w:t>στα 8/10, αν εμπίπτει στο τέταρτο έτος και</w:t>
      </w:r>
    </w:p>
    <w:p>
      <w:pPr>
        <w:pStyle w:val="StructureList1"/>
        <w:spacing w:before="120" w:after="0"/>
        <w:rPr>
          <w:lang w:val="el" w:eastAsia="el"/>
        </w:rPr>
      </w:pPr>
      <w:r>
        <w:rPr>
          <w:lang w:val="el" w:eastAsia="el"/>
        </w:rPr>
        <w:t>ε)</w:t>
      </w:r>
      <w:r>
        <w:rPr>
          <w:lang w:val="en" w:eastAsia="en"/>
        </w:rPr>
        <w:tab/>
      </w:r>
      <w:r>
        <w:rPr>
          <w:lang w:val="el" w:eastAsia="el"/>
        </w:rPr>
        <w:t>στα 9/10, αν εμπίπτει στο πέμπτο έτος.</w:t>
      </w:r>
    </w:p>
    <w:p>
      <w:pPr>
        <w:pStyle w:val="MainText"/>
        <w:spacing w:before="120" w:after="0"/>
        <w:rPr>
          <w:lang w:val="el" w:eastAsia="el"/>
        </w:rPr>
      </w:pPr>
      <w:r>
        <w:rPr>
          <w:b/>
          <w:bCs/>
          <w:lang w:val="el" w:eastAsia="el"/>
        </w:rPr>
        <w:t>2.</w:t>
      </w:r>
      <w:r>
        <w:rPr>
          <w:lang w:val="el" w:eastAsia="el"/>
        </w:rPr>
        <w:t xml:space="preserve"> Αν, για οποιαδήποτε αιτία, κατά τη δεύτερη αιτία θανάτου κτήση του ίδιου περιουσιακού στοιχείου, ο φόρος που επιμεριστικά το βαρύνει είναι μεγαλύτερος από εκείνον της πρώτης αυτού κτήσης, η επιπλέον διαφορά οφείλεται ολόκληρη.</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και όταν στον κληρονόμο περιέρχονται περιουσιακά στοιχεία αιτία θανάτου, τα οποία αυτός με δωρεά ή γονική παροχή είχε μεταβιβάσει στον κληρονομούμενο, μέσα στην πριν από το θάνατό του πενταετία.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 Το ποσό αυτό ορίζεται στις εκατό χιλιάδες (100.000) ευρώ αυτοτελώς για κάθε γονέα και αυξάνεται σε εκατόν τριάντα χιλιάδες (130.000) ευρώ, όταν ο ένας από τους γονείς έχει αποβιώσει. Στα πιο πάνω ποσά συνυπολογίζονται οι προγενέστερες δωρεές ή γονικές παροχές των γονέων προς τα τέκνα τους που έχουν υπαχθεί σε φόρο και όχι τα απαλλασσόμενα ποσά.</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48"/>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Σε περίπτωση μεταβίβασης με γονική παροχή εξ ολοκλήρου και κατά πλήρη κυριότητα, με τους όρους και τις προϋποθέσεις της ενότητας Α του άρθρου 26:</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εβδομήντα πέντε χιλιάδες (75.000) ευρώ για κάθε άγαμο δικαιούχο. Το ποσό αυτό ανέρχεται σε εκατόν δεκαπέντε χιλιάδες (115.000) ευρώ, προκειμένου για έγγαμο και διαζευγμένο ή χήρο ή άγαμο γονέα, που έχουν την επιμέλεια των τέκνων τους, και προσαυξάνεται κατά είκοσι τρεις χιλιάδες (23.000) ευρώ για καθένα από τα δύο πρώτα τέκνα αυτών και κατά τριάντα πέντε χιλιάδες (35000)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τριάντα πέντε χιλιάδες (35.000) ευρώ για κάθε άγαμο δικαιούχο. Το ποσό αυτό ανέρχεται σε εξήντα τέσσερις χιλιάδες (64.000) ευρώ, προκειμένου για έγγαμο και διαζευγμένο ή χήρο ή άγαμο γονέα, που έχουν την επιμέλεια των τέκνων τους, και προσαυξάνεται κατά δέκα χιλιάδες (10.000) ευρώ για καθένα από τα δύο πρώτα τέκνα αυτών και κατά δώδεκα χιλιάδες (12.000)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εκτπώσεων των άρθρων 41 και 43, υποβάλλεται σε φόρο, ο οποίος υπολογίζεται σύμφωνα με τα οριζόμενα στο άρθρο 29. Για τον καθορισμό του βαθμού συγγένειας σε περίπτωση υιοθεσίας εφαρμόζεται ανάλογα η παράγραφος 4 του άρθρου 29 σε συνδυασμό με το άρθρο 45. Οι γονικές παροχές υπόκεινται στο μισό</w:t>
      </w:r>
      <w:r>
        <w:rPr>
          <w:rStyle w:val="Hyperlink"/>
          <w:color w:val="000000"/>
          <w:sz w:val="20"/>
          <w:szCs w:val="20"/>
          <w:u w:val="none" w:color="0000EE"/>
          <w:vertAlign w:val="superscript"/>
          <w:lang w:val="el" w:eastAsia="el"/>
        </w:rPr>
        <w:footnoteReference w:id="53"/>
      </w:r>
      <w:r>
        <w:rPr>
          <w:lang w:val="el" w:eastAsia="el"/>
        </w:rPr>
        <w:t xml:space="preserve"> του φόρου δωρεών μέχρι του ποσού που ορίζεται στην ενότητα Β΄του άρθρου 34 του παρόντος.</w:t>
      </w:r>
    </w:p>
    <w:p>
      <w:pPr>
        <w:pStyle w:val="MainText"/>
        <w:spacing w:before="120" w:after="0"/>
        <w:rPr>
          <w:lang w:val="el" w:eastAsia="el"/>
        </w:rPr>
      </w:pPr>
      <w:r>
        <w:rPr>
          <w:b/>
          <w:bCs/>
          <w:lang w:val="el" w:eastAsia="el"/>
        </w:rPr>
        <w:t>2.</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ο φόρος δωρεάς υπολογίζεται σε πέντε χιλιάδες (5.000) δραχμές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για τη μεταβίβαση δικαιωμάτων που απορρέουν από άδεια μεταλλευτικών ερευνών, υφίσταται μόνο εφόσον κατά την υπογραφή της σύμβασης δωρεάς έχουν προηγηθεί η υποβολή αίτησης για την παραχώρηση μεταλλείου και η σχετική εγγύηση κατά τις διατάξεις των άρθρων 44 και 47 του ν.δ. 210/1973 (ΦΕΚ 277 Α`).</w:t>
      </w:r>
    </w:p>
    <w:p>
      <w:pPr>
        <w:pStyle w:val="MainText"/>
        <w:spacing w:before="120" w:after="0"/>
        <w:rPr>
          <w:lang w:val="el" w:eastAsia="el"/>
        </w:rPr>
      </w:pPr>
      <w:r>
        <w:rPr>
          <w:b/>
          <w:bCs/>
          <w:lang w:val="el" w:eastAsia="el"/>
        </w:rPr>
        <w:t>3.</w:t>
      </w:r>
      <w:r>
        <w:rPr>
          <w:lang w:val="el" w:eastAsia="el"/>
        </w:rPr>
        <w:t xml:space="preserve"> Από το φόρο που προκύπτει εκπίπτεται:</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νησιων αυτων.</w:t>
      </w:r>
    </w:p>
    <w:p>
      <w:pPr>
        <w:spacing w:before="240" w:after="240"/>
        <w:rPr>
          <w:lang w:val="el" w:eastAsia="el"/>
        </w:rPr>
      </w:pPr>
      <w:r>
        <w:rPr>
          <w:lang w:val="el" w:eastAsia="el"/>
        </w:rPr>
        <w:t>Η φορολογική αυτή μείωση παρέχεται για γονικές παροχές που συνιστώνται από 18.2.1997 και για μία δεκαετία.</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στα άρθρα 29 και 44 και με βάση τη συγγενική σχέση μεταξύ προικοδότη και προικιζομένης. Ο φόρος που προκύπτει μειώνεται στο μισό.</w:t>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τα κέρδη από λαχεία, λαχειοφόρες ομολογίες και λαχειοφόρες αγορές, τα οποία προκύπτουν από κληρώσεις που γίνονται στην Ελλάδα, καθώς και τα κέρδη από τα προγνωστικά των αγώνων του ποδοσφαίρου (ΠΡΟ-ΠΟ).</w:t>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προκειμένου περί λαχείων, λαχειοφόρων ομολογιών και λαχειοφόρων αγορών, γεννιέται κατά το χρόνο της κλήρωσης και, προκειμένου περί προγνωστικών αγώνων ποδοσφαίρου, κατά το χρόνο της γένεσης της αξίωσης στα κέρδη.</w:t>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προκύπτουν από:</w:t>
      </w:r>
    </w:p>
    <w:p>
      <w:pPr>
        <w:pStyle w:val="StructureList1"/>
        <w:spacing w:before="120" w:after="0"/>
        <w:rPr>
          <w:lang w:val="el" w:eastAsia="el"/>
        </w:rPr>
      </w:pPr>
      <w:r>
        <w:rPr>
          <w:lang w:val="el" w:eastAsia="el"/>
        </w:rPr>
        <w:t>α)</w:t>
      </w:r>
      <w:r>
        <w:rPr>
          <w:lang w:val="en" w:eastAsia="en"/>
        </w:rPr>
        <w:tab/>
      </w:r>
      <w:r>
        <w:rPr>
          <w:lang w:val="el" w:eastAsia="el"/>
        </w:rPr>
        <w:t>κάθε λαχειοφόρο ομολογία ή κάθε γραμμάτιο λαχείου ή λαχειοφόρου αγοράς, και</w:t>
      </w:r>
    </w:p>
    <w:p>
      <w:pPr>
        <w:pStyle w:val="StructureList1"/>
        <w:spacing w:before="120" w:after="0"/>
        <w:rPr>
          <w:lang w:val="el" w:eastAsia="el"/>
        </w:rPr>
      </w:pPr>
      <w:r>
        <w:rPr>
          <w:lang w:val="el" w:eastAsia="el"/>
        </w:rPr>
        <w:t>β)</w:t>
      </w:r>
      <w:r>
        <w:rPr>
          <w:lang w:val="en" w:eastAsia="en"/>
        </w:rPr>
        <w:tab/>
      </w:r>
      <w:r>
        <w:rPr>
          <w:lang w:val="el" w:eastAsia="el"/>
        </w:rPr>
        <w:t>κάθε στήλη δελτίου προγνωστικών αγώνων ποδοσφαίρου (ΠΡΟ-ΠΟ), ανεξάρτητα από τον αριθμό των δικαιούχων τους, μετά την αφαίρεση αφορολόγητου ποσού είκοσι πέντε χιλιάδων (25.000) δραχμών, υποβάλλονται σε φόρο που ορίζεται σε ποσοστό δέκα τοις εκατό (10%).</w:t>
      </w:r>
    </w:p>
    <w:p>
      <w:pPr>
        <w:spacing w:before="240" w:after="240"/>
        <w:rPr>
          <w:lang w:val="el" w:eastAsia="el"/>
        </w:rPr>
      </w:pPr>
      <w:r>
        <w:rPr>
          <w:lang w:val="el" w:eastAsia="el"/>
        </w:rPr>
        <w:t>Αν το λαχείο εκδίδεται διαιρεμένο σε περισσότερα από ένα γραμμάτια που φέρουν τον ίδιο αριθμό, καθένα από αυτά τα γραμμάτια θεωρείται για την εφαρμογή των διατάξεων του άρθρου αυτού ως αυτοτελές λαχείο.</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αριθμός φορολογικού μητρώου του υπόχρεου σε φόρο και του κληρονομούμενου.</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Σε περίπτωση υποβολής συμπληρωματικής δήλωσης ως προς την περιγραφή μεταβιβασθέντος ακινήτου μετά την οριστική περαίωση της υπόθεσης ή μετά την πάροδο της προθεσμίας των είκοσι (20) ημερών, που ορίζεται από τις διατάξεις της παραγράφου 5 της ενότητας Β του άρθρου 10, από τον υπόχρεο σε φόρο ή τους ειδικούς ή καθολικούς διαδόχους αυτού, επιβάλλεται φόρος για την κατά το χρόνο της υποβολής της συμπληρωματικής δήλωσης επιπλέον αξία. Δεν επιβάλλεται φόρος αν η διαφορά μεταξύ της έκτασης, όπως αυτή προσδιορίστηκε οριστικά και της πραγματικής που προκύπτει μετά από νεότερη καταμέτρηση, δεν υπερβαίνει το ποσοστό 2% αυτής που οριστικά προσδιορίστηκε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58"/>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Μετά από δήλωση ή πράξη προσδιορισμού φόρου που έγινε οριστική λόγω μη άσκησης ή εκπρόθεσμης άσκησης προσφυγής,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Μετά από διοικητική επίλυση της διαφοράς και την καταβολή του ενός πέμπτου (1/5), το υπόλοιπο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συμβιβασμό, καταβάλλεται σε έξι (6) ίσες διμηνιαίες δόσεις.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αριθμός φορολογικού μητρώου των συμβαλλομένων.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Ανάλογη εφαρμογή διατάξεων </w:t>
      </w:r>
    </w:p>
    <w:p>
      <w:pPr>
        <w:spacing w:before="240" w:after="240"/>
        <w:rPr>
          <w:lang w:val="el" w:eastAsia="el"/>
        </w:rPr>
      </w:pPr>
      <w:r>
        <w:rPr>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84.</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δημόσιας οικονομικής υπηρεσίας του τόπου των κληρώσεων.</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91 έως και 97 εφαρμόζονται ανάλογα και προκειμένου για κέρδη από προγνωστικά αγώνων ποδοσφαίρου (ΠΡΟ-ΠΟ).</w:t>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3427/2005,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5" w:history="1">
        <w:r>
          <w:rPr>
            <w:rStyle w:val="Hyperlink"/>
            <w:color w:val="0000EE"/>
            <w:u w:color="0000EE"/>
            <w:lang w:val="el" w:eastAsia="el"/>
          </w:rPr>
          <w:t>Τροποποίηση 3220/2004, Άρθρο 35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3091/2002, Άρθρο 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 w:history="1">
        <w:r>
          <w:rPr>
            <w:rStyle w:val="Hyperlink"/>
            <w:color w:val="0000EE"/>
            <w:u w:color="0000EE"/>
            <w:lang w:val="el" w:eastAsia="el"/>
          </w:rPr>
          <w:t>Τροποποίηση 3091/2002,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r>
        <w:rPr>
          <w:lang w:val="el" w:eastAsia="el"/>
        </w:rPr>
        <w:t xml:space="preserve">; </w:t>
      </w:r>
      <w:hyperlink r:id="rId7" w:anchor="art_12" w:history="1">
        <w:r>
          <w:rPr>
            <w:rStyle w:val="Hyperlink"/>
            <w:color w:val="0000EE"/>
            <w:u w:color="0000EE"/>
            <w:lang w:val="el" w:eastAsia="el"/>
          </w:rPr>
          <w:t>Προσθήκη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5" w:history="1">
        <w:r>
          <w:rPr>
            <w:rStyle w:val="Hyperlink"/>
            <w:color w:val="0000EE"/>
            <w:u w:color="0000EE"/>
            <w:lang w:val="el" w:eastAsia="el"/>
          </w:rPr>
          <w:t>Τροποποίηση 3220/2004, Άρθρο 35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 w:history="1">
        <w:r>
          <w:rPr>
            <w:rStyle w:val="Hyperlink"/>
            <w:color w:val="0000EE"/>
            <w:u w:color="0000EE"/>
            <w:lang w:val="el" w:eastAsia="el"/>
          </w:rPr>
          <w:t>Τροποποίηση 3427/2005, Άρθρο 20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 w:history="1">
        <w:r>
          <w:rPr>
            <w:rStyle w:val="Hyperlink"/>
            <w:color w:val="0000EE"/>
            <w:u w:color="0000EE"/>
            <w:lang w:val="el" w:eastAsia="el"/>
          </w:rPr>
          <w:t>Προσθήκη 3091/2002, Άρθρο 11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2" w:history="1">
        <w:r>
          <w:rPr>
            <w:rStyle w:val="Hyperlink"/>
            <w:color w:val="0000EE"/>
            <w:u w:color="0000EE"/>
            <w:lang w:val="el" w:eastAsia="el"/>
          </w:rPr>
          <w:t>Προσθήκη 3091/2002, Άρθρο 12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0" w:history="1">
        <w:r>
          <w:rPr>
            <w:rStyle w:val="Hyperlink"/>
            <w:color w:val="0000EE"/>
            <w:u w:color="0000EE"/>
            <w:lang w:val="el" w:eastAsia="el"/>
          </w:rPr>
          <w:t>Τροποποίηση 3091/2002, Άρθρο 10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3091/2002, Άρθρο 10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0" w:history="1">
        <w:r>
          <w:rPr>
            <w:rStyle w:val="Hyperlink"/>
            <w:color w:val="0000EE"/>
            <w:u w:color="0000EE"/>
            <w:lang w:val="el" w:eastAsia="el"/>
          </w:rPr>
          <w:t>Τροποποίηση 3427/2005, Άρθρο 20</w:t>
        </w:r>
      </w:hyperlink>
      <w:r>
        <w:rPr>
          <w:lang w:val="el" w:eastAsia="el"/>
        </w:rPr>
        <w:t xml:space="preserve">; </w:t>
      </w:r>
      <w:hyperlink r:id="rId22" w:anchor="art_10" w:history="1">
        <w:r>
          <w:rPr>
            <w:rStyle w:val="Hyperlink"/>
            <w:color w:val="0000EE"/>
            <w:u w:color="0000EE"/>
            <w:lang w:val="el" w:eastAsia="el"/>
          </w:rPr>
          <w:t>Τροποποίηση 3091/2002,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3427/2005, Άρθρο 20</w:t>
        </w:r>
      </w:hyperlink>
      <w:r>
        <w:rPr>
          <w:lang w:val="el" w:eastAsia="el"/>
        </w:rPr>
        <w:t xml:space="preserve">; </w:t>
      </w:r>
      <w:hyperlink r:id="rId24" w:anchor="art_10" w:history="1">
        <w:r>
          <w:rPr>
            <w:rStyle w:val="Hyperlink"/>
            <w:color w:val="0000EE"/>
            <w:u w:color="0000EE"/>
            <w:lang w:val="el" w:eastAsia="el"/>
          </w:rPr>
          <w:t>Τροποποίηση 3091/2002,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3091/2002, Άρθρο 10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 w:history="1">
        <w:r>
          <w:rPr>
            <w:rStyle w:val="Hyperlink"/>
            <w:color w:val="0000EE"/>
            <w:u w:color="0000EE"/>
            <w:lang w:val="el" w:eastAsia="el"/>
          </w:rPr>
          <w:t>Τροποποίηση 3220/2004,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9" w:history="1">
        <w:r>
          <w:rPr>
            <w:rStyle w:val="Hyperlink"/>
            <w:color w:val="0000EE"/>
            <w:u w:color="0000EE"/>
            <w:lang w:val="el" w:eastAsia="el"/>
          </w:rPr>
          <w:t>Τροποποίηση 3220/2004, Άρθρο 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9" w:history="1">
        <w:r>
          <w:rPr>
            <w:rStyle w:val="Hyperlink"/>
            <w:color w:val="0000EE"/>
            <w:u w:color="0000EE"/>
            <w:lang w:val="el" w:eastAsia="el"/>
          </w:rPr>
          <w:t>Τροποποίηση 3220/2004, Άρθρο 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9" w:history="1">
        <w:r>
          <w:rPr>
            <w:rStyle w:val="Hyperlink"/>
            <w:color w:val="0000EE"/>
            <w:u w:color="0000EE"/>
            <w:lang w:val="el" w:eastAsia="el"/>
          </w:rPr>
          <w:t>Τροποποίηση 3220/2004, Άρθρο 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9" w:history="1">
        <w:r>
          <w:rPr>
            <w:rStyle w:val="Hyperlink"/>
            <w:color w:val="0000EE"/>
            <w:u w:color="0000EE"/>
            <w:lang w:val="el" w:eastAsia="el"/>
          </w:rPr>
          <w:t>Αφαίρεση 3220/2004, Άρθρο 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3220/2004, Άρθρο 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9" w:history="1">
        <w:r>
          <w:rPr>
            <w:rStyle w:val="Hyperlink"/>
            <w:color w:val="0000EE"/>
            <w:u w:color="0000EE"/>
            <w:lang w:val="el" w:eastAsia="el"/>
          </w:rPr>
          <w:t>Αφαίρεση 3220/2004, Άρθρο 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9" w:history="1">
        <w:r>
          <w:rPr>
            <w:rStyle w:val="Hyperlink"/>
            <w:color w:val="0000EE"/>
            <w:u w:color="0000EE"/>
            <w:lang w:val="el" w:eastAsia="el"/>
          </w:rPr>
          <w:t>Τροποποίηση 3220/2004, Άρθρο 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9" w:history="1">
        <w:r>
          <w:rPr>
            <w:rStyle w:val="Hyperlink"/>
            <w:color w:val="0000EE"/>
            <w:u w:color="0000EE"/>
            <w:lang w:val="el" w:eastAsia="el"/>
          </w:rPr>
          <w:t>Τροποποίηση 3220/2004, Άρθρο 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3220/2004,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9" w:history="1">
        <w:r>
          <w:rPr>
            <w:rStyle w:val="Hyperlink"/>
            <w:color w:val="0000EE"/>
            <w:u w:color="0000EE"/>
            <w:lang w:val="el" w:eastAsia="el"/>
          </w:rPr>
          <w:t>Τροποποίηση 3220/2004,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0" w:history="1">
        <w:r>
          <w:rPr>
            <w:rStyle w:val="Hyperlink"/>
            <w:color w:val="0000EE"/>
            <w:u w:color="0000EE"/>
            <w:lang w:val="el" w:eastAsia="el"/>
          </w:rPr>
          <w:t>Τροποποίηση 3427/2005, Άρθρο 20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0" w:history="1">
        <w:r>
          <w:rPr>
            <w:rStyle w:val="Hyperlink"/>
            <w:color w:val="0000EE"/>
            <w:u w:color="0000EE"/>
            <w:lang w:val="el" w:eastAsia="el"/>
          </w:rPr>
          <w:t>Τροποποίηση 3427/2005, Άρθρο 20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0" w:history="1">
        <w:r>
          <w:rPr>
            <w:rStyle w:val="Hyperlink"/>
            <w:color w:val="0000EE"/>
            <w:u w:color="0000EE"/>
            <w:lang w:val="el" w:eastAsia="el"/>
          </w:rPr>
          <w:t>Τροποποίηση 3427/2005, Άρθρο 20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0" w:history="1">
        <w:r>
          <w:rPr>
            <w:rStyle w:val="Hyperlink"/>
            <w:color w:val="0000EE"/>
            <w:u w:color="0000EE"/>
            <w:lang w:val="el" w:eastAsia="el"/>
          </w:rPr>
          <w:t>Τροποποίηση 3427/2005, Άρθρο 20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0" w:history="1">
        <w:r>
          <w:rPr>
            <w:rStyle w:val="Hyperlink"/>
            <w:color w:val="0000EE"/>
            <w:u w:color="0000EE"/>
            <w:lang w:val="el" w:eastAsia="el"/>
          </w:rPr>
          <w:t>Τροποποίηση 3427/2005, Άρθρο 20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0" w:history="1">
        <w:r>
          <w:rPr>
            <w:rStyle w:val="Hyperlink"/>
            <w:color w:val="0000EE"/>
            <w:u w:color="0000EE"/>
            <w:lang w:val="el" w:eastAsia="el"/>
          </w:rPr>
          <w:t>Τροποποίηση 3427/2005, Άρθρο 20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Τροποποίηση 3427/2005, Άρθρο 20</w:t>
        </w:r>
      </w:hyperlink>
      <w:r>
        <w:rPr>
          <w:lang w:val="el" w:eastAsia="el"/>
        </w:rPr>
        <w:t xml:space="preserve">; </w:t>
      </w:r>
      <w:hyperlink r:id="rId44" w:anchor="art_12" w:history="1">
        <w:r>
          <w:rPr>
            <w:rStyle w:val="Hyperlink"/>
            <w:color w:val="0000EE"/>
            <w:u w:color="0000EE"/>
            <w:lang w:val="el" w:eastAsia="el"/>
          </w:rPr>
          <w:t>Τροποποίηση 3091/2002, Άρθρο 12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2" w:history="1">
        <w:r>
          <w:rPr>
            <w:rStyle w:val="Hyperlink"/>
            <w:color w:val="0000EE"/>
            <w:u w:color="0000EE"/>
            <w:lang w:val="el" w:eastAsia="el"/>
          </w:rPr>
          <w:t>Τροποποίηση 3091/2002, Άρθρο 12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1" w:history="1">
        <w:r>
          <w:rPr>
            <w:rStyle w:val="Hyperlink"/>
            <w:color w:val="0000EE"/>
            <w:u w:color="0000EE"/>
            <w:lang w:val="el" w:eastAsia="el"/>
          </w:rPr>
          <w:t>Τροποποίηση 3091/2002, Άρθρο 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 w:history="1">
        <w:r>
          <w:rPr>
            <w:rStyle w:val="Hyperlink"/>
            <w:color w:val="0000EE"/>
            <w:u w:color="0000EE"/>
            <w:lang w:val="el" w:eastAsia="el"/>
          </w:rPr>
          <w:t>Τροποποίηση 3091/2002, Άρθρο 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0" w:history="1">
        <w:r>
          <w:rPr>
            <w:rStyle w:val="Hyperlink"/>
            <w:color w:val="0000EE"/>
            <w:u w:color="0000EE"/>
            <w:lang w:val="el" w:eastAsia="el"/>
          </w:rPr>
          <w:t>Προσθήκη 3427/2005, Άρθρο 20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0" w:history="1">
        <w:r>
          <w:rPr>
            <w:rStyle w:val="Hyperlink"/>
            <w:color w:val="0000EE"/>
            <w:u w:color="0000EE"/>
            <w:lang w:val="el" w:eastAsia="el"/>
          </w:rPr>
          <w:t>Τροποποίηση 3427/2005, Άρθρο 20</w:t>
        </w:r>
      </w:hyperlink>
      <w:r>
        <w:rPr>
          <w:lang w:val="el" w:eastAsia="el"/>
        </w:rPr>
        <w:t xml:space="preserve">; </w:t>
      </w:r>
      <w:hyperlink r:id="rId50" w:anchor="art_12" w:history="1">
        <w:r>
          <w:rPr>
            <w:rStyle w:val="Hyperlink"/>
            <w:color w:val="0000EE"/>
            <w:u w:color="0000EE"/>
            <w:lang w:val="el" w:eastAsia="el"/>
          </w:rPr>
          <w:t>Τροποποίηση 3091/2002, Άρθρο 12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0" w:history="1">
        <w:r>
          <w:rPr>
            <w:rStyle w:val="Hyperlink"/>
            <w:color w:val="0000EE"/>
            <w:u w:color="0000EE"/>
            <w:lang w:val="el" w:eastAsia="el"/>
          </w:rPr>
          <w:t>Τροποποίηση 3427/2005, Άρθρο 20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0" w:history="1">
        <w:r>
          <w:rPr>
            <w:rStyle w:val="Hyperlink"/>
            <w:color w:val="0000EE"/>
            <w:u w:color="0000EE"/>
            <w:lang w:val="el" w:eastAsia="el"/>
          </w:rPr>
          <w:t>Τροποποίηση 3427/2005, Άρθρο 20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0" w:history="1">
        <w:r>
          <w:rPr>
            <w:rStyle w:val="Hyperlink"/>
            <w:color w:val="0000EE"/>
            <w:u w:color="0000EE"/>
            <w:lang w:val="el" w:eastAsia="el"/>
          </w:rPr>
          <w:t>Τροποποίηση 3427/2005, Άρθρο 20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0" w:history="1">
        <w:r>
          <w:rPr>
            <w:rStyle w:val="Hyperlink"/>
            <w:color w:val="0000EE"/>
            <w:u w:color="0000EE"/>
            <w:lang w:val="el" w:eastAsia="el"/>
          </w:rPr>
          <w:t>Τροποποίηση 3427/2005, Άρθρο 20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0" w:history="1">
        <w:r>
          <w:rPr>
            <w:rStyle w:val="Hyperlink"/>
            <w:color w:val="0000EE"/>
            <w:u w:color="0000EE"/>
            <w:lang w:val="el" w:eastAsia="el"/>
          </w:rPr>
          <w:t>Τροποποίηση 3427/2005, Άρθρο 20</w:t>
        </w:r>
      </w:hyperlink>
      <w:r>
        <w:rPr>
          <w:lang w:val="el" w:eastAsia="el"/>
        </w:rPr>
        <w:t xml:space="preserve">; </w:t>
      </w:r>
      <w:hyperlink r:id="rId56" w:anchor="art_10" w:history="1">
        <w:r>
          <w:rPr>
            <w:rStyle w:val="Hyperlink"/>
            <w:color w:val="0000EE"/>
            <w:u w:color="0000EE"/>
            <w:lang w:val="el" w:eastAsia="el"/>
          </w:rPr>
          <w:t>Τροποποίηση 3091/2002,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4" w:history="1">
        <w:r>
          <w:rPr>
            <w:rStyle w:val="Hyperlink"/>
            <w:color w:val="0000EE"/>
            <w:u w:color="0000EE"/>
            <w:lang w:val="el" w:eastAsia="el"/>
          </w:rPr>
          <w:t>Προσθήκη 3091/2002, Άρθρο 44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0" w:history="1">
        <w:r>
          <w:rPr>
            <w:rStyle w:val="Hyperlink"/>
            <w:color w:val="0000EE"/>
            <w:u w:color="0000EE"/>
            <w:lang w:val="el" w:eastAsia="el"/>
          </w:rPr>
          <w:t>Τροποποίηση 3427/2005, Άρθρο 20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0" w:history="1">
        <w:r>
          <w:rPr>
            <w:rStyle w:val="Hyperlink"/>
            <w:color w:val="0000EE"/>
            <w:u w:color="0000EE"/>
            <w:lang w:val="el" w:eastAsia="el"/>
          </w:rPr>
          <w:t>Τροποποίηση 3427/2005, Άρθρο 20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0" w:history="1">
        <w:r>
          <w:rPr>
            <w:rStyle w:val="Hyperlink"/>
            <w:color w:val="0000EE"/>
            <w:u w:color="0000EE"/>
            <w:lang w:val="el" w:eastAsia="el"/>
          </w:rPr>
          <w:t>Τροποποίηση 3427/2005, Άρθρο 20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0" w:history="1">
        <w:r>
          <w:rPr>
            <w:rStyle w:val="Hyperlink"/>
            <w:color w:val="0000EE"/>
            <w:u w:color="0000EE"/>
            <w:lang w:val="el" w:eastAsia="el"/>
          </w:rPr>
          <w:t>Τροποποίηση 3427/2005, Άρθρο 20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0" w:history="1">
        <w:r>
          <w:rPr>
            <w:rStyle w:val="Hyperlink"/>
            <w:color w:val="0000EE"/>
            <w:u w:color="0000EE"/>
            <w:lang w:val="el" w:eastAsia="el"/>
          </w:rPr>
          <w:t>Τροποποίηση 3427/2005,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0" w:history="1">
        <w:r>
          <w:rPr>
            <w:rStyle w:val="Hyperlink"/>
            <w:color w:val="0000EE"/>
            <w:u w:color="0000EE"/>
            <w:lang w:val="el" w:eastAsia="el"/>
          </w:rPr>
          <w:t>Τροποποίηση 3427/2005, Άρθρο 20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0" w:history="1">
        <w:r>
          <w:rPr>
            <w:rStyle w:val="Hyperlink"/>
            <w:color w:val="0000EE"/>
            <w:u w:color="0000EE"/>
            <w:lang w:val="el" w:eastAsia="el"/>
          </w:rPr>
          <w:t>Τροποποίηση 3427/2005,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Τροποποίηση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0" w:history="1">
        <w:r>
          <w:rPr>
            <w:rStyle w:val="Hyperlink"/>
            <w:color w:val="0000EE"/>
            <w:u w:color="0000EE"/>
            <w:lang w:val="el" w:eastAsia="el"/>
          </w:rPr>
          <w:t>Τροποποίηση 3427/2005,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Τροποποίηση 3427/2005, Άρθρο 20</w:t>
        </w:r>
      </w:hyperlink>
      <w:r>
        <w:rPr>
          <w:lang w:val="el" w:eastAsia="el"/>
        </w:rPr>
        <w:t xml:space="preserve">; </w:t>
      </w:r>
      <w:hyperlink r:id="rId69" w:anchor="art_12" w:history="1">
        <w:r>
          <w:rPr>
            <w:rStyle w:val="Hyperlink"/>
            <w:color w:val="0000EE"/>
            <w:u w:color="0000EE"/>
            <w:lang w:val="el" w:eastAsia="el"/>
          </w:rPr>
          <w:t>Προσθήκη 3091/2002, Άρθρο 12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0" w:history="1">
        <w:r>
          <w:rPr>
            <w:rStyle w:val="Hyperlink"/>
            <w:color w:val="0000EE"/>
            <w:u w:color="0000EE"/>
            <w:lang w:val="el" w:eastAsia="el"/>
          </w:rPr>
          <w:t>Τροποποίηση 3427/2005,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Τροποποίηση 3427/2005,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0" w:history="1">
        <w:r>
          <w:rPr>
            <w:rStyle w:val="Hyperlink"/>
            <w:color w:val="0000EE"/>
            <w:u w:color="0000EE"/>
            <w:lang w:val="el" w:eastAsia="el"/>
          </w:rPr>
          <w:t>Τροποποίηση 3427/2005,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0" w:history="1">
        <w:r>
          <w:rPr>
            <w:rStyle w:val="Hyperlink"/>
            <w:color w:val="0000EE"/>
            <w:u w:color="0000EE"/>
            <w:lang w:val="el" w:eastAsia="el"/>
          </w:rPr>
          <w:t>Τροποποίηση 3427/2005,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0" w:history="1">
        <w:r>
          <w:rPr>
            <w:rStyle w:val="Hyperlink"/>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2004/01/28/3220"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4/01/28/3220" TargetMode="External" /><Relationship Id="rId14" Type="http://schemas.openxmlformats.org/officeDocument/2006/relationships/hyperlink" Target="http://data.aade.gr/eli/pri/law/2004/01/28/3220" TargetMode="External" /><Relationship Id="rId15" Type="http://schemas.openxmlformats.org/officeDocument/2006/relationships/hyperlink" Target="http://data.aade.gr/eli/pri/law/2005/12/27/3427" TargetMode="External" /><Relationship Id="rId16" Type="http://schemas.openxmlformats.org/officeDocument/2006/relationships/hyperlink" Target="http://data.aade.gr/eli/pri/law/2002/12/24/3091" TargetMode="External" /><Relationship Id="rId17" Type="http://schemas.openxmlformats.org/officeDocument/2006/relationships/hyperlink" Target="http://data.aade.gr/eli/pri/law/2002/12/24/3091" TargetMode="External" /><Relationship Id="rId18" Type="http://schemas.openxmlformats.org/officeDocument/2006/relationships/hyperlink" Target="http://data.aade.gr/eli/pri/law/2002/12/24/3091" TargetMode="External" /><Relationship Id="rId1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5/12/27/3427" TargetMode="External" /><Relationship Id="rId22" Type="http://schemas.openxmlformats.org/officeDocument/2006/relationships/hyperlink" Target="http://data.aade.gr/eli/pri/law/2002/12/24/3091" TargetMode="External" /><Relationship Id="rId23" Type="http://schemas.openxmlformats.org/officeDocument/2006/relationships/hyperlink" Target="http://data.aade.gr/eli/pri/law/2005/12/27/3427" TargetMode="External" /><Relationship Id="rId24" Type="http://schemas.openxmlformats.org/officeDocument/2006/relationships/hyperlink" Target="http://data.aade.gr/eli/pri/law/2002/12/24/3091"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4/01/28/3220" TargetMode="External" /><Relationship Id="rId27" Type="http://schemas.openxmlformats.org/officeDocument/2006/relationships/hyperlink" Target="http://data.aade.gr/eli/pri/law/2004/01/28/3220" TargetMode="External" /><Relationship Id="rId28" Type="http://schemas.openxmlformats.org/officeDocument/2006/relationships/hyperlink" Target="http://data.aade.gr/eli/pri/law/2004/01/28/3220" TargetMode="External" /><Relationship Id="rId29" Type="http://schemas.openxmlformats.org/officeDocument/2006/relationships/hyperlink" Target="http://data.aade.gr/eli/pri/law/2004/01/28/3220" TargetMode="External" /><Relationship Id="rId3" Type="http://schemas.openxmlformats.org/officeDocument/2006/relationships/hyperlink" Target="http://data.aade.gr/eli/pri/law/2004/01/28/3220" TargetMode="External" /><Relationship Id="rId30" Type="http://schemas.openxmlformats.org/officeDocument/2006/relationships/hyperlink" Target="http://data.aade.gr/eli/pri/law/2004/01/28/3220" TargetMode="External" /><Relationship Id="rId31" Type="http://schemas.openxmlformats.org/officeDocument/2006/relationships/hyperlink" Target="http://data.aade.gr/eli/pri/law/2004/01/28/3220" TargetMode="External" /><Relationship Id="rId32" Type="http://schemas.openxmlformats.org/officeDocument/2006/relationships/hyperlink" Target="http://data.aade.gr/eli/pri/law/2004/01/28/3220" TargetMode="External" /><Relationship Id="rId33" Type="http://schemas.openxmlformats.org/officeDocument/2006/relationships/hyperlink" Target="http://data.aade.gr/eli/pri/law/2004/01/28/3220" TargetMode="External" /><Relationship Id="rId34" Type="http://schemas.openxmlformats.org/officeDocument/2006/relationships/hyperlink" Target="http://data.aade.gr/eli/pri/law/2004/01/28/3220" TargetMode="External" /><Relationship Id="rId35" Type="http://schemas.openxmlformats.org/officeDocument/2006/relationships/hyperlink" Target="http://data.aade.gr/eli/pri/law/2004/01/28/3220"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5/12/27/3427" TargetMode="External" /><Relationship Id="rId38" Type="http://schemas.openxmlformats.org/officeDocument/2006/relationships/hyperlink" Target="http://data.aade.gr/eli/pri/law/2005/12/27/3427" TargetMode="External" /><Relationship Id="rId39" Type="http://schemas.openxmlformats.org/officeDocument/2006/relationships/hyperlink" Target="http://data.aade.gr/eli/pri/law/2005/12/27/3427" TargetMode="External" /><Relationship Id="rId4" Type="http://schemas.openxmlformats.org/officeDocument/2006/relationships/hyperlink" Target="http://data.aade.gr/eli/pri/law/2002/12/24/3091" TargetMode="External" /><Relationship Id="rId40" Type="http://schemas.openxmlformats.org/officeDocument/2006/relationships/hyperlink" Target="http://data.aade.gr/eli/pri/law/2005/12/27/3427" TargetMode="External" /><Relationship Id="rId41" Type="http://schemas.openxmlformats.org/officeDocument/2006/relationships/hyperlink" Target="http://data.aade.gr/eli/pri/law/2005/12/27/3427" TargetMode="External" /><Relationship Id="rId42" Type="http://schemas.openxmlformats.org/officeDocument/2006/relationships/hyperlink" Target="http://data.aade.gr/eli/pri/law/2005/12/27/3427" TargetMode="External" /><Relationship Id="rId43" Type="http://schemas.openxmlformats.org/officeDocument/2006/relationships/hyperlink" Target="http://data.aade.gr/eli/pri/law/2005/12/27/3427" TargetMode="External" /><Relationship Id="rId44" Type="http://schemas.openxmlformats.org/officeDocument/2006/relationships/hyperlink" Target="http://data.aade.gr/eli/pri/law/2002/12/24/3091"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2/12/24/3091" TargetMode="External" /><Relationship Id="rId47" Type="http://schemas.openxmlformats.org/officeDocument/2006/relationships/hyperlink" Target="http://data.aade.gr/eli/pri/law/2002/12/24/3091" TargetMode="External" /><Relationship Id="rId48" Type="http://schemas.openxmlformats.org/officeDocument/2006/relationships/hyperlink" Target="http://data.aade.gr/eli/pri/law/2005/12/27/3427" TargetMode="External" /><Relationship Id="rId49" Type="http://schemas.openxmlformats.org/officeDocument/2006/relationships/hyperlink" Target="http://data.aade.gr/eli/pri/law/2005/12/27/3427" TargetMode="External" /><Relationship Id="rId5" Type="http://schemas.openxmlformats.org/officeDocument/2006/relationships/hyperlink" Target="http://data.aade.gr/eli/pri/law/2002/12/24/3091" TargetMode="External" /><Relationship Id="rId50" Type="http://schemas.openxmlformats.org/officeDocument/2006/relationships/hyperlink" Target="http://data.aade.gr/eli/pri/law/2002/12/24/3091" TargetMode="External" /><Relationship Id="rId51" Type="http://schemas.openxmlformats.org/officeDocument/2006/relationships/hyperlink" Target="http://data.aade.gr/eli/pri/law/2005/12/27/3427" TargetMode="External" /><Relationship Id="rId52" Type="http://schemas.openxmlformats.org/officeDocument/2006/relationships/hyperlink" Target="http://data.aade.gr/eli/pri/law/2005/12/27/3427" TargetMode="External" /><Relationship Id="rId53" Type="http://schemas.openxmlformats.org/officeDocument/2006/relationships/hyperlink" Target="http://data.aade.gr/eli/pri/law/2005/12/27/3427"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5/12/27/3427" TargetMode="External" /><Relationship Id="rId56" Type="http://schemas.openxmlformats.org/officeDocument/2006/relationships/hyperlink" Target="http://data.aade.gr/eli/pri/law/2002/12/24/3091"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05/12/27/3427" TargetMode="External" /><Relationship Id="rId59" Type="http://schemas.openxmlformats.org/officeDocument/2006/relationships/hyperlink" Target="http://data.aade.gr/eli/pri/law/2005/12/27/3427"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5/12/27/3427" TargetMode="External" /><Relationship Id="rId61" Type="http://schemas.openxmlformats.org/officeDocument/2006/relationships/hyperlink" Target="http://data.aade.gr/eli/pri/law/2005/12/27/3427" TargetMode="External" /><Relationship Id="rId62" Type="http://schemas.openxmlformats.org/officeDocument/2006/relationships/hyperlink" Target="http://data.aade.gr/eli/pri/law/2005/12/27/3427" TargetMode="External" /><Relationship Id="rId63" Type="http://schemas.openxmlformats.org/officeDocument/2006/relationships/hyperlink" Target="http://data.aade.gr/eli/pri/law/2005/12/27/3427" TargetMode="External" /><Relationship Id="rId64" Type="http://schemas.openxmlformats.org/officeDocument/2006/relationships/hyperlink" Target="http://data.aade.gr/eli/pri/law/2005/12/27/3427"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5/12/27/3427" TargetMode="External" /><Relationship Id="rId67" Type="http://schemas.openxmlformats.org/officeDocument/2006/relationships/hyperlink" Target="http://data.aade.gr/eli/pri/law/2005/12/27/3427"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2/12/24/3091"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5/12/27/3427" TargetMode="External" /><Relationship Id="rId71" Type="http://schemas.openxmlformats.org/officeDocument/2006/relationships/hyperlink" Target="http://data.aade.gr/eli/pri/law/2005/12/27/3427"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5/12/27/3427"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3/11/20/3193" TargetMode="External" /><Relationship Id="rId8" Type="http://schemas.openxmlformats.org/officeDocument/2006/relationships/hyperlink" Target="http://data.aade.gr/eli/pri/law/2004/01/28/3220" TargetMode="External" /><Relationship Id="rId9" Type="http://schemas.openxmlformats.org/officeDocument/2006/relationships/hyperlink" Target="http://data.aade.gr/eli/pri/law/2004/01/28/3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