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του μέχρι τρεις (3) δρόμωνες ίππους τεκμαίρεται ότι ως προς τη δραστηριότητα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09"/>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3"/>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4"/>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r>
        <w:rPr>
          <w:lang w:val="el" w:eastAsia="el"/>
        </w:rPr>
        <w:t xml:space="preserve">; </w:t>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5" w:history="1">
        <w:r>
          <w:rPr>
            <w:rStyle w:val="Hyperlink"/>
            <w:color w:val="0000EE"/>
            <w:u w:color="0000EE"/>
            <w:lang w:val="el" w:eastAsia="el"/>
          </w:rPr>
          <w:t>Τροποποίηση 3554/2007, Άρθρο 5</w:t>
        </w:r>
      </w:hyperlink>
      <w:r>
        <w:rPr>
          <w:lang w:val="el" w:eastAsia="el"/>
        </w:rPr>
        <w:t xml:space="preserve">; </w:t>
      </w:r>
      <w:hyperlink r:id="rId78" w:anchor="art_20" w:history="1">
        <w:r>
          <w:rPr>
            <w:rStyle w:val="Hyperlink"/>
            <w:color w:val="0000EE"/>
            <w:u w:color="0000EE"/>
            <w:lang w:val="el" w:eastAsia="el"/>
          </w:rPr>
          <w:t>Τροποποίηση 3427/2005, Άρθρο 20</w:t>
        </w:r>
      </w:hyperlink>
      <w:r>
        <w:rPr>
          <w:lang w:val="el" w:eastAsia="el"/>
        </w:rPr>
        <w:t xml:space="preserve">; </w:t>
      </w:r>
      <w:hyperlink r:id="rId79"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Τροποποίηση 3842/2010, Άρθρο 25</w:t>
        </w:r>
      </w:hyperlink>
      <w:r>
        <w:rPr>
          <w:lang w:val="el" w:eastAsia="el"/>
        </w:rPr>
        <w:t xml:space="preserve">; </w:t>
      </w:r>
      <w:hyperlink r:id="rId81" w:anchor="art_1" w:history="1">
        <w:r>
          <w:rPr>
            <w:rStyle w:val="Hyperlink"/>
            <w:color w:val="0000EE"/>
            <w:u w:color="0000EE"/>
            <w:lang w:val="el" w:eastAsia="el"/>
          </w:rPr>
          <w:t>Τροποποίηση 3634/2008, Άρθρο 1</w:t>
        </w:r>
      </w:hyperlink>
      <w:r>
        <w:rPr>
          <w:lang w:val="el" w:eastAsia="el"/>
        </w:rPr>
        <w:t xml:space="preserve">; </w:t>
      </w:r>
      <w:hyperlink r:id="rId82" w:anchor="art_5" w:history="1">
        <w:r>
          <w:rPr>
            <w:rStyle w:val="Hyperlink"/>
            <w:color w:val="0000EE"/>
            <w:u w:color="0000EE"/>
            <w:lang w:val="el" w:eastAsia="el"/>
          </w:rPr>
          <w:t>Τροποποίηση 3554/2007, Άρθρο 5</w:t>
        </w:r>
      </w:hyperlink>
      <w:r>
        <w:rPr>
          <w:lang w:val="el" w:eastAsia="el"/>
        </w:rPr>
        <w:t xml:space="preserve">; </w:t>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r>
        <w:rPr>
          <w:lang w:val="el" w:eastAsia="el"/>
        </w:rPr>
        <w:t xml:space="preserve">; </w:t>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5" w:history="1">
        <w:r>
          <w:rPr>
            <w:rStyle w:val="Hyperlink"/>
            <w:color w:val="0000EE"/>
            <w:u w:color="0000EE"/>
            <w:lang w:val="el" w:eastAsia="el"/>
          </w:rPr>
          <w:t>Τροποποίηση 3842/2010, Άρθρο 25</w:t>
        </w:r>
      </w:hyperlink>
      <w:r>
        <w:rPr>
          <w:lang w:val="el" w:eastAsia="el"/>
        </w:rPr>
        <w:t xml:space="preserve">; </w:t>
      </w:r>
      <w:hyperlink r:id="rId91" w:anchor="art_1" w:history="1">
        <w:r>
          <w:rPr>
            <w:rStyle w:val="Hyperlink"/>
            <w:color w:val="0000EE"/>
            <w:u w:color="0000EE"/>
            <w:lang w:val="el" w:eastAsia="el"/>
          </w:rPr>
          <w:t>Τροποποίηση 3634/2008, Άρθρο 1</w:t>
        </w:r>
      </w:hyperlink>
      <w:r>
        <w:rPr>
          <w:lang w:val="el" w:eastAsia="el"/>
        </w:rPr>
        <w:t xml:space="preserve">; </w:t>
      </w:r>
      <w:hyperlink r:id="rId92" w:anchor="art_5" w:history="1">
        <w:r>
          <w:rPr>
            <w:rStyle w:val="Hyperlink"/>
            <w:color w:val="0000EE"/>
            <w:u w:color="0000EE"/>
            <w:lang w:val="el" w:eastAsia="el"/>
          </w:rPr>
          <w:t>Τροποποίηση 3554/2007, Άρθρο 5</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r>
        <w:rPr>
          <w:lang w:val="el" w:eastAsia="el"/>
        </w:rPr>
        <w:t xml:space="preserve">; </w:t>
      </w:r>
      <w:hyperlink r:id="rId94"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5" w:history="1">
        <w:r>
          <w:rPr>
            <w:rStyle w:val="Hyperlink"/>
            <w:color w:val="0000EE"/>
            <w:u w:color="0000EE"/>
            <w:lang w:val="el" w:eastAsia="el"/>
          </w:rPr>
          <w:t>Τροποποίηση 3842/2010, Άρθρο 25</w:t>
        </w:r>
      </w:hyperlink>
      <w:r>
        <w:rPr>
          <w:lang w:val="el" w:eastAsia="el"/>
        </w:rPr>
        <w:t xml:space="preserve">; </w:t>
      </w:r>
      <w:hyperlink r:id="rId96" w:anchor="art_1" w:history="1">
        <w:r>
          <w:rPr>
            <w:rStyle w:val="Hyperlink"/>
            <w:color w:val="0000EE"/>
            <w:u w:color="0000EE"/>
            <w:lang w:val="el" w:eastAsia="el"/>
          </w:rPr>
          <w:t>Τροποποίηση 3634/2008, Άρθρο 1</w:t>
        </w:r>
      </w:hyperlink>
      <w:r>
        <w:rPr>
          <w:lang w:val="el" w:eastAsia="el"/>
        </w:rPr>
        <w:t xml:space="preserve">; </w:t>
      </w:r>
      <w:hyperlink r:id="rId97" w:anchor="art_5" w:history="1">
        <w:r>
          <w:rPr>
            <w:rStyle w:val="Hyperlink"/>
            <w:color w:val="0000EE"/>
            <w:u w:color="0000EE"/>
            <w:lang w:val="el" w:eastAsia="el"/>
          </w:rPr>
          <w:t>Τροποποίηση 3554/2007, Άρθρο 5</w:t>
        </w:r>
      </w:hyperlink>
      <w:r>
        <w:rPr>
          <w:lang w:val="el" w:eastAsia="el"/>
        </w:rPr>
        <w:t xml:space="preserve">; </w:t>
      </w:r>
      <w:hyperlink r:id="rId98" w:anchor="art_20" w:history="1">
        <w:r>
          <w:rPr>
            <w:rStyle w:val="Hyperlink"/>
            <w:color w:val="0000EE"/>
            <w:u w:color="0000EE"/>
            <w:lang w:val="el" w:eastAsia="el"/>
          </w:rPr>
          <w:t>Τροποποίηση 3427/2005, Άρθρο 20</w:t>
        </w:r>
      </w:hyperlink>
      <w:r>
        <w:rPr>
          <w:lang w:val="el" w:eastAsia="el"/>
        </w:rPr>
        <w:t xml:space="preserve">; </w:t>
      </w:r>
      <w:hyperlink r:id="rId99"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44" w:history="1">
        <w:r>
          <w:rPr>
            <w:rStyle w:val="Hyperlink"/>
            <w:color w:val="0000EE"/>
            <w:u w:color="0000EE"/>
            <w:lang w:val="el" w:eastAsia="el"/>
          </w:rPr>
          <w:t>Προσθήκη 3091/2002, Άρθρο 44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09"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4093/2012, Άρθρο 2</w:t>
        </w:r>
      </w:hyperlink>
      <w:r>
        <w:rPr>
          <w:lang w:val="el" w:eastAsia="el"/>
        </w:rPr>
        <w:t xml:space="preserve">; </w:t>
      </w:r>
      <w:hyperlink r:id="rId115" w:anchor="art_26" w:history="1">
        <w:r>
          <w:rPr>
            <w:rStyle w:val="Hyperlink"/>
            <w:color w:val="0000EE"/>
            <w:u w:color="0000EE"/>
            <w:lang w:val="el" w:eastAsia="el"/>
          </w:rPr>
          <w:t>Τροποποίηση 3842/2010, Άρθρο 26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4093/2012, Άρθρο 2</w:t>
        </w:r>
      </w:hyperlink>
      <w:r>
        <w:rPr>
          <w:lang w:val="el" w:eastAsia="el"/>
        </w:rPr>
        <w:t xml:space="preserve">; </w:t>
      </w:r>
      <w:hyperlink r:id="rId117" w:anchor="art_26" w:history="1">
        <w:r>
          <w:rPr>
            <w:rStyle w:val="Hyperlink"/>
            <w:color w:val="0000EE"/>
            <w:u w:color="0000EE"/>
            <w:lang w:val="el" w:eastAsia="el"/>
          </w:rPr>
          <w:t>Τροποποίηση 3842/2010, Άρθρο 26</w:t>
        </w:r>
      </w:hyperlink>
      <w:r>
        <w:rPr>
          <w:lang w:val="el" w:eastAsia="el"/>
        </w:rPr>
        <w:t xml:space="preserve">; </w:t>
      </w:r>
      <w:hyperlink r:id="rId118" w:anchor="art_1" w:history="1">
        <w:r>
          <w:rPr>
            <w:rStyle w:val="Hyperlink"/>
            <w:color w:val="0000EE"/>
            <w:u w:color="0000EE"/>
            <w:lang w:val="el" w:eastAsia="el"/>
          </w:rPr>
          <w:t>Τροποποίηση 3775/2009,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Προσθήκη 4093/2012,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6" w:history="1">
        <w:r>
          <w:rPr>
            <w:rStyle w:val="Hyperlink"/>
            <w:color w:val="0000EE"/>
            <w:u w:color="0000EE"/>
            <w:lang w:val="el" w:eastAsia="el"/>
          </w:rPr>
          <w:t>Τροποποίηση 3842/2010, Άρθρο 26</w:t>
        </w:r>
      </w:hyperlink>
      <w:r>
        <w:rPr>
          <w:lang w:val="el" w:eastAsia="el"/>
        </w:rPr>
        <w:t xml:space="preserve">; </w:t>
      </w:r>
      <w:hyperlink r:id="rId123" w:anchor="art_1" w:history="1">
        <w:r>
          <w:rPr>
            <w:rStyle w:val="Hyperlink"/>
            <w:color w:val="0000EE"/>
            <w:u w:color="0000EE"/>
            <w:lang w:val="el" w:eastAsia="el"/>
          </w:rPr>
          <w:t>Τροποποίηση 3775/2009,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6" w:history="1">
        <w:r>
          <w:rPr>
            <w:rStyle w:val="Hyperlink"/>
            <w:color w:val="0000EE"/>
            <w:u w:color="0000EE"/>
            <w:lang w:val="el" w:eastAsia="el"/>
          </w:rPr>
          <w:t>Τροποποίηση 3842/2010, Άρθρο 26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 w:history="1">
        <w:r>
          <w:rPr>
            <w:rStyle w:val="Hyperlink"/>
            <w:color w:val="0000EE"/>
            <w:u w:color="0000EE"/>
            <w:lang w:val="el" w:eastAsia="el"/>
          </w:rPr>
          <w:t>Τροποποίηση 4254/2014,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6" w:history="1">
        <w:r>
          <w:rPr>
            <w:rStyle w:val="Hyperlink"/>
            <w:b/>
            <w:bCs/>
            <w:color w:val="0000EE"/>
            <w:u w:color="0000EE"/>
            <w:lang w:val="el" w:eastAsia="el"/>
          </w:rPr>
          <w:t>Τροποποίηση 3842/2010, Άρθρο 26</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 w:history="1">
        <w:r>
          <w:rPr>
            <w:rStyle w:val="Hyperlink"/>
            <w:b/>
            <w:bCs/>
            <w:color w:val="0000EE"/>
            <w:u w:color="0000EE"/>
            <w:lang w:val="el" w:eastAsia="el"/>
          </w:rPr>
          <w:t>Τροποποίηση 4093/2012, Άρθρο 2</w:t>
        </w:r>
      </w:hyperlink>
      <w:r>
        <w:rPr>
          <w:b/>
          <w:bCs/>
          <w:lang w:val="el" w:eastAsia="el"/>
        </w:rPr>
        <w:t xml:space="preserve">; </w:t>
      </w:r>
      <w:hyperlink r:id="rId12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9" w:anchor="art_1" w:history="1">
        <w:r>
          <w:rPr>
            <w:rStyle w:val="Hyperlink"/>
            <w:b/>
            <w:bCs/>
            <w:color w:val="0000EE"/>
            <w:u w:color="0000EE"/>
            <w:lang w:val="el" w:eastAsia="el"/>
          </w:rPr>
          <w:t>Τροποποίηση 3775/2009,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1" w:anchor="art_2" w:history="1">
        <w:r>
          <w:rPr>
            <w:rStyle w:val="Hyperlink"/>
            <w:b/>
            <w:bCs/>
            <w:color w:val="0000EE"/>
            <w:u w:color="0000EE"/>
            <w:lang w:val="el" w:eastAsia="el"/>
          </w:rPr>
          <w:t>Τροποποίηση 4093/2012,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 w:history="1">
        <w:r>
          <w:rPr>
            <w:rStyle w:val="Hyperlink"/>
            <w:b/>
            <w:bCs/>
            <w:color w:val="0000EE"/>
            <w:u w:color="0000EE"/>
            <w:lang w:val="el" w:eastAsia="el"/>
          </w:rPr>
          <w:t>Τροποποίηση 4093/2012, Άρθρο 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0" w:history="1">
        <w:r>
          <w:rPr>
            <w:rStyle w:val="Hyperlink"/>
            <w:b/>
            <w:bCs/>
            <w:color w:val="0000EE"/>
            <w:u w:color="0000EE"/>
            <w:lang w:val="el" w:eastAsia="el"/>
          </w:rPr>
          <w:t>Τροποποίηση 3427/2005, Άρθρο 20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3943/2011,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0" w:history="1">
        <w:r>
          <w:rPr>
            <w:rStyle w:val="Hyperlink"/>
            <w:b/>
            <w:bCs/>
            <w:color w:val="0000EE"/>
            <w:u w:color="0000EE"/>
            <w:lang w:val="el" w:eastAsia="el"/>
          </w:rPr>
          <w:t>Τροποποίηση 3427/2005, Άρθρο 20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Αφαίρεση 3634/2008, Άρθρο 1</w:t>
        </w:r>
      </w:hyperlink>
      <w:r>
        <w:rPr>
          <w:b/>
          <w:bCs/>
          <w:lang w:val="el" w:eastAsia="el"/>
        </w:rPr>
        <w:t xml:space="preserve">; </w:t>
      </w:r>
      <w:hyperlink r:id="rId139"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3943/2011,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1"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2"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3" w:anchor="art_12" w:history="1">
        <w:r>
          <w:rPr>
            <w:rStyle w:val="Hyperlink"/>
            <w:b/>
            <w:bCs/>
            <w:color w:val="0000EE"/>
            <w:u w:color="0000EE"/>
            <w:lang w:val="el" w:eastAsia="el"/>
          </w:rPr>
          <w:t>Προσθήκη 3091/2002, Άρθρο 12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3634/2008,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3943/2011,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84" w:history="1">
        <w:r>
          <w:rPr>
            <w:rStyle w:val="Hyperlink"/>
            <w:b/>
            <w:bCs/>
            <w:color w:val="0000EE"/>
            <w:u w:color="0000EE"/>
            <w:lang w:val="el" w:eastAsia="el"/>
          </w:rPr>
          <w:t>Τροποποίηση 4261/2014, Άρθρο 184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0" w:history="1">
        <w:r>
          <w:rPr>
            <w:rStyle w:val="Hyperlink"/>
            <w:b/>
            <w:bCs/>
            <w:color w:val="0000EE"/>
            <w:u w:color="0000EE"/>
            <w:lang w:val="el" w:eastAsia="el"/>
          </w:rPr>
          <w:t>Τροποποίηση 3427/2005, Άρθρο 20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3943/2011,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3634/2008,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1"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2" w:anchor="art_1" w:history="1">
        <w:r>
          <w:rPr>
            <w:rStyle w:val="Hyperlink"/>
            <w:b/>
            <w:bCs/>
            <w:color w:val="0000EE"/>
            <w:u w:color="0000EE"/>
            <w:lang w:val="el" w:eastAsia="el"/>
          </w:rPr>
          <w:t>Τροποποίηση 3634/2008,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3842/2010, Άρθρο 26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5" w:anchor="art_1" w:history="1">
        <w:r>
          <w:rPr>
            <w:rStyle w:val="Hyperlink"/>
            <w:b/>
            <w:bCs/>
            <w:color w:val="0000EE"/>
            <w:u w:color="0000EE"/>
            <w:lang w:val="el" w:eastAsia="el"/>
          </w:rPr>
          <w:t>Τροποποίηση 3775/2009,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3842/2010, Άρθρο 26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8" w:anchor="art_1" w:history="1">
        <w:r>
          <w:rPr>
            <w:rStyle w:val="Hyperlink"/>
            <w:b/>
            <w:bCs/>
            <w:color w:val="0000EE"/>
            <w:u w:color="0000EE"/>
            <w:lang w:val="el" w:eastAsia="el"/>
          </w:rPr>
          <w:t>Τροποποίηση 3775/2009,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0" w:history="1">
        <w:r>
          <w:rPr>
            <w:rStyle w:val="Hyperlink"/>
            <w:b/>
            <w:bCs/>
            <w:color w:val="0000EE"/>
            <w:u w:color="0000EE"/>
            <w:lang w:val="el" w:eastAsia="el"/>
          </w:rPr>
          <w:t>Τροποποίηση 3427/2005, Άρθρο 20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3943/2011,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0" w:history="1">
        <w:r>
          <w:rPr>
            <w:rStyle w:val="Hyperlink"/>
            <w:b/>
            <w:bCs/>
            <w:color w:val="0000EE"/>
            <w:u w:color="0000EE"/>
            <w:lang w:val="el" w:eastAsia="el"/>
          </w:rPr>
          <w:t>Τροποποίηση 3427/2005, Άρθρο 20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0" w:history="1">
        <w:r>
          <w:rPr>
            <w:rStyle w:val="Hyperlink"/>
            <w:b/>
            <w:bCs/>
            <w:color w:val="0000EE"/>
            <w:u w:color="0000EE"/>
            <w:lang w:val="el" w:eastAsia="el"/>
          </w:rPr>
          <w:t>Τροποποίηση 3427/2005, Άρθρο 20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9/07/21/3775"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09/07/21/3775"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2/11/12/4093"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9/07/21/3775"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2/11/12/4093" TargetMode="External" /><Relationship Id="rId132" Type="http://schemas.openxmlformats.org/officeDocument/2006/relationships/hyperlink" Target="http://data.aade.gr/eli/pri/law/2012/11/12/4093" TargetMode="External" /><Relationship Id="rId133" Type="http://schemas.openxmlformats.org/officeDocument/2006/relationships/hyperlink" Target="http://data.aade.gr/eli/pri/law/2005/12/27/3427"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5/12/27/3427"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11/03/31/3943" TargetMode="External" /><Relationship Id="rId141" Type="http://schemas.openxmlformats.org/officeDocument/2006/relationships/hyperlink" Target="http://data.aade.gr/eli/pri/law/2008/01/29/3634"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8/01/29/3634"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14/05/05/4261"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9/07/21/3775"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05/12/27/3427" TargetMode="External" /><Relationship Id="rId164" Type="http://schemas.openxmlformats.org/officeDocument/2006/relationships/hyperlink" Target="http://data.aade.gr/eli/pri/law/2005/12/27/3427" TargetMode="External" /><Relationship Id="rId165"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4/16/35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4/16/35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7/04/16/355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4/16/355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