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5"/>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Ποσοστό των εσόδων από την ανωτέρω κατηγορία φόρων χρησιμοποιείται για την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4"/>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0"/>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1"/>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29" w:anchor="art_1" w:history="1">
        <w:r>
          <w:rPr>
            <w:rStyle w:val="Hyperlink"/>
            <w:color w:val="0000EE"/>
            <w:u w:color="0000EE"/>
            <w:lang w:val="el" w:eastAsia="el"/>
          </w:rPr>
          <w:t>Τροποποίηση 3634/2008, Άρθρο 1</w:t>
        </w:r>
      </w:hyperlink>
      <w:r>
        <w:rPr>
          <w:lang w:val="el" w:eastAsia="el"/>
        </w:rPr>
        <w:t xml:space="preserve">; </w:t>
      </w:r>
      <w:hyperlink r:id="rId130" w:anchor="art_44" w:history="1">
        <w:r>
          <w:rPr>
            <w:rStyle w:val="Hyperlink"/>
            <w:color w:val="0000EE"/>
            <w:u w:color="0000EE"/>
            <w:lang w:val="el" w:eastAsia="el"/>
          </w:rPr>
          <w:t>Προσθήκη 3091/2002, Άρθρο 44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1" w:anchor="art_1" w:history="1">
        <w:r>
          <w:rPr>
            <w:rStyle w:val="Hyperlink"/>
            <w:color w:val="0000EE"/>
            <w:u w:color="0000EE"/>
            <w:lang w:val="el" w:eastAsia="el"/>
          </w:rPr>
          <w:t>Τροποποίηση 3634/2008,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3"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4"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5"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8" w:history="1">
        <w:r>
          <w:rPr>
            <w:rStyle w:val="Hyperlink"/>
            <w:color w:val="0000EE"/>
            <w:u w:color="0000EE"/>
            <w:lang w:val="el" w:eastAsia="el"/>
          </w:rPr>
          <w:t>Αφαίρεση 4646/2019, Άρθρο 48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r>
        <w:rPr>
          <w:lang w:val="el" w:eastAsia="el"/>
        </w:rPr>
        <w:t xml:space="preserve">; </w:t>
      </w:r>
      <w:hyperlink r:id="rId149" w:anchor="art_1" w:history="1">
        <w:r>
          <w:rPr>
            <w:rStyle w:val="Hyperlink"/>
            <w:color w:val="0000EE"/>
            <w:u w:color="0000EE"/>
            <w:lang w:val="el" w:eastAsia="el"/>
          </w:rPr>
          <w:t>Τροποποίηση 3634/2008, Άρθρο 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4093/2012, Άρθρο 2</w:t>
        </w:r>
      </w:hyperlink>
      <w:r>
        <w:rPr>
          <w:lang w:val="el" w:eastAsia="el"/>
        </w:rPr>
        <w:t xml:space="preserve">; </w:t>
      </w:r>
      <w:hyperlink r:id="rId152" w:anchor="art_26" w:history="1">
        <w:r>
          <w:rPr>
            <w:rStyle w:val="Hyperlink"/>
            <w:color w:val="0000EE"/>
            <w:u w:color="0000EE"/>
            <w:lang w:val="el" w:eastAsia="el"/>
          </w:rPr>
          <w:t>Τροποποίηση 3842/2010, Άρθρο 26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 w:history="1">
        <w:r>
          <w:rPr>
            <w:rStyle w:val="Hyperlink"/>
            <w:color w:val="0000EE"/>
            <w:u w:color="0000EE"/>
            <w:lang w:val="el" w:eastAsia="el"/>
          </w:rPr>
          <w:t>Τροποποίηση 4093/2012, Άρθρο 2</w:t>
        </w:r>
      </w:hyperlink>
      <w:r>
        <w:rPr>
          <w:lang w:val="el" w:eastAsia="el"/>
        </w:rPr>
        <w:t xml:space="preserve">; </w:t>
      </w:r>
      <w:hyperlink r:id="rId154" w:anchor="art_26" w:history="1">
        <w:r>
          <w:rPr>
            <w:rStyle w:val="Hyperlink"/>
            <w:color w:val="0000EE"/>
            <w:u w:color="0000EE"/>
            <w:lang w:val="el" w:eastAsia="el"/>
          </w:rPr>
          <w:t>Τροποποίηση 3842/2010, Άρθρο 26</w:t>
        </w:r>
      </w:hyperlink>
      <w:r>
        <w:rPr>
          <w:lang w:val="el" w:eastAsia="el"/>
        </w:rPr>
        <w:t xml:space="preserve">; </w:t>
      </w:r>
      <w:hyperlink r:id="rId155" w:anchor="art_1" w:history="1">
        <w:r>
          <w:rPr>
            <w:rStyle w:val="Hyperlink"/>
            <w:color w:val="0000EE"/>
            <w:u w:color="0000EE"/>
            <w:lang w:val="el" w:eastAsia="el"/>
          </w:rPr>
          <w:t>Τροποποίηση 3775/2009, Άρθρο 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4093/2012,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6" w:history="1">
        <w:r>
          <w:rPr>
            <w:rStyle w:val="Hyperlink"/>
            <w:color w:val="0000EE"/>
            <w:u w:color="0000EE"/>
            <w:lang w:val="el" w:eastAsia="el"/>
          </w:rPr>
          <w:t>Τροποποίηση 3842/2010, Άρθρο 26</w:t>
        </w:r>
      </w:hyperlink>
      <w:r>
        <w:rPr>
          <w:lang w:val="el" w:eastAsia="el"/>
        </w:rPr>
        <w:t xml:space="preserve">; </w:t>
      </w:r>
      <w:hyperlink r:id="rId160" w:anchor="art_1" w:history="1">
        <w:r>
          <w:rPr>
            <w:rStyle w:val="Hyperlink"/>
            <w:color w:val="0000EE"/>
            <w:u w:color="0000EE"/>
            <w:lang w:val="el" w:eastAsia="el"/>
          </w:rPr>
          <w:t>Τροποποίηση 3775/2009,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6" w:history="1">
        <w:r>
          <w:rPr>
            <w:rStyle w:val="Hyperlink"/>
            <w:color w:val="0000EE"/>
            <w:u w:color="0000EE"/>
            <w:lang w:val="el" w:eastAsia="el"/>
          </w:rPr>
          <w:t>Τροποποίηση 3842/2010, Άρθρο 26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4646/2019, Άρθρο 48</w:t>
        </w:r>
      </w:hyperlink>
      <w:r>
        <w:rPr>
          <w:lang w:val="el" w:eastAsia="el"/>
        </w:rPr>
        <w:t xml:space="preserve">; </w:t>
      </w:r>
      <w:hyperlink r:id="rId163"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4"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2" w:history="1">
        <w:r>
          <w:rPr>
            <w:rStyle w:val="Hyperlink"/>
            <w:color w:val="0000EE"/>
            <w:u w:color="0000EE"/>
            <w:lang w:val="el" w:eastAsia="el"/>
          </w:rPr>
          <w:t>Τροποποίηση 4484/2017, Άρθρο 72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2" w:history="1">
        <w:r>
          <w:rPr>
            <w:rStyle w:val="Hyperlink"/>
            <w:color w:val="0000EE"/>
            <w:u w:color="0000EE"/>
            <w:lang w:val="el" w:eastAsia="el"/>
          </w:rPr>
          <w:t>Τροποποίηση 4482/2017, Άρθρο 72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Τροποποίηση 3842/2010,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69"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1" w:anchor="art_1" w:history="1">
        <w:r>
          <w:rPr>
            <w:rStyle w:val="Hyperlink"/>
            <w:b/>
            <w:bCs/>
            <w:color w:val="0000EE"/>
            <w:u w:color="0000EE"/>
            <w:lang w:val="el" w:eastAsia="el"/>
          </w:rPr>
          <w:t>Τροποποίηση 3775/2009,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79" w:history="1">
        <w:r>
          <w:rPr>
            <w:rStyle w:val="Hyperlink"/>
            <w:b/>
            <w:bCs/>
            <w:color w:val="0000EE"/>
            <w:u w:color="0000EE"/>
            <w:lang w:val="el" w:eastAsia="el"/>
          </w:rPr>
          <w:t>Τροποποίηση 4764/2020, Άρθρο 79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4"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5"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6" w:anchor="art_2" w:history="1">
        <w:r>
          <w:rPr>
            <w:rStyle w:val="Hyperlink"/>
            <w:b/>
            <w:bCs/>
            <w:color w:val="0000EE"/>
            <w:u w:color="0000EE"/>
            <w:lang w:val="el" w:eastAsia="el"/>
          </w:rPr>
          <w:t>Τροποποίηση 4093/2012,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4093/2012,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8" w:history="1">
        <w:r>
          <w:rPr>
            <w:rStyle w:val="Hyperlink"/>
            <w:b/>
            <w:bCs/>
            <w:color w:val="0000EE"/>
            <w:u w:color="0000EE"/>
            <w:lang w:val="el" w:eastAsia="el"/>
          </w:rPr>
          <w:t>Αφαίρεση 4646/2019, Άρθρο 48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8" w:history="1">
        <w:r>
          <w:rPr>
            <w:rStyle w:val="Hyperlink"/>
            <w:b/>
            <w:bCs/>
            <w:color w:val="0000EE"/>
            <w:u w:color="0000EE"/>
            <w:lang w:val="el" w:eastAsia="el"/>
          </w:rPr>
          <w:t>Προσθήκη 4646/2019, Άρθρο 48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Τροποποίηση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Αφαίρεση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Τροποποίηση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Τροποποίηση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Αφαίρεση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Αφαίρεση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0" w:history="1">
        <w:r>
          <w:rPr>
            <w:rStyle w:val="Hyperlink"/>
            <w:b/>
            <w:bCs/>
            <w:color w:val="0000EE"/>
            <w:u w:color="0000EE"/>
            <w:lang w:val="el" w:eastAsia="el"/>
          </w:rPr>
          <w:t>Τροποποίηση 3427/2005, Άρθρο 20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8" w:history="1">
        <w:r>
          <w:rPr>
            <w:rStyle w:val="Hyperlink"/>
            <w:b/>
            <w:bCs/>
            <w:color w:val="0000EE"/>
            <w:u w:color="0000EE"/>
            <w:lang w:val="el" w:eastAsia="el"/>
          </w:rPr>
          <w:t>Τροποποίηση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3" w:history="1">
        <w:r>
          <w:rPr>
            <w:rStyle w:val="Hyperlink"/>
            <w:b/>
            <w:bCs/>
            <w:color w:val="0000EE"/>
            <w:u w:color="0000EE"/>
            <w:lang w:val="el" w:eastAsia="el"/>
          </w:rPr>
          <w:t>Τροποποίηση 3943/2011,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0" w:history="1">
        <w:r>
          <w:rPr>
            <w:rStyle w:val="Hyperlink"/>
            <w:b/>
            <w:bCs/>
            <w:color w:val="0000EE"/>
            <w:u w:color="0000EE"/>
            <w:lang w:val="el" w:eastAsia="el"/>
          </w:rPr>
          <w:t>Τροποποίηση 3427/2005, Άρθρο 20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0" w:history="1">
        <w:r>
          <w:rPr>
            <w:rStyle w:val="Hyperlink"/>
            <w:b/>
            <w:bCs/>
            <w:color w:val="0000EE"/>
            <w:u w:color="0000EE"/>
            <w:lang w:val="el" w:eastAsia="el"/>
          </w:rPr>
          <w:t>Τροποποίηση 3427/2005,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Αφαίρεση 3634/2008, Άρθρο 1</w:t>
        </w:r>
      </w:hyperlink>
      <w:r>
        <w:rPr>
          <w:b/>
          <w:bCs/>
          <w:lang w:val="el" w:eastAsia="el"/>
        </w:rPr>
        <w:t xml:space="preserve">; </w:t>
      </w:r>
      <w:hyperlink r:id="rId195"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8" w:history="1">
        <w:r>
          <w:rPr>
            <w:rStyle w:val="Hyperlink"/>
            <w:b/>
            <w:bCs/>
            <w:color w:val="0000EE"/>
            <w:u w:color="0000EE"/>
            <w:lang w:val="el" w:eastAsia="el"/>
          </w:rPr>
          <w:t>Τροποποίηση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3" w:history="1">
        <w:r>
          <w:rPr>
            <w:rStyle w:val="Hyperlink"/>
            <w:b/>
            <w:bCs/>
            <w:color w:val="0000EE"/>
            <w:u w:color="0000EE"/>
            <w:lang w:val="el" w:eastAsia="el"/>
          </w:rPr>
          <w:t>Τροποποίηση 3943/2011,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98" w:anchor="art_1" w:history="1">
        <w:r>
          <w:rPr>
            <w:rStyle w:val="Hyperlink"/>
            <w:b/>
            <w:bCs/>
            <w:color w:val="0000EE"/>
            <w:u w:color="0000EE"/>
            <w:lang w:val="el" w:eastAsia="el"/>
          </w:rPr>
          <w:t>Τροποποίηση 3634/2008, Άρθρο 1</w:t>
        </w:r>
      </w:hyperlink>
      <w:r>
        <w:rPr>
          <w:b/>
          <w:bCs/>
          <w:lang w:val="el" w:eastAsia="el"/>
        </w:rPr>
        <w:t xml:space="preserve">; </w:t>
      </w:r>
      <w:hyperlink r:id="rId199"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0" w:anchor="art_12" w:history="1">
        <w:r>
          <w:rPr>
            <w:rStyle w:val="Hyperlink"/>
            <w:b/>
            <w:bCs/>
            <w:color w:val="0000EE"/>
            <w:u w:color="0000EE"/>
            <w:lang w:val="el" w:eastAsia="el"/>
          </w:rPr>
          <w:t>Προσθήκη 3091/2002, Άρθρο 12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3634/2008,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Τροποποίηση 3943/2011,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4" w:anchor="art_184" w:history="1">
        <w:r>
          <w:rPr>
            <w:rStyle w:val="Hyperlink"/>
            <w:b/>
            <w:bCs/>
            <w:color w:val="0000EE"/>
            <w:u w:color="0000EE"/>
            <w:lang w:val="el" w:eastAsia="el"/>
          </w:rPr>
          <w:t>Τροποποίηση 4261/2014, Άρθρο 184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Προσθήκη 4646/2019, Άρθρο 48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Αφαίρεση 4646/2019, Άρθρο 48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Αφαίρεση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Προσθήκη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r>
        <w:rPr>
          <w:b/>
          <w:bCs/>
          <w:lang w:val="el" w:eastAsia="el"/>
        </w:rPr>
        <w:t xml:space="preserve">; </w:t>
      </w:r>
      <w:hyperlink r:id="rId210" w:anchor="art_60" w:history="1">
        <w:r>
          <w:rPr>
            <w:rStyle w:val="Hyperlink"/>
            <w:b/>
            <w:bCs/>
            <w:color w:val="0000EE"/>
            <w:u w:color="0000EE"/>
            <w:lang w:val="el" w:eastAsia="el"/>
          </w:rPr>
          <w:t>Τροποποίηση 4583/2018,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Αφαίρεση 4646/2019, Άρθρο 48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r>
        <w:rPr>
          <w:b/>
          <w:bCs/>
          <w:lang w:val="el" w:eastAsia="el"/>
        </w:rPr>
        <w:t xml:space="preserve">; </w:t>
      </w:r>
      <w:hyperlink r:id="rId216" w:anchor="art_23" w:history="1">
        <w:r>
          <w:rPr>
            <w:rStyle w:val="Hyperlink"/>
            <w:b/>
            <w:bCs/>
            <w:color w:val="0000EE"/>
            <w:u w:color="0000EE"/>
            <w:lang w:val="el" w:eastAsia="el"/>
          </w:rPr>
          <w:t>Τροποποίηση 3943/2011,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0" w:history="1">
        <w:r>
          <w:rPr>
            <w:rStyle w:val="Hyperlink"/>
            <w:b/>
            <w:bCs/>
            <w:color w:val="0000EE"/>
            <w:u w:color="0000EE"/>
            <w:lang w:val="el" w:eastAsia="el"/>
          </w:rPr>
          <w:t>Τροποποίηση 3427/2005, Άρθρο 20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3" w:anchor="art_60" w:history="1">
        <w:r>
          <w:rPr>
            <w:rStyle w:val="Hyperlink"/>
            <w:b/>
            <w:bCs/>
            <w:color w:val="0000EE"/>
            <w:u w:color="0000EE"/>
            <w:lang w:val="el" w:eastAsia="el"/>
          </w:rPr>
          <w:t>Αφαίρεση 4583/2018, Άρθρο 60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0" w:history="1">
        <w:r>
          <w:rPr>
            <w:rStyle w:val="Hyperlink"/>
            <w:b/>
            <w:bCs/>
            <w:color w:val="0000EE"/>
            <w:u w:color="0000EE"/>
            <w:lang w:val="el" w:eastAsia="el"/>
          </w:rPr>
          <w:t>Τροποποίηση 4583/2018,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60" w:history="1">
        <w:r>
          <w:rPr>
            <w:rStyle w:val="Hyperlink"/>
            <w:b/>
            <w:bCs/>
            <w:color w:val="0000EE"/>
            <w:u w:color="0000EE"/>
            <w:lang w:val="el" w:eastAsia="el"/>
          </w:rPr>
          <w:t>Τροποποίηση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3943/2011,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Αφαίρεση 4646/2019, Άρθρο 48</w:t>
        </w:r>
      </w:hyperlink>
      <w:r>
        <w:rPr>
          <w:b/>
          <w:bCs/>
          <w:lang w:val="el" w:eastAsia="el"/>
        </w:rPr>
        <w:t xml:space="preserve">; </w:t>
      </w:r>
      <w:hyperlink r:id="rId228" w:anchor="art_1" w:history="1">
        <w:r>
          <w:rPr>
            <w:rStyle w:val="Hyperlink"/>
            <w:b/>
            <w:bCs/>
            <w:color w:val="0000EE"/>
            <w:u w:color="0000EE"/>
            <w:lang w:val="el" w:eastAsia="el"/>
          </w:rPr>
          <w:t>Τροποποίηση 3634/2008,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0"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1" w:anchor="art_1" w:history="1">
        <w:r>
          <w:rPr>
            <w:rStyle w:val="Hyperlink"/>
            <w:b/>
            <w:bCs/>
            <w:color w:val="0000EE"/>
            <w:u w:color="0000EE"/>
            <w:lang w:val="el" w:eastAsia="el"/>
          </w:rPr>
          <w:t>Τροποποίηση 3634/2008,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Τροποποίηση 3842/2010,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Τροποποίηση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5" w:anchor="art_1" w:history="1">
        <w:r>
          <w:rPr>
            <w:rStyle w:val="Hyperlink"/>
            <w:b/>
            <w:bCs/>
            <w:color w:val="0000EE"/>
            <w:u w:color="0000EE"/>
            <w:lang w:val="el" w:eastAsia="el"/>
          </w:rPr>
          <w:t>Τροποποίηση 3775/2009,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Τροποποίηση 3842/2010,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9" w:anchor="art_1" w:history="1">
        <w:r>
          <w:rPr>
            <w:rStyle w:val="Hyperlink"/>
            <w:b/>
            <w:bCs/>
            <w:color w:val="0000EE"/>
            <w:u w:color="0000EE"/>
            <w:lang w:val="el" w:eastAsia="el"/>
          </w:rPr>
          <w:t>Τροποποίηση 3775/2009,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Τροποποίηση 4093/2012,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0" w:history="1">
        <w:r>
          <w:rPr>
            <w:rStyle w:val="Hyperlink"/>
            <w:b/>
            <w:bCs/>
            <w:color w:val="0000EE"/>
            <w:u w:color="0000EE"/>
            <w:lang w:val="el" w:eastAsia="el"/>
          </w:rPr>
          <w:t>Τροποποίηση 3427/2005, Άρθρο 20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3943/2011,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4"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8" w:history="1">
        <w:r>
          <w:rPr>
            <w:rStyle w:val="Hyperlink"/>
            <w:b/>
            <w:bCs/>
            <w:color w:val="0000EE"/>
            <w:u w:color="0000EE"/>
            <w:lang w:val="el" w:eastAsia="el"/>
          </w:rPr>
          <w:t>Αφαίρεση 4646/2019, Άρθρο 48</w:t>
        </w:r>
      </w:hyperlink>
      <w:r>
        <w:rPr>
          <w:b/>
          <w:bCs/>
          <w:lang w:val="el" w:eastAsia="el"/>
        </w:rPr>
        <w:t xml:space="preserve">; </w:t>
      </w:r>
      <w:hyperlink r:id="rId24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9"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Αφαίρεση 4646/2019, Άρθρο 48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Αφαίρεση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 w:history="1">
        <w:r>
          <w:rPr>
            <w:rStyle w:val="Hyperlink"/>
            <w:b/>
            <w:bCs/>
            <w:color w:val="0000EE"/>
            <w:u w:color="0000EE"/>
            <w:lang w:val="el" w:eastAsia="el"/>
          </w:rPr>
          <w:t>Προσθήκη 3193/2003, Άρθρο 10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8" w:history="1">
        <w:r>
          <w:rPr>
            <w:rStyle w:val="Hyperlink"/>
            <w:b/>
            <w:bCs/>
            <w:color w:val="0000EE"/>
            <w:u w:color="0000EE"/>
            <w:lang w:val="el" w:eastAsia="el"/>
          </w:rPr>
          <w:t>Τροποποίηση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Αφαίρεση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Τροποποίηση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Τροποποίηση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20/07/31/4714"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08/01/29/3634"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2/11/12/4093"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9/07/21/3775"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09/07/21/3775"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5/10/23/4338"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7/07/25/448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9/10/30/4635" TargetMode="External" /><Relationship Id="rId169" Type="http://schemas.openxmlformats.org/officeDocument/2006/relationships/hyperlink" Target="http://data.aade.gr/eli/pri/law/2012/11/12/4093"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09/07/21/3775" TargetMode="External" /><Relationship Id="rId172" Type="http://schemas.openxmlformats.org/officeDocument/2006/relationships/hyperlink" Target="http://data.aade.gr/eli/pri/law/2020/12/23/4764" TargetMode="External" /><Relationship Id="rId173" Type="http://schemas.openxmlformats.org/officeDocument/2006/relationships/hyperlink" Target="http://data.aade.gr/eli/pri/law/2020/12/23/4764" TargetMode="External" /><Relationship Id="rId174" Type="http://schemas.openxmlformats.org/officeDocument/2006/relationships/hyperlink" Target="http://data.aade.gr/eli/pri/law/2019/10/30/4635" TargetMode="External" /><Relationship Id="rId175" Type="http://schemas.openxmlformats.org/officeDocument/2006/relationships/hyperlink" Target="http://data.aade.gr/eli/pri/law/2013/04/05/4141" TargetMode="External" /><Relationship Id="rId176" Type="http://schemas.openxmlformats.org/officeDocument/2006/relationships/hyperlink" Target="http://data.aade.gr/eli/pri/law/2012/11/12/4093"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05/12/27/3427" TargetMode="External" /><Relationship Id="rId192" Type="http://schemas.openxmlformats.org/officeDocument/2006/relationships/hyperlink" Target="http://data.aade.gr/eli/pri/law/2005/12/27/3427"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8/01/29/3634"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08/01/29/3634" TargetMode="External" /><Relationship Id="rId199" Type="http://schemas.openxmlformats.org/officeDocument/2006/relationships/hyperlink" Target="http://data.aade.gr/eli/pri/law/2005/12/27/3427"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2/12/24/3091" TargetMode="External" /><Relationship Id="rId201" Type="http://schemas.openxmlformats.org/officeDocument/2006/relationships/hyperlink" Target="http://data.aade.gr/eli/pri/law/2008/01/29/3634"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4/07/30/4276" TargetMode="External" /><Relationship Id="rId204" Type="http://schemas.openxmlformats.org/officeDocument/2006/relationships/hyperlink" Target="http://data.aade.gr/eli/pri/law/2014/05/05/4261"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8/12/18/458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1/03/31/3943"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05/12/27/3427"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18/12/18/4583"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1/03/31/3943"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08/01/29/3634"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08/01/29/3634" TargetMode="External" /><Relationship Id="rId231" Type="http://schemas.openxmlformats.org/officeDocument/2006/relationships/hyperlink" Target="http://data.aade.gr/eli/pri/law/2008/01/29/3634"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09/07/21/3775"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09/07/21/3775"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2/11/12/4093" TargetMode="External" /><Relationship Id="rId241" Type="http://schemas.openxmlformats.org/officeDocument/2006/relationships/hyperlink" Target="http://data.aade.gr/eli/pri/law/2005/12/27/3427"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8/12/18/4583"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03/11/20/319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