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PreambelText"/>
        <w:spacing w:before="240" w:after="240"/>
        <w:rPr>
          <w:lang w:val="el" w:eastAsia="el"/>
        </w:rPr>
      </w:pPr>
      <w:r>
        <w:rPr>
          <w:b/>
          <w:bCs/>
          <w:lang w:val="el" w:eastAsia="el"/>
        </w:rPr>
        <w:t>Κύρωση του Κώδικα Διατάξεων Φορολογίας Κληρονομιών, Δωρεών, Γονικών Παροχών και Κερδών από Τυχερά Παίγνια</w:t>
      </w:r>
      <w:r>
        <w:rPr>
          <w:rStyle w:val="Hyperlink"/>
          <w:color w:val="000000"/>
          <w:sz w:val="20"/>
          <w:szCs w:val="20"/>
          <w:u w:val="none" w:color="0000EE"/>
          <w:vertAlign w:val="superscript"/>
          <w:lang w:val="el" w:eastAsia="el"/>
        </w:rPr>
        <w:footnoteReference w:id="2"/>
      </w:r>
      <w:r>
        <w:rPr>
          <w:b/>
          <w:bCs/>
          <w:lang w:val="el" w:eastAsia="el"/>
        </w:rPr>
        <w:t>Άρθρο πρώτο</w:t>
      </w:r>
    </w:p>
    <w:p>
      <w:pPr>
        <w:pStyle w:val="PreambelText"/>
        <w:spacing w:before="240" w:after="240"/>
        <w:rPr>
          <w:lang w:val="el" w:eastAsia="el"/>
        </w:rPr>
      </w:pPr>
      <w:r>
        <w:rPr>
          <w:lang w:val="el" w:eastAsia="el"/>
        </w:rPr>
        <w:t>Κυρώνεται ο Κώδικας Διατάξεων Φορολογίας Κληρονομιών, Δωρεών, Γονικών Παροχών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r>
        <w:rPr>
          <w:rStyle w:val="Hyperlink"/>
          <w:color w:val="000000"/>
          <w:sz w:val="20"/>
          <w:szCs w:val="20"/>
          <w:u w:val="none" w:color="0000EE"/>
          <w:vertAlign w:val="superscript"/>
          <w:lang w:val="el" w:eastAsia="el"/>
        </w:rPr>
        <w:footnoteReference w:id="3"/>
      </w:r>
    </w:p>
    <w:p>
      <w:pPr>
        <w:pStyle w:val="enacting"/>
        <w:spacing w:before="120" w:after="0"/>
        <w:rPr>
          <w:lang w:val="el" w:eastAsia="el"/>
        </w:rPr>
      </w:pPr>
      <w:r>
        <w:rPr>
          <w:b/>
          <w:bCs/>
          <w:lang w:val="el" w:eastAsia="el"/>
        </w:rPr>
        <w:t>ΚΩΔΙΚΑΣ ΔΙΑΤΑΞΕΩΝ ΦΟΡΟΛΟΓΙΑΣ ΚΛΗΡΟΝΟΜΙΩΝ, ΔΩΡΕΩΝ, ΓΟΝΙΚΩΝ ΠΑΡΟΧΩΝ ΚΑΙ ΚΕΡΔΩΝ ΑΠΟ ΛΑΧΕΙΑ</w:t>
      </w:r>
      <w:r>
        <w:rPr>
          <w:rStyle w:val="Hyperlink"/>
          <w:color w:val="000000"/>
          <w:sz w:val="20"/>
          <w:szCs w:val="20"/>
          <w:u w:val="none" w:color="0000EE"/>
          <w:vertAlign w:val="superscript"/>
          <w:lang w:val="el" w:eastAsia="el"/>
        </w:rPr>
        <w:footnoteReference w:id="4"/>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και στα κέρδη από λαχεία, σύμφωνα με τα οριζόμενα στον παρόντα νόμο.</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ή διάλυσης του νομικού προσώπου, αν ο επικαρπωτής είναι νομικό πρόσωπο, όταν η κτήση ή μεταβίβαση με επαχθή αιτία της ψιλής κυριότητας αυτών και η κτήση της επικαρπίας ή η παρακράτησή της έγιναν από 2 Απριλίου 1980. Στις περιπτώσεις αυτές θεωρείται ότι η επικαρπία περιέρχεται στον κατά το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 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 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Στην κτήση αιτία θανάτου συνυπολογίζονται οι δωρεές, γονικές παροχές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στον προϊστάμενο της αρμόδιας Δημόσιας Οικονομικής Υπηρεσίας (Δ.Ο.Υ.) οποτεδήποτε πριν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χρόνος γένεσης της φορολογικής υποχρέωσης είναι ο οριζόμενος στο παρόν άρθρο, καθώς και στα άρθρα 6 και 8.</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(20)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αυτών στοιχείων πραγματοποιείται με ιδιωτικό ή συμβολαιογραφικό έγγραφο ή με εγγραφή στο χρηματιστήριο και αν η διαφορά μεταξύ της αξίας που δηλώθηκε και της ανωτέρω αξίας υπερβαίνει το ποσοστό τρία τοις εκατό (3%) της τελευταίας, υποβάλλεται συμπληρωματική δήλωση για τη διαφορά της αξίας μέσα σε δέκα (10) ημέρες από το χρόνο κατάρτισης του ιδιωτικού ή συμβολαιογραφικού εγγράφου ή της εγγραφής στο χρηματιστήριο.</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2 και 3, με απόφαση του Υπουργού Οικονομίας και Οικονομικών, καθορίζεται ο τρόπος προσδιορισμού της φορολογητέας αξίας: α) των μη εισηγμένων στο χρηματιστήριο μετοχών, λαμβάνοντας υπόψη αποτελέσματα από τους τελευταίους πριν από τη μεταβίβαση ισολογισμούς και την απόδοση των ιδίων κεφαλαίων της επιχείρησης και β) 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Δημοσίου ετήσιας διάρκειας και τα έτη λειτουργίας της. Εκτός των ανωτέρω μεγεθών, λαμβάνεται υπόψη και κάθε άλλο στοιχείο που επηρεάζει αυξητικά ή μειωτικά την αξία.</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Με την ίδια απόφαση καθορίζεται ο χρόνος έναρξης ισχύος αυτής, καθώς και κάθε άλλο θέμα που αφορά την εφαρμογή τους.</w:t>
      </w:r>
    </w:p>
    <w:p>
      <w:pPr>
        <w:spacing w:before="240" w:after="240"/>
        <w:rPr>
          <w:lang w:val="el" w:eastAsia="el"/>
        </w:rPr>
      </w:pPr>
      <w:r>
        <w:rPr>
          <w:lang w:val="el" w:eastAsia="el"/>
        </w:rPr>
        <w:t>Οι διατάξεις των παραγράφων 3, 4 και 5 της ενότητας Β/ του άρθρου 10 του παρόντος εφαρμόζονται ανάλογα.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των κτισμάτων που περιλαμβάνονται στην κληρονομία και επιτρέπεται στο Δημόσιο και στον υπόχρεο να αποδείξουν με κάθε νόμιμο μέσο ότι η αξία είναι μικρότερη ή μεγαλύτερη.</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MainText"/>
        <w:spacing w:before="120" w:after="0"/>
        <w:rPr>
          <w:lang w:val="el" w:eastAsia="el"/>
        </w:rPr>
      </w:pPr>
      <w:r>
        <w:rPr>
          <w:b/>
          <w:bCs/>
          <w:lang w:val="el" w:eastAsia="el"/>
        </w:rPr>
        <w:t>10.</w:t>
      </w:r>
      <w:r>
        <w:rPr>
          <w:lang w:val="el" w:eastAsia="el"/>
        </w:rPr>
        <w:t xml:space="preserve"> α. Η αξία της πραγματικής δουλείας επί κτίσματος ορίζεται ίση με την αξία που προκύπτει από την εφαρμογή του αντικειμενικού συστήματος προσδιορισμού της φορολογητέας αξίας αυτού.</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β. Η αξία της πραγματικής δουλείας επί οικοπέδου ή αγροτεμαχίου ορίζεται ίση με ποσοστό δεκαπέντε τοις εκατό (15 %) της αγοραίας ή αντικειμενικής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γ. 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του αντικειμενικού συστήματος προσδιορισμού της φορολογητέας αξίας αυτών στις εξής περιπτώσεις: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γ.α. χώρου στάθμευσης σε κοινόχρηστη επιφάνεια υπογείου, πυλωτής, ασκεπούς ορόφου, δώματος ή ακάλυπτου χώρου του οικοπέδου,</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γ.β. βοηθητικών ή αποθηκευτικών χώρων κοινόχρηστων κτισμάτων που δεν χρησιμοποιούνται ως χώροι κύριας χρήσης,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γ.γ. κοινόχρηστων αθλητικών εγκαταστάσεων,</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γ.δ. κατοικίας ή επαγγελματικής στέγης ή ειδικών κτιρίων.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δ. 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 της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24"/>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και γονικής παροχής πριν από την επάνοδο σε αυτήν της επικαρπίας, δεν οφείλεται φόρος για τη μεταβίβαση αυτή. 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ψιλή κυριότητα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 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Εφόσον ο βεβαρημένος υπάγεται στη Γ` κατηγορία, όπως αυτή ορίζεται στην παράγραφο 1 του άρθρου 29 του παρόντος, συμψηφίζεται ο βεβαιωθείς για την επικαρπία φόρος. Το ίδιο ισχύει και σε περίπτωση μονομερούς ή συμβατικής παραίτησης του καταπιστευματοδόχου από το δικαίωμά του προσδοκίας υπέρ του βεβαρημένου. 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MainText"/>
        <w:spacing w:before="120" w:after="0"/>
        <w:rPr>
          <w:lang w:val="el" w:eastAsia="el"/>
        </w:rPr>
      </w:pPr>
      <w:r>
        <w:rPr>
          <w:b/>
          <w:bCs/>
          <w:lang w:val="el" w:eastAsia="el"/>
        </w:rPr>
        <w:t>3.</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εφόσον, μέσα στην προθεσμία υποβολής της οικείας δήλωσης, η αξία αυτών έχει υποστεί μείωση κατά 50% τουλάχιστον και εξακολουθούν να ανήκουν στον δικαιούχο της κτήσης είτε στους κατά κληρονομία ή κληροδοσία διαδόχους αυτού, γίνεται νέα εκκαθάριση του φόρου, σύμφωνα με το άρθρο 100 του παρόντος, με βάση το μέσο όρο της τιμής των πωλήσεων που έχουν πραγματοποιηθεί μέσα στο τελευταίο, πριν από τη λήξη της προθεσμίας υποβολής της δήλωσης, εξάμηνο. Ο επιπλέον φόρος που βεβαιώθηκε εκπίπτεται ή επιστρέφεται αυτός που καταβλήθηκε. Η παρούσα διάταξη εφαρμόζεται σε υποθέσεις, για τις οποίες η φορολογική υποχρέωση γεννήθηκε από την 1η Ιανουαρίου 2000 μέχρι 31 Δεκεμβρίου 2002.</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Από την κληρονομιαία περιουσία που αποκτά πρόσωπο που δεν συνδέεται με τον κληρονομηθέντα με συγγενικό δεσμό πρώτου ή δεύτερου βαθμού εξ αίματος ή εξ αγχιστείας ή από υιοθεσία και το οποίο ήταν στην οικιακή υπηρεσία του κληρονομηθέντος με έγγραφο ή άτυπη σύμβαση, μετά τη συμπλήρωση του δέκατου τέταρτου έτους της ηλικίας του, μπορεί με αίτηση του υπόχρεου σε φόρο να εκπεσθεί ποσό ανάλογο με την αμοιβή για τις υπηρεσίες αυτού που αποδειγμένα έχει προσφέρει και δεν έχουν ικανοποιηθεί όσο ζούσε ο διαθέτης, εφόσον το πρόσωπο αυτό δεν έχει κατά των κληρονόμων απαίτηση.</w:t>
      </w:r>
    </w:p>
    <w:p>
      <w:pPr>
        <w:spacing w:before="240" w:after="240"/>
        <w:rPr>
          <w:lang w:val="el" w:eastAsia="el"/>
        </w:rPr>
      </w:pPr>
      <w:r>
        <w:rPr>
          <w:lang w:val="el" w:eastAsia="el"/>
        </w:rPr>
        <w:t>Για την έκπτωση αυτή δεν οφείλεται άλλος φόρος.</w:t>
      </w:r>
    </w:p>
    <w:p>
      <w:pPr>
        <w:pStyle w:val="MainText"/>
        <w:spacing w:before="120" w:after="0"/>
        <w:rPr>
          <w:lang w:val="el" w:eastAsia="el"/>
        </w:rPr>
      </w:pPr>
      <w:r>
        <w:rPr>
          <w:b/>
          <w:bCs/>
          <w:lang w:val="el" w:eastAsia="el"/>
        </w:rPr>
        <w:t>5.</w:t>
      </w:r>
      <w:r>
        <w:rPr>
          <w:lang w:val="el" w:eastAsia="el"/>
        </w:rPr>
        <w:t xml:space="preserve"> Τα χρέη των παραγράφων 3 και 4 εκπίπτονται, εφόσον από τα στοιχεία που προσκομίζονται, ο προϊστάμενος της δημόσιας οικονομικής υπηρεσίας πεισθεί αιτιολογημένα για την ύπαρξη και το ύψος τους.</w:t>
      </w:r>
    </w:p>
    <w:p>
      <w:pPr>
        <w:spacing w:before="240" w:after="240"/>
        <w:rPr>
          <w:lang w:val="el" w:eastAsia="el"/>
        </w:rPr>
      </w:pPr>
      <w:r>
        <w:rPr>
          <w:lang w:val="el" w:eastAsia="el"/>
        </w:rPr>
        <w:t>Η αίτηση που αναφέρεται στις παραγράφους 3 και 4, μπορεί να υποβληθεί μέχρι την οριστική περαίωση της υπόθεσης. Αν το χρέος έγινε βέβαιο και εκκαθαρισμένο μετά την οριστική περαίωση, η αίτηση μπορεί να υποβληθεί μέσα σε ένα έτος αφότου το χρέος έγινε βέβαιο και εκκαθαρισμένο. Σε κάθε περίπτωση η αίτηση δεν μπορεί να υποβληθεί πέραν της δεκαετίας από την υποβολή της δήλωσης και, εφόσον δεν έχει υποβληθεί δήλωση, από τη λήξη της προθεσμίας για την υποβολή της.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 Προκειμένου για κληρονόμους που υπάγονται στην Α` και Β` κατηγορία της παραγράφου 1 του άρθρου 29, τα χρέη και τα βάρη που εκπίπτονται αφαιρούνται κατ` αρχήν από την αξία των περιουσιακών στοιχείων της παραγράφου 2 του ίδιου άρθρου και, στην περίπτωση που η αξία των περιουσιακών αυτών στοιχείων υπολείπεται της αξίας των χρεών, αφαιρούνται κατά σειρά από την αξία των περιουσιακών στοιχείων των παραγράφων 3 και 4.</w:t>
      </w:r>
      <w:r>
        <w:rPr>
          <w:rStyle w:val="Hyperlink"/>
          <w:color w:val="000000"/>
          <w:sz w:val="20"/>
          <w:szCs w:val="20"/>
          <w:u w:val="none" w:color="0000EE"/>
          <w:vertAlign w:val="superscript"/>
          <w:lang w:val="el" w:eastAsia="el"/>
        </w:rPr>
        <w:footnoteReference w:id="29"/>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η Ορθόδοξη Εκκλησία της Αλβανίας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Τα πολιτικά κόμματα, που έχουν νόμιμα συσταθεί στην Ελλάδα και είναι αναγνωρισμένα από τον Κανονισμό της Βουλής.</w:t>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pStyle w:val="MainText"/>
        <w:spacing w:before="120" w:after="0"/>
        <w:rPr>
          <w:lang w:val="el" w:eastAsia="el"/>
        </w:rPr>
      </w:pPr>
      <w:r>
        <w:rPr>
          <w:b/>
          <w:bCs/>
          <w:lang w:val="el" w:eastAsia="el"/>
        </w:rPr>
        <w:t>2.</w:t>
      </w:r>
      <w:r>
        <w:rPr>
          <w:lang w:val="el" w:eastAsia="el"/>
        </w:rPr>
        <w:t xml:space="preserve"> 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εταιρειών πλοιοκτητριών πλοίων ολικής χωρητικότητας άνω των χιλίων πεντακοσίων (1.500) κόρων.</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ζ)</w:t>
      </w:r>
      <w:r>
        <w:rPr>
          <w:lang w:val="en" w:eastAsia="en"/>
        </w:rPr>
        <w:tab/>
      </w:r>
      <w:r>
        <w:rPr>
          <w:lang w:val="el" w:eastAsia="el"/>
        </w:rPr>
        <w:t>Η απόκτηση περιουσιακών στοιχείων για τα οποία εφαρμόζεται η παράγραφος 2 του άρθρου 29 του παρόντος, μέχρι του ποσού των τετρακοσίων χιλιάδων (400.000) ευρώ ανά δικαιούχο, εφόσον δικαιούχοι είναι σύζυγος και ανήλικα τέκνα του κληρονομουμένου. Εφόσον παρέχεται η απαλλαγή αυτή, κατά τον υπολογισμό του φόρου δεν ισχύει το πρώτο αφορολόγητο κλιμάκιο της κλίμακας της ίδιας αυτής παραγράφου και περιορίζονται αντίστοιχα τα επόμενα κλιμάκια. Η απαλλαγή για τον επιζώντα σύζυγο παρέχεται εφόσον η έγγαμη συμβίωση είχε διάρκεια τουλάχιστον πέντε (5) ετών.</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η)</w:t>
      </w:r>
      <w:r>
        <w:rPr>
          <w:lang w:val="en" w:eastAsia="en"/>
        </w:rPr>
        <w:tab/>
      </w:r>
      <w:r>
        <w:rPr>
          <w:lang w:val="el" w:eastAsia="el"/>
        </w:rPr>
        <w:t>Η κληρονομιά η οποία περιέρχεται σε σύζυγο, τέκνα, γονείς ή αδέλφια στρατιωτικού, κατά τον ορισμό της παραγράφου 2 του άρθρου 7 του ν.2084/1992 (ΦΕΚ 165 Α`), που απεβίωσε κατά τη διάρκεια της υπηρεσίας, σε εκτέλεση υπηρεσίας και εξαιτίας αυτής.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3.</w:t>
      </w:r>
      <w:r>
        <w:rPr>
          <w:lang w:val="el" w:eastAsia="el"/>
        </w:rPr>
        <w:t xml:space="preserve"> Υπόκεινται σε αυτοτελή φορολόγηση, κατά τις διατάξεις της παραγράφου 5 του άρθρου 29, οι κτήσεις, εφόσον δικαιούχοι είναι</w:t>
      </w:r>
      <w:r>
        <w:rPr>
          <w:rStyle w:val="Hyperlink"/>
          <w:color w:val="000000"/>
          <w:sz w:val="20"/>
          <w:szCs w:val="20"/>
          <w:u w:val="none" w:color="0000EE"/>
          <w:vertAlign w:val="superscript"/>
          <w:lang w:val="el" w:eastAsia="el"/>
        </w:rPr>
        <w:footnoteReference w:id="36"/>
      </w:r>
      <w:r>
        <w:rPr>
          <w:lang w:val="el" w:eastAsia="el"/>
        </w:rPr>
        <w:t>:</w:t>
      </w:r>
    </w:p>
    <w:p>
      <w:pPr>
        <w:pStyle w:val="StructureList1"/>
        <w:spacing w:before="120" w:after="0"/>
        <w:rPr>
          <w:lang w:val="el" w:eastAsia="el"/>
        </w:rPr>
      </w:pPr>
      <w:r>
        <w:rPr>
          <w:lang w:val="el" w:eastAsia="el"/>
        </w:rPr>
        <w:t>α)</w:t>
      </w:r>
      <w:r>
        <w:rPr>
          <w:lang w:val="en" w:eastAsia="en"/>
        </w:rPr>
        <w:tab/>
      </w:r>
      <w:r>
        <w:rPr>
          <w:lang w:val="el" w:eastAsia="el"/>
        </w:rPr>
        <w:t>τα Ν.Π.Δ.Δ., οι νομαρχιακές αυτοδιοικήσεις, οι δήμοι, οι κοινότητες, οι ιεροί ναοί, οι ιερές μονές, το Ιερό Κοινό του Πανάγιου Τάφου, η Ιερά Μονή του Όρους Σινά, το Οικουμενικό Πατριαρχείο Κωνσταντινουπόλεως, το Πατριαρχείο Ιεροσολύμων, το Πατριαρχείο Αλεξανδρείας, η Εκκλησία της Κύπρου, η Ορθόδοξη Εκκλησία της Αλβανίας και</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ή σε άλλο κράτος - μέλος της Ευρωπαϊκής Ένωσης ή του Ευρωπαϊκού Οικονομικού Χώρου, καθώς και τα λοιπά αντίστοιχα αλλοδαπά με τον όρο της αμοιβαιότητας και οι περιουσίες του άρθρου 50 του ν. 4182/2013 (Α` 185), εφόσον επιδιώκουν αποδεδειγμένα σκοπούς εθνικούς ή θρησκευτικούς ή φιλανθρωπικούς ή εκπαιδευτικούς ή πολιτιστικούς ή γενικά επωφελείς για την κοινωνία εν όλω ή εν μέρει, κατά την έννοια του άρθρου 1 του ν. 4182/2013.</w:t>
      </w:r>
      <w:r>
        <w:rPr>
          <w:rStyle w:val="Hyperlink"/>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Κατοικία ή οικόπεδο, που αποκτάται αιτία θανάτου από σύζυγο ή τέκνο του κληρονομουμένου κατά πλήρη κυριότητα, εξ ολοκλήρου ή κατά ποσοστό εξ αδιαιρέτου, απαλλάσσεται από το φόρο, εφόσον ο κληρονόμος ή κληροδόχος ή ο σύζυγος αυτού ή οποιοδήποτε από τα ανήλικα τέκνα αυτού δεν έχουν δικαίωμα πλήρους κυριότητας ή επικαρπίας ή οίκησης σε κατοικία ή ιδανικό μερίδιο κατοικίας που πληροί τις στεγαστικές ανάγκες της οικογένειας του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δημοτικό ή κοινοτικό διαμέρισμα με πληθυσμό άνω των τριών χιλιάδων (3.000) κατοίκων. Οι στεγαστικές ανάγκες θεωρείται ότι καλύπτονται, αν το συνολικό εμβαδόν των ανωτέρω ακινήτων και των λοιπών αντίστοιχων κληρονομιαίων ακινήτων είναι εβδομήντα (70) τ.μ., προσαυξανόμενα κατά είκοσι (20) τ.μ. για καθένα από τα δύο πρώτα τέκνα και κατά είκοσι πέντε (25) τ.μ. για το τρίτο και καθένα από τα επόμενα τέκνα, των οποίων την επιμέλεια έχει ο δικαιούχος. Δικαιούχοι της απαλλαγής είναι οι Ελληνες και οι πολίτες κρατών-μελών της Ευρωπαϊκής Ενωσης και των χωρών του Ευρωπαϊκού Οικονομικού Χώρου (Ε.Ο.Χ.).</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Η απαλλαγή παρέχεται για ποσό αξίας: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α)</w:t>
      </w:r>
      <w:r>
        <w:rPr>
          <w:lang w:val="en" w:eastAsia="en"/>
        </w:rPr>
        <w:tab/>
      </w:r>
      <w:r>
        <w:rPr>
          <w:lang w:val="el" w:eastAsia="el"/>
        </w:rPr>
        <w:t>κατοικίας μέχρι ενενήντα χιλιάδων (90.000) ευρώ για κάθε άγαμο κληρονόμο ή κληροδόχο και μέχρι εκατόν τριάντα οκτώ χιλιάδων (138.000) ευρώ για κάθε έγγαμο και διαζευγμένο ή χήρο ή άγαμο γονέα, που έχουν την επιμέλεια των τέκνων τους.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οικοπέδου μέχρι σαράντα δύο χιλιάδων (42.000) ευρώ για κάθε άγαμο κληρονόμο ή κληροδόχο και μέχρι εβδομήντα επτά χιλιάδων (77.000) ευρώ για κάθε έγγαμο και διαζευγμένο ή χήρο ή άγαμο γονέα, που έχουν την επιμέλεια των τέκνων τους. Το ποσό αυτό προσαυξάνεται κατά δώδεκα χιλιάδες (12.000) ευρώ για καθένα από τα δύο πρώτα τέκνα αυτών και κατά δεκατέσσερις χιλιάδες πεντακόσια (14.500)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Η απαλλαγή χορηγείται και στην περίmωση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Οι στεγαστικές ανάγκες καλύπτονται, αν το εμβαδόν της κατοικίας ή του ιδανικού μεριδίου της κατοικίας είναι εβδομήντα (70) τ.μ., προσαυξανόμενα κατά είκοσι (20)τ.μ. για καθένα από τα δύο πρώτα τέκνα και κατά είκοσι πέντε (25) τ.μ. για το τρίτο και καθένα από τα επόμενατέκνα, των οποίων την επιμέλεια έχει ο δικαιούχος.</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Της απαλλαγής του αγάμου μπορεί να τύχει ο σύζυγος που βρίσκεται σε διάσταση και έχει καταθέσει αίτηση ή αγωγή διαζυγίου τουλάχιστον προ έξι (6) μηνών από το χρόνο της αιτία θανάτου κτήσης. Αν δεν λυθεί ο γάμος με διαζύγιο μέσα σε πέντε (5) έτη από την αιτία θανάτου κτήση,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Οι αιτία θανάτου κτήσεις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φορολογούνται αν αθροιστικώς: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αδελφοί ή εγγονοί του κληρονομουμένου.</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επιβοηθητικώς τα μέλη της οικογένειάς τους ή τρίτα πρόσωπα.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κληρονομιάς.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Κατά την εφαρμογή των προηγούμενων παραγράφων 2 και 3, αν ο φόρος που αναλογούσε στην έκταση που έτυχε της απαλλαγής κατά το χρόνο χορήγησης αυτής είναι μεγαλύτερος, οφείλεται ο μεγαλύτερος αυτός φόρος.</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για τη μεταβίβαση της κυριότητας ή τη σύσταση εμπραγμάτων δικαιωμάτων σε γεωργική ή κτηνοτροφική έκταση, η οποία δεν έχει υπαχθεί σε φόρο κατά την παράγραφο 1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Αν υπάρχουν συγκληρονόμοι μιας αγροτικής εκμετάλλευσης, εφόσον αυτοί, μέσα σε ένα (1) έτος από την αιτία θανάτου κτήση, μεταβιβάσουν με οποιαδήποτε αιτία την πλήρη κυριότητα ή την επικαρπία της εκμετάλλευσης σε έναν από αυτούς αγρότη, κατά την έννοια του άρθρου 1 του Ν. 2520/1997, ή αποδεχθούν με συμβολαιογραφικό έγγραφο την επί μια δεκαετία αποκλειστική διαχείριση της αγροτικής εκμετάλλευσης από έναν από αυτούς αγρότη, επιστρέφεται ο φόρος κληρονομιάς που επιμεριστικά αναλογεί στην αγροτική εκμετάλλευση και απαλλάσσεται από την επιβολή του οικείου φόρου η μεταβίβαση αυτή.</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αγρότης θα διαχειριστεί την κληρονομιαία έκταση για μια τουλάχιστον δεκαετία. Οι απαλλαγές αυτές αίρονται, αν ο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εμπραγμάτων δικαιωμάτων επ` αυτής ή μέσα σε προθεσμία τριάντα (30) ημερών από την παύση της διαχείρισης, να υποβάλουν τις οικείες δηλώσεις φόρου κληρονομιάς και δωρεάς ή γονικής παροχής ή μεταβίβασης με την κατά το χρόνο αυτόν αξία της αγροτικής εκμετάλλευσης. 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 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 Αν η παύση της διαχείρισης από τον αγρότη πριν από την παρέλευση δεκαετίας συνίσταται σε ανέγερση κτισμάτων που δεν εξυπηρετούντην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κληρονομιάς και δωρεάς, γονικής παροχής ή μεταβίβασης.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εφαρμόζονται ανάλογα οι διατάξεις που ισχύουν στις περιπτώσεις άρσης της απαλλαγής.</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και 27 υποβάλλεται σε φόρο, ο οποίος υπολογίζεται με βάση το άρθρο 29. Το ποσό που ορίζεται στην περίπτωση ζ` της παραγράφου 2 του άρθρου 25, το πρόσθετο αφορολόγητο των γεωργών που ορίζεται στην ενότητα Γ του άρθρου 26 και η ειδική έκπτωση του άρθρου 27 αφαιρούνται κατ` αρχήν από την αξία των κληρονομιαίων ακινήτων και, στην περίπτωση που η αξία των ακινήτων υπολείπεται των ποσών αυτών, αφαιρούνται κατά σειρά από την αξία των περιουσιακών στοιχείων των παραγράφων 3 και 4 του άρθρου 29.</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spacing w:before="240" w:after="240"/>
        <w:rPr>
          <w:lang w:val="el" w:eastAsia="el"/>
        </w:rPr>
      </w:pPr>
      <w:r>
        <w:rPr>
          <w:lang w:val="el" w:eastAsia="el"/>
        </w:rPr>
        <w:t xml:space="preserve">1 Οι δικαιούχοι της κτήσης, ανάλογα με τη συγγενική τους σχέση προς τον κληρονομούμενο, κατατάσσονται σε τρεις κατηγορίες Α`, Β` και Γ`. Στην Α`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 σύζυγος του κληρονομουμένου,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οι 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 </w:t>
      </w:r>
    </w:p>
    <w:p>
      <w:pPr>
        <w:pStyle w:val="StructureList1"/>
        <w:spacing w:before="120" w:after="0"/>
        <w:rPr>
          <w:lang w:val="el" w:eastAsia="el"/>
        </w:rPr>
      </w:pPr>
      <w:r>
        <w:rPr>
          <w:lang w:val="el" w:eastAsia="el"/>
        </w:rPr>
        <w:t>γ)</w:t>
      </w:r>
      <w:r>
        <w:rPr>
          <w:lang w:val="en" w:eastAsia="en"/>
        </w:rPr>
        <w:tab/>
      </w:r>
      <w:r>
        <w:rPr>
          <w:lang w:val="el" w:eastAsia="el"/>
        </w:rPr>
        <w:t xml:space="preserve">οι κατιόντες εξ αίματος δεύτερου βαθμού και </w:t>
      </w:r>
    </w:p>
    <w:p>
      <w:pPr>
        <w:pStyle w:val="StructureList1"/>
        <w:spacing w:before="120" w:after="0"/>
        <w:rPr>
          <w:lang w:val="el" w:eastAsia="el"/>
        </w:rPr>
      </w:pPr>
      <w:r>
        <w:rPr>
          <w:lang w:val="el" w:eastAsia="el"/>
        </w:rPr>
        <w:t>δ)</w:t>
      </w:r>
      <w:r>
        <w:rPr>
          <w:lang w:val="en" w:eastAsia="en"/>
        </w:rPr>
        <w:tab/>
      </w:r>
      <w:r>
        <w:rPr>
          <w:lang w:val="el" w:eastAsia="el"/>
        </w:rPr>
        <w:t xml:space="preserve">οι ανιόντες εξ αίματος πρώτου βαθμού. </w:t>
      </w:r>
    </w:p>
    <w:p>
      <w:pPr>
        <w:spacing w:before="240" w:after="240"/>
        <w:rPr>
          <w:lang w:val="el" w:eastAsia="el"/>
        </w:rPr>
      </w:pPr>
      <w:r>
        <w:rPr>
          <w:lang w:val="el" w:eastAsia="el"/>
        </w:rPr>
        <w:t xml:space="preserve">Στη Β`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οι κατιόντες τρίτου και επόμενων βαθμών, </w:t>
      </w:r>
    </w:p>
    <w:p>
      <w:pPr>
        <w:pStyle w:val="StructureList1"/>
        <w:spacing w:before="120" w:after="0"/>
        <w:rPr>
          <w:lang w:val="el" w:eastAsia="el"/>
        </w:rPr>
      </w:pPr>
      <w:r>
        <w:rPr>
          <w:lang w:val="el" w:eastAsia="el"/>
        </w:rPr>
        <w:t>β)</w:t>
      </w:r>
      <w:r>
        <w:rPr>
          <w:lang w:val="en" w:eastAsia="en"/>
        </w:rPr>
        <w:tab/>
      </w:r>
      <w:r>
        <w:rPr>
          <w:lang w:val="el" w:eastAsia="el"/>
        </w:rPr>
        <w:t xml:space="preserve">οι ανιόντες δεύτερου και επόμενων βαθμών, </w:t>
      </w:r>
    </w:p>
    <w:p>
      <w:pPr>
        <w:pStyle w:val="StructureList1"/>
        <w:spacing w:before="120" w:after="0"/>
        <w:rPr>
          <w:lang w:val="el" w:eastAsia="el"/>
        </w:rPr>
      </w:pPr>
      <w:r>
        <w:rPr>
          <w:lang w:val="el" w:eastAsia="el"/>
        </w:rPr>
        <w:t>γ)</w:t>
      </w:r>
      <w:r>
        <w:rPr>
          <w:lang w:val="en" w:eastAsia="en"/>
        </w:rPr>
        <w:tab/>
      </w:r>
      <w:r>
        <w:rPr>
          <w:lang w:val="el" w:eastAsia="el"/>
        </w:rPr>
        <w:t xml:space="preserve">εκούσια ή δικαστικά αναγνωρισθέντα τέκνα έναντι των ανιόντων του πατέρα που τα αναγνώρισε, </w:t>
      </w:r>
    </w:p>
    <w:p>
      <w:pPr>
        <w:pStyle w:val="StructureList1"/>
        <w:spacing w:before="120" w:after="0"/>
        <w:rPr>
          <w:lang w:val="el" w:eastAsia="el"/>
        </w:rPr>
      </w:pPr>
      <w:r>
        <w:rPr>
          <w:lang w:val="el" w:eastAsia="el"/>
        </w:rPr>
        <w:t>δ)</w:t>
      </w:r>
      <w:r>
        <w:rPr>
          <w:lang w:val="en" w:eastAsia="en"/>
        </w:rPr>
        <w:tab/>
      </w:r>
      <w:r>
        <w:rPr>
          <w:lang w:val="el" w:eastAsia="el"/>
        </w:rPr>
        <w:t xml:space="preserve">κατιόντες του αναγνωρισθέντος έναντι του αναγνωρίσαντος και των ανιόντων αυτού, </w:t>
      </w:r>
    </w:p>
    <w:p>
      <w:pPr>
        <w:pStyle w:val="StructureList1"/>
        <w:spacing w:before="120" w:after="0"/>
        <w:rPr>
          <w:lang w:val="el" w:eastAsia="el"/>
        </w:rPr>
      </w:pPr>
      <w:r>
        <w:rPr>
          <w:lang w:val="el" w:eastAsia="el"/>
        </w:rPr>
        <w:t>ε)</w:t>
      </w:r>
      <w:r>
        <w:rPr>
          <w:lang w:val="en" w:eastAsia="en"/>
        </w:rPr>
        <w:tab/>
      </w:r>
      <w:r>
        <w:rPr>
          <w:lang w:val="el" w:eastAsia="el"/>
        </w:rPr>
        <w:t xml:space="preserve">οι αδελφοί (αμφιθαλείς ή ετεροθαλείς), </w:t>
      </w:r>
    </w:p>
    <w:p>
      <w:pPr>
        <w:pStyle w:val="StructureList1"/>
        <w:spacing w:before="120" w:after="0"/>
        <w:rPr>
          <w:lang w:val="el" w:eastAsia="el"/>
        </w:rPr>
      </w:pPr>
      <w:r>
        <w:rPr>
          <w:lang w:val="el" w:eastAsia="el"/>
        </w:rPr>
        <w:t>στ)</w:t>
      </w:r>
      <w:r>
        <w:rPr>
          <w:lang w:val="en" w:eastAsia="en"/>
        </w:rPr>
        <w:tab/>
      </w:r>
      <w:r>
        <w:rPr>
          <w:lang w:val="el" w:eastAsia="el"/>
        </w:rPr>
        <w:t xml:space="preserve">οι συγγενείς εξ αίματος τρίτου βαθμού εκ πλαγίου, </w:t>
      </w:r>
    </w:p>
    <w:p>
      <w:pPr>
        <w:pStyle w:val="StructureList1"/>
        <w:spacing w:before="120" w:after="0"/>
        <w:rPr>
          <w:lang w:val="el" w:eastAsia="el"/>
        </w:rPr>
      </w:pPr>
      <w:r>
        <w:rPr>
          <w:lang w:val="el" w:eastAsia="el"/>
        </w:rPr>
        <w:t>ζ)</w:t>
      </w:r>
      <w:r>
        <w:rPr>
          <w:lang w:val="en" w:eastAsia="en"/>
        </w:rPr>
        <w:tab/>
      </w:r>
      <w:r>
        <w:rPr>
          <w:lang w:val="el" w:eastAsia="el"/>
        </w:rPr>
        <w:t xml:space="preserve">οι πατριοί και οι μητριές, </w:t>
      </w:r>
    </w:p>
    <w:p>
      <w:pPr>
        <w:pStyle w:val="StructureList1"/>
        <w:spacing w:before="120" w:after="0"/>
        <w:rPr>
          <w:lang w:val="el" w:eastAsia="el"/>
        </w:rPr>
      </w:pPr>
      <w:r>
        <w:rPr>
          <w:lang w:val="el" w:eastAsia="el"/>
        </w:rPr>
        <w:t>η)</w:t>
      </w:r>
      <w:r>
        <w:rPr>
          <w:lang w:val="en" w:eastAsia="en"/>
        </w:rPr>
        <w:tab/>
      </w:r>
      <w:r>
        <w:rPr>
          <w:lang w:val="el" w:eastAsia="el"/>
        </w:rPr>
        <w:t xml:space="preserve">τα τέκνα από προηγούμενο γάμο του συζύγου, </w:t>
      </w:r>
    </w:p>
    <w:p>
      <w:pPr>
        <w:pStyle w:val="StructureList1"/>
        <w:spacing w:before="120" w:after="0"/>
        <w:rPr>
          <w:lang w:val="el" w:eastAsia="el"/>
        </w:rPr>
      </w:pPr>
      <w:r>
        <w:rPr>
          <w:lang w:val="el" w:eastAsia="el"/>
        </w:rPr>
        <w:t>θ)</w:t>
      </w:r>
      <w:r>
        <w:rPr>
          <w:lang w:val="en" w:eastAsia="en"/>
        </w:rPr>
        <w:tab/>
      </w:r>
      <w:r>
        <w:rPr>
          <w:lang w:val="el" w:eastAsia="el"/>
        </w:rPr>
        <w:t xml:space="preserve">τα τέκνα εξ αγχιστείας (γαμπροί - νύφες) και </w:t>
      </w:r>
    </w:p>
    <w:p>
      <w:pPr>
        <w:pStyle w:val="StructureList1"/>
        <w:spacing w:before="120" w:after="0"/>
        <w:rPr>
          <w:lang w:val="el" w:eastAsia="el"/>
        </w:rPr>
      </w:pPr>
      <w:r>
        <w:rPr>
          <w:lang w:val="el" w:eastAsia="el"/>
        </w:rPr>
        <w:t>ι)</w:t>
      </w:r>
      <w:r>
        <w:rPr>
          <w:lang w:val="en" w:eastAsia="en"/>
        </w:rPr>
        <w:tab/>
      </w:r>
      <w:r>
        <w:rPr>
          <w:lang w:val="el" w:eastAsia="el"/>
        </w:rPr>
        <w:t xml:space="preserve">οι ανιόντες εξ αγχιστείας (πεθεροί - πεθερές). </w:t>
      </w:r>
    </w:p>
    <w:p>
      <w:pPr>
        <w:spacing w:before="240" w:after="240"/>
        <w:rPr>
          <w:lang w:val="el" w:eastAsia="el"/>
        </w:rPr>
      </w:pPr>
      <w:r>
        <w:rPr>
          <w:lang w:val="el" w:eastAsia="el"/>
        </w:rPr>
        <w:t>Στη Γ` κατηγορία υπάγεται οποιοσδήποτε άλλος εξ αίματος ή εξ αγχιστείας συγγενής του κληρονομουμένου ή εξωτικός.</w:t>
      </w:r>
    </w:p>
    <w:p>
      <w:pPr>
        <w:spacing w:before="240" w:after="240"/>
        <w:rPr>
          <w:lang w:val="el" w:eastAsia="el"/>
        </w:rPr>
      </w:pPr>
      <w:r>
        <w:rPr>
          <w:lang w:val="el" w:eastAsia="el"/>
        </w:rPr>
        <w:t>Σε περίπτωση υιοθεσίας, η κατάταξη στην οικεία κατηγορία του υιοθετηθέντος ή των συγγενών αυτού έναντι του υιοθετήσαντος ή των συγγενών αυτού γίνεται με βάση τη συγγενική σχέση που προκύπτει κατά τις διατάξεις του Αστικού Κώδικα. Κατ` εξαίρεση, ο προϊστάμενος της δημόσιας οικονομικής υπηρεσίας μπορεί, για τον υπολογισμό του φόρου, να μην λάβει υπόψη το βαθμό συγγένειας που προκύπτει από την υιοθεσία, όταν διαπιστώσει ότι αυτή έγινε προφανώς για καταστρατήγηση του παρόντος νόμου.</w:t>
      </w:r>
    </w:p>
    <w:p>
      <w:pPr>
        <w:spacing w:before="240" w:after="240"/>
        <w:rPr>
          <w:lang w:val="el" w:eastAsia="el"/>
        </w:rPr>
      </w:pPr>
      <w:r>
        <w:rPr>
          <w:lang w:val="el" w:eastAsia="el"/>
        </w:rPr>
        <w:t>Σε περιπτώσεις σχολάζουσας κληρονομιάς, ο φόρος υπολογίζεται στο σύνολο της αξίας της, με βάση τους συντελεστές της Γ` κατηγορίας του άρθρου αυτού, με την επιφύλαξη εφαρμογής του άρθρου 101 για νέα εκκαθάριση του φόρου.</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lang w:val="el" w:eastAsia="el"/>
        </w:rPr>
        <w:t xml:space="preserve"> Η αιτία θανάτου κτήση περιουσιακών στοιχείων, πλην αυτών που ορίζονται στις επόμενες παραγράφους 3 και 4, από κληρονόμους που υπάγονται στην Α` και Β` κατηγορία υπόκειται σε φόρο, ο οποίος υπολογίζεται με βάση τις εξής ανά κατηγορία φορολογικές κλίμακες:</w:t>
      </w:r>
      <w:r>
        <w:rPr>
          <w:rStyle w:val="Hyperlink"/>
          <w:color w:val="000000"/>
          <w:sz w:val="20"/>
          <w:szCs w:val="20"/>
          <w:u w:val="none" w:color="0000EE"/>
          <w:vertAlign w:val="superscript"/>
          <w:lang w:val="el" w:eastAsia="el"/>
        </w:rPr>
        <w:footnoteReference w:id="5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21"/>
        <w:gridCol w:w="1470"/>
        <w:gridCol w:w="1725"/>
        <w:gridCol w:w="1445"/>
        <w:gridCol w:w="1774"/>
        <w:gridCol w:w="13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lang w:val="el" w:eastAsia="el"/>
        </w:rPr>
        <w:t xml:space="preserve"> Η αιτία θανάτου κτήση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υπόκειται σε φόρο, ο οποίος υπολογίζεται αυτοτελώς με συντελεστή έξι δέκατα τοις εκατό (0,6%), προκειμένου για κληρονόμους που υπάγονται στην Α` κατηγορία, και με συντελεστή ένα και δύο δέκατα τοις εκατό (1,2%), προκειμένου για κληρονόμους που υπάγονται στη Β` κατηγορία. Η αιτία θανάτου κτήση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κληρονόμους που υπάγονται στην Α` κατηγορία, και με συντελεστή δύο και τέσσερα δέκατα τοις εκατό (2,4%),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4.</w:t>
      </w:r>
      <w:r>
        <w:rPr>
          <w:lang w:val="el" w:eastAsia="el"/>
        </w:rPr>
        <w:t xml:space="preserve"> Η αιτία θανάτου κτήση χρηματικών ποσών υπόκειται σε φόρο ο οποίος υπολογίζεται αυτοτελώς με συντελεστή δέκα τοις εκατό (10%), προκειμένου για κληρονόμους που υπάγονται στην Α` κατηγορία, και με συντελεστή είκοσι τοις εκατό (20%),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5.</w:t>
      </w:r>
      <w:r>
        <w:rPr>
          <w:lang w:val="el" w:eastAsia="el"/>
        </w:rPr>
        <w:t xml:space="preserve"> Όταν ο κληρονόμος ή κληροδόχος έχει αναπηρία κατά ποσοστό 67% και άνω, ο φόρος που αναλογεί κατά τις προηγούμενες παραγράφους μειώνεται κατά ποσοστό δέκα τοις εκατό (10%). 6.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6.</w:t>
      </w:r>
      <w:r>
        <w:rPr>
          <w:lang w:val="el" w:eastAsia="el"/>
        </w:rPr>
        <w:t xml:space="preserve">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7.</w:t>
      </w:r>
      <w:r>
        <w:rPr>
          <w:lang w:val="el" w:eastAsia="el"/>
        </w:rPr>
        <w:t xml:space="preserve"> Η αιτία θανάτου κτήση των κάθε φύσεως περιουσιακών στοιχείων από κληρονόμους που υπάγονται στη Γ` κατηγορία υπόκειται σε φόρο ο οποίος υπολογίζεται για κάθε κληρονομική μερίδα ή κληροδοσία με βάση την εξής φορολογική κλίμακα:</w:t>
      </w:r>
      <w:r>
        <w:rPr>
          <w:rStyle w:val="Hyperlink"/>
          <w:color w:val="000000"/>
          <w:sz w:val="20"/>
          <w:szCs w:val="20"/>
          <w:u w:val="none" w:color="0000EE"/>
          <w:vertAlign w:val="superscript"/>
          <w:lang w:val="el" w:eastAsia="el"/>
        </w:rPr>
        <w:footnoteReference w:id="6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Οταν ο κληρονόμος ή κληροδόχος έχει αναπηρία κατά ποσοστό 67% και άνω, ο φόρος που αναλογεί στη μέχρι εκατόν εξήντα πέντε χιλιάδων (165.000) ευρώ αξία της κληρονομικής μερίδας ή κληροδοσίας μειώνεται κατά ποσοστό 60%.</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Στο ποσό του φόρου που προκύπτει με βάση τις προηγούμενες παραγράφους περιλαμβάνονται και: α) ποσοστό 3% υπέρ των δήμων και κοινοτήτων, που προ βλέπεται από τις διατάξεις του άρθρου 50 του β.δ. 24/9-20.10.1958 (ΦΕΚ 171 Α`) και β) ποσοστό 7% που προβλέπεται από τις διατάξεις του άρθρου 7 του ν. 3155/1955 (ΦΕΚ 63 Α Η απόδοση των ποσοστών αυτών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9.</w:t>
      </w:r>
      <w:r>
        <w:rPr>
          <w:lang w:val="el" w:eastAsia="el"/>
        </w:rPr>
        <w:t xml:space="preserve"> Για τα περιουσιακά στοιχεία για τα οποία ο φόρος υπολογίζεται σύμφωνα με τις παραγράφους 3 και 4 του παρόντος άρθρου δεν έχουν εφαρμογή οι διατάξεις των άρθρων 4, 36 και 47 του νόμου αυτού.</w:t>
      </w:r>
      <w:r>
        <w:rPr>
          <w:rStyle w:val="Hyperlink"/>
          <w:color w:val="000000"/>
          <w:sz w:val="20"/>
          <w:szCs w:val="20"/>
          <w:u w:val="none" w:color="0000EE"/>
          <w:vertAlign w:val="superscript"/>
          <w:lang w:val="el" w:eastAsia="el"/>
        </w:rPr>
        <w:footnoteReference w:id="66"/>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σαν αυτές να είχαν φορολογηθεί ως δωρεές.</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lang w:val="el" w:eastAsia="el"/>
        </w:rPr>
        <w:t xml:space="preserve"> Σε δωρεές, γονικές παροχές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w:t>
      </w:r>
      <w:r>
        <w:rPr>
          <w:rStyle w:val="Hyperlink"/>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2"/>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συνένωση επικαρπίας ακινήτων ή κινητών γενικών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είτε από φυσικό είτε από νομικό πρόσωπο. Στις περιπτώσεις αυτές θεωρείται ότι η επικαρπία περιέρχεται στον κατά το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pStyle w:val="MainText"/>
        <w:spacing w:before="120" w:after="0"/>
        <w:rPr>
          <w:lang w:val="el" w:eastAsia="el"/>
        </w:rPr>
      </w:pPr>
      <w:r>
        <w:rPr>
          <w:b/>
          <w:bCs/>
          <w:lang w:val="el" w:eastAsia="el"/>
        </w:rPr>
        <w:t>6.</w:t>
      </w:r>
      <w:r>
        <w:rPr>
          <w:lang w:val="el" w:eastAsia="el"/>
        </w:rPr>
        <w:t xml:space="preserve"> Για την επιβολή του φόρου δεν θεωρείται δωρεά η κτήση περιουσίας που συνιστά εισόδημα κατά τις διατάξεις του Κώδικα Φορολογίας Εισοδήματος.</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w:t>
      </w:r>
    </w:p>
    <w:p>
      <w:pPr>
        <w:spacing w:before="240" w:after="240"/>
        <w:rPr>
          <w:lang w:val="el" w:eastAsia="el"/>
        </w:rPr>
      </w:pPr>
      <w:r>
        <w:rPr>
          <w:lang w:val="el" w:eastAsia="el"/>
        </w:rPr>
        <w:t>Στα πιο πάνω ποσά συνυπολογίζονται οι προγενέστερες δωρεές ή γονικές παροχές των γονέων προς τα τέκνα τους.</w:t>
      </w:r>
      <w:r>
        <w:rPr>
          <w:rStyle w:val="Hyperlink"/>
          <w:color w:val="000000"/>
          <w:sz w:val="20"/>
          <w:szCs w:val="20"/>
          <w:u w:val="none" w:color="0000EE"/>
          <w:vertAlign w:val="superscript"/>
          <w:lang w:val="el" w:eastAsia="el"/>
        </w:rPr>
        <w:footnoteReference w:id="75"/>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Προκειμένου για περιουσιακά στοιχεία δωρεάς ή γονικής παροχής, για την οποία η φορολογική υποχρέωση γεννιέται μετά το θάνατο του δωρεοδόχου ή του τέκνου, οι καθολικοί και ειδικοί διάδοχοι αυτών είναι υπόχρεοι και για το φόρο της δωρεάς ή της γονικής παροχής. Ο φόρος αυτός υπολογίζεται επί της αξίας των περιουσιακών αυτών στοιχείων, κατά το χρόνο γένεσης της φορολογικής υποχρέωσης, με εφαρμογή των φορολογικών συντελεστών της συγγενικής σχέσης του δωρεοδόχου ή του τέκνου που απεβίωσε προς το δωρητή ή το γονέα. </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στον προϊστάμενο της αρμόδιας Δ.Ο.Υ. οποτεδήποτε πριν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χρόνος γένεσης της φορολογικής υποχρέωσης είναι ο οριζόμενος στο παρόν άρθρο και στο άρθρο 39.</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9"/>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τον προσδιορισμό της αξίας,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6.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81"/>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p>
    <w:p>
      <w:pPr>
        <w:pStyle w:val="MainText"/>
        <w:spacing w:before="120" w:after="0"/>
        <w:rPr>
          <w:lang w:val="el" w:eastAsia="el"/>
        </w:rPr>
      </w:pPr>
      <w:r>
        <w:rPr>
          <w:b/>
          <w:bCs/>
          <w:lang w:val="el" w:eastAsia="el"/>
        </w:rPr>
        <w:t>1.</w:t>
      </w:r>
      <w:r>
        <w:rPr>
          <w:lang w:val="el" w:eastAsia="el"/>
        </w:rPr>
        <w:t xml:space="preserve"> Σε περίπτωση απόκτησης με γονική παροχή εξ ολο</w:t>
      </w:r>
      <w:r>
        <w:rPr>
          <w:lang w:val="el" w:eastAsia="el"/>
        </w:rPr>
        <w:softHyphen/>
        <w:t>κλήρου και κατά πλήρη κυριότητα, με τους όρους, τις προϋποθέσεις και τους περιορισμούς της ενότητας Α του άρθρου 26:</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διακό</w:t>
      </w:r>
      <w:r>
        <w:rPr>
          <w:lang w:val="el" w:eastAsia="el"/>
        </w:rPr>
        <w:softHyphen/>
        <w:t>σιες χιλιάδες (200.000) ευρώ για κάθε ενήλικο άγαμο δι</w:t>
      </w:r>
      <w:r>
        <w:rPr>
          <w:lang w:val="el" w:eastAsia="el"/>
        </w:rPr>
        <w:softHyphen/>
        <w:t>καιούχο. Το ποσό αυτό ανέρχεται σε διακόσιες πενήντα χιλιάδες (250.000) ευρώ, προκειμένου για έγγαμο και διαζευγμένο ή χήρο ή άγαμο γονέα, που έχουν την επι</w:t>
      </w:r>
      <w:r>
        <w:rPr>
          <w:lang w:val="el" w:eastAsia="el"/>
        </w:rPr>
        <w:softHyphen/>
        <w:t>μέλεια των τέκνων τους, και προσαυξάνεται κατά είκοσι πέντε χιλιάδες (25.000) ευρώ για καθένα από τα δύο πρώτα τέκνα αυτών και κατά τριάντα χιλιάδες (30.000)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w:t>
      </w:r>
      <w:r>
        <w:rPr>
          <w:lang w:val="en" w:eastAsia="en"/>
        </w:rPr>
        <w:tab/>
      </w:r>
      <w:r>
        <w:rPr>
          <w:lang w:val="el" w:eastAsia="el"/>
        </w:rPr>
        <w:t>οικοπέδου, δεν υπόκειται σε φόρο ποσό μέχρι πενή</w:t>
      </w:r>
      <w:r>
        <w:rPr>
          <w:lang w:val="el" w:eastAsia="el"/>
        </w:rPr>
        <w:softHyphen/>
        <w:t>ντα χιλιάδες (50.000) ευρώ για κάθε άγαμο δικαιούχο. Το ποσό αυτό ανέρχεται σε εκατό χιλιάδες (100.000) ευρώ, προκειμένου για έγγαμο και διαζευγμένο ή χήρο ή ά</w:t>
      </w:r>
      <w:r>
        <w:rPr>
          <w:lang w:val="el" w:eastAsia="el"/>
        </w:rPr>
        <w:softHyphen/>
        <w:t>γαμο γονέα, που έχουν την επιμέλεια των τέκνων τους, και προσαυξάνεται κατά δέκα χιλιάδες (10.000) ευρώ για καθένα από τα δύο πρώτα τέκνα αυτών και κατά δεκαπέ</w:t>
      </w:r>
      <w:r>
        <w:rPr>
          <w:lang w:val="el" w:eastAsia="el"/>
        </w:rPr>
        <w:softHyphen/>
        <w:t>ντε χιλιάδες (15.000) ευρώ για το τρίτο και καθένα από τα επόμενα τέκνα τους. Στο ποσό της απαλλαγής περι</w:t>
      </w:r>
      <w:r>
        <w:rPr>
          <w:lang w:val="el" w:eastAsia="el"/>
        </w:rPr>
        <w:softHyphen/>
        <w:t>λαμβάνεται και η αξία μιας θέσης στάθμευσης αυτοκινή</w:t>
      </w:r>
      <w:r>
        <w:rPr>
          <w:lang w:val="el" w:eastAsia="el"/>
        </w:rPr>
        <w:softHyphen/>
        <w:t>του και ενός αποθηκευτικού χώρου, για επιφάνεια εκά</w:t>
      </w:r>
      <w:r>
        <w:rPr>
          <w:lang w:val="el" w:eastAsia="el"/>
        </w:rPr>
        <w:softHyphen/>
        <w:t>στου έως είκοσι (20) τ.μ., εφόσον βρίσκονται στην ίδια οικοδομή και αποκτώνται ταυτόχρονα.</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Αν η κατοικία ή το οικόπεδο ανήκει από κοινού στους δύο γονείς, παρέχεται απαλλαγή, εφόσον η απόκτηση γίνεται ταυτόχρονα και με το ίδιο συμβολαιογραφικό έγγραφο.</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Εάν ο δικαιούχος της απαλλαγής ή ο σύζυγος ή τα ανήλικα τέκνα αυτού είναι κύριοι κατοικίας ή οικοπέδου ή ιδανικού μεριδίου αυτών και μεταβιβάσουν με επαχθή ή χαριστική αιτία την επικαρπία ή το δικαίωμα της οίκησης ή ιδανικό μερίδιο επί της κατοικίας ή του οικοπέδου, το εμβαδόν των οποίων πληρούσε κατά το χρόνο της με</w:t>
      </w:r>
      <w:r>
        <w:rPr>
          <w:lang w:val="el" w:eastAsia="el"/>
        </w:rPr>
        <w:softHyphen/>
        <w:t>ταβίβασης τις στεγαστικές τους ανάγκες, δεν παρέχεται απαλλαγή πριν την παρέλευση χρονικού διαστήματος πέντε (5) ετών από τη μεταβίβαση της επικαρπίας, της οίκησης ή του ιδανικού μεριδίου. Το ίδιο χρονικό διάστη</w:t>
      </w:r>
      <w:r>
        <w:rPr>
          <w:lang w:val="el" w:eastAsia="el"/>
        </w:rPr>
        <w:softHyphen/>
        <w:t>μα απαιτείται και όταν μεταβιβάζεται η ψιλή κυριότητα οικοπέδου ή ιδανικού μεριδίου αυτού.</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Β. Ειδικές περιπτώσεις δωρεών</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Οι διατάξεις της παραγράφου 3 του άρθρου 25 εφαρμόζονται ανάλογα και στις κτήσεις αιτία δωρεάς. Οι χρηματικές δωρεές προς τα νομικά πρόσωπα της παρα</w:t>
      </w:r>
      <w:r>
        <w:rPr>
          <w:lang w:val="el" w:eastAsia="el"/>
        </w:rPr>
        <w:softHyphen/>
        <w:t>γράφου 3 του άρθρου 25 υπόκεινται στο φόρο που προ</w:t>
      </w:r>
      <w:r>
        <w:rPr>
          <w:lang w:val="el" w:eastAsia="el"/>
        </w:rPr>
        <w:softHyphen/>
        <w:t>βλέπεται στην παράγραφο 5 του άρθρου 29 μετά την αφαίρεση αφορολόγητου ποσού χιλίων (1.000) ευρώ κατ' έτος.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Απαλλάσσονται από το φόρο δωρεάς και από την υ</w:t>
      </w:r>
      <w:r>
        <w:rPr>
          <w:lang w:val="el" w:eastAsia="el"/>
        </w:rPr>
        <w:softHyphen/>
        <w:t>ποχρέωση υποβολής των οικείων δηλώσεων φόρου:</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βα)</w:t>
      </w:r>
      <w:r>
        <w:rPr>
          <w:lang w:val="en" w:eastAsia="en"/>
        </w:rPr>
        <w:tab/>
      </w:r>
      <w:r>
        <w:rPr>
          <w:lang w:val="el" w:eastAsia="el"/>
        </w:rPr>
        <w:t>οι δωρεές χρηματικών ποσών ή άλλων κινητών περιουσιακών στοιχείων από ανώνυμους και μη δωρητές, εφόσον οι δωρεές αυτές διοργανώνονται σε πανελλαδι</w:t>
      </w:r>
      <w:r>
        <w:rPr>
          <w:lang w:val="el" w:eastAsia="el"/>
        </w:rPr>
        <w:softHyphen/>
        <w:t>κό επίπεδο με την πρωτοβουλία φορέων για σκοπούς αποδεδειγμένα φιλανθρωπικούς και</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ββ)</w:t>
      </w:r>
      <w:r>
        <w:rPr>
          <w:lang w:val="en" w:eastAsia="en"/>
        </w:rPr>
        <w:tab/>
      </w:r>
      <w:r>
        <w:rPr>
          <w:lang w:val="el" w:eastAsia="el"/>
        </w:rPr>
        <w:t>οι δωρεές των κάθε φύσεως περιουσιακών στοιχεί</w:t>
      </w:r>
      <w:r>
        <w:rPr>
          <w:lang w:val="el" w:eastAsia="el"/>
        </w:rPr>
        <w:softHyphen/>
        <w:t>ων που καταρτίζονται μεταξύ των εκκλησιαστικών πρόσωπων της περίπτωσης α' της παραγράφου 3 του άρθρου 25.</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βγ)</w:t>
      </w:r>
      <w:r>
        <w:rPr>
          <w:lang w:val="en" w:eastAsia="en"/>
        </w:rPr>
        <w:tab/>
      </w:r>
      <w:r>
        <w:rPr>
          <w:lang w:val="el" w:eastAsia="el"/>
        </w:rPr>
        <w:t>οι δωρεές χρηματικών ποσών ή άλλων κινητών περιουσιακών στοιχείων ή οποιωνδήποτε παροχών από ανώνυμους και μη δωρητές, οι οποίες πραγματοποιούνται για την ανακούφιση πληγέντων από σεισμό, πυρκαγιά ή πλημμύρα μέσα σε μία τριετία από την κήρυξη περιοχής σε κατάσταση έκτακτης ανάγκης πολιτικής προστασίας.</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StructureList1"/>
        <w:spacing w:before="120" w:after="0"/>
        <w:rPr>
          <w:lang w:val="el" w:eastAsia="el"/>
        </w:rPr>
      </w:pPr>
      <w:r>
        <w:rPr>
          <w:lang w:val="el" w:eastAsia="el"/>
        </w:rPr>
        <w:t>στ)</w:t>
      </w:r>
      <w:r>
        <w:rPr>
          <w:lang w:val="en" w:eastAsia="en"/>
        </w:rPr>
        <w:tab/>
      </w:r>
      <w:r>
        <w:rPr>
          <w:lang w:val="el" w:eastAsia="el"/>
        </w:rPr>
        <w:t>χρηματικά ποσά μέχρι ογδόντα χιλιάδες (80.000) ευρώ συνολικά ανά δικαιούχο, που καταβάλλονται, εφάπαξ ή περιοδικά, σε σύζυγο και ανήλικα τέκνα στρατιωτικού που απεβίωσε κατά την εκτέλεση διατεταγμένης υπηρεσίας συνεπαγόμενης επαυξημένο κίνδυνο και προδήλως και αναμφισβήτητα λόγω αυτής.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στ)</w:t>
      </w:r>
      <w:r>
        <w:rPr>
          <w:lang w:val="en" w:eastAsia="en"/>
        </w:rPr>
        <w:tab/>
      </w:r>
      <w:r>
        <w:rPr>
          <w:lang w:val="el" w:eastAsia="el"/>
        </w:rPr>
        <w:t>χρηματικά ποσά που καταβάλλονται από την 1η Ιανουαρίου 2015 έως τις 31 Δεκεμβρίου 2015 σε σύζυγο, τέκνα, γονείς και αδέλφια των προσώπων που απε- βίωσαν ή αγνοούνται λόγω του ναυαγίου του πλοίου Norman Atlantic, που έλαβε χώρα το Δεκέμβριο του 2014</w:t>
      </w:r>
      <w:r>
        <w:rPr>
          <w:rStyle w:val="Hyperlink"/>
          <w:color w:val="000000"/>
          <w:sz w:val="20"/>
          <w:szCs w:val="20"/>
          <w:u w:val="none" w:color="0000EE"/>
          <w:vertAlign w:val="superscript"/>
          <w:lang w:val="el" w:eastAsia="el"/>
        </w:rPr>
        <w:footnoteReference w:id="95"/>
      </w:r>
      <w:r>
        <w:rPr>
          <w:lang w:val="el" w:eastAsia="el"/>
        </w:rPr>
        <w:t>.</w:t>
      </w:r>
    </w:p>
    <w:p>
      <w:pPr>
        <w:pStyle w:val="StructureList1"/>
        <w:spacing w:before="120" w:after="0"/>
        <w:rPr>
          <w:lang w:val="el" w:eastAsia="el"/>
        </w:rPr>
      </w:pPr>
      <w:r>
        <w:rPr>
          <w:lang w:val="el" w:eastAsia="el"/>
        </w:rPr>
        <w:t>ζ)</w:t>
      </w:r>
      <w:r>
        <w:rPr>
          <w:lang w:val="en" w:eastAsia="en"/>
        </w:rPr>
        <w:tab/>
      </w:r>
      <w:r>
        <w:rPr>
          <w:lang w:val="el" w:eastAsia="el"/>
        </w:rPr>
        <w:t>οι δωρεές κινητών περιουσιακών στοιχείων που βρίσκονται στην αλλοδαπή και δεν έχουν αποκτηθεί κατά τα τελευταία δώδεκα (12) έτη στην ημεδαπή από Έλληνα υπήκοο, που είναι εγκατεστημένος στην αλλοδαπή για δέκα (10) τουλάχιστον συνεχόμενα έτη και, σε περίπτωση μετεγκατάστασής του στην Ελλάδα, δεν έχει παρέλθει διάστημα μεγαλύτερο των πέντε (5) ετών.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η)</w:t>
      </w:r>
      <w:r>
        <w:rPr>
          <w:lang w:val="en" w:eastAsia="en"/>
        </w:rPr>
        <w:tab/>
      </w:r>
      <w:r>
        <w:rPr>
          <w:lang w:val="el" w:eastAsia="el"/>
        </w:rPr>
        <w:t>δωρεές και εισφορές σε είδος ή χρήματα προς τον φορέα υλοποίησης δράσεων ανθρωπιστικής και αναπτυξιακής βοήθειας στο πλαίσιο των διεθνών δεσμεύσεων που έχει αναλάβει η Χώρα, εφόσον πραγματοποιούνται αποκλειστικά για την εκτέλεση των δράσεων αυτών.</w:t>
      </w:r>
      <w:r>
        <w:rPr>
          <w:rStyle w:val="Hyperlink"/>
          <w:color w:val="000000"/>
          <w:sz w:val="20"/>
          <w:szCs w:val="20"/>
          <w:u w:val="none" w:color="0000EE"/>
          <w:vertAlign w:val="superscript"/>
          <w:lang w:val="el" w:eastAsia="el"/>
        </w:rPr>
        <w:footnoteReference w:id="97"/>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αποκτάται αιτία δωρεάς ή γονικής παροχής, το οποίο απομένει μετά την αφαίρεση των εκπτώσεων των άρθρων 41 και 43, υποβάλλεται σε φόρο, ο οποίος υπολογίζεται σύμφωνα με τις διατάξεις του άρθρου 29, οι οποίες εφαρμόζονται ανάλογα. Από το φόρο που προκύπτει εκπίπτεται: α) ο φόρος που αναλογεί στις προγενέστερες δωρεές, γονικές παροχές ή προίκες, που συνυπολογίζονται σύμφωνα με το άρθρο 36, με ανάλογη εφαρμογή των διατάξεων του άρθρου 31 και β) ο φόρος που αποδεδειγμένα καταβλήθηκε ή οριστικά και τελεσίδικα βεβαιώθηκε στην αλλοδαπή για τις δωρεές ή γονικές παροχές κινητών που έγιναν εκεί, με ανάλογη εφαρμογή των διατάξεων του άρθρου 32.</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w:t>
      </w:r>
      <w:r>
        <w:rPr>
          <w:lang w:val="el" w:eastAsia="el"/>
        </w:rPr>
        <w:t xml:space="preserve"> Η αιτία δωρεάς ή γονικής παροχής κτήση χρηματικών ποσών υπόκειται σε φόρο, ο οποίος υπολογίζεται αυτοτελώς με συντελεστή δέκα τοις εκατό (10%), προκειμένου για δικαιούχους που υπάγονται στην Α` κατηγορία, με συντελεστή είκοσι τοις εκατό (20%), προκειμένου για δικαιούχους που υπάγονται στη Β` κατηγορία και με συντελεστή σαράντα τοις εκατό (40%), προκειμένου για δικαιούχους που υπάγονται στη Γ` κατηγορία. Δωρεά ή γονική παροχή χρηματικών ποσών από γονείς προς τα τέκνα τους υπόκειται σε φόρο κατά τα οριζόμενα στο άρθρο 29, εφόσον η δωρεά ή γονική παροχή πραγματοποιείται για την αγορά από αυτά πρώτης κατοικίας και τυγχάνει της απαλλαγής του άρθρου 1 του ν. 1078/1980 (Α` 238).</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3.</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ή γονικής παροχής, ο φόρος υπολογίζεται σε πεντακόσια (500) ευρώ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ή γονικής παροχής για τη μεταβίβαση δικαιωμάτων που απορρέουν από άδεια μεταλλευτικών ερευνών, υφίσταται μόνο εφόσον κατά την υπογραφή της σύμβασης έχουν προηγηθεί η υποβολή αίτησης για την παραχώρηση μεταλλείου και η σχετική εγγύηση κατά τις διατάξεις των άρθρων 44 και 47 του ν.δ. 210/1973 (ΦΕΚ 277 Α`).</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νησιών αυτών. Η φορολογική αυτή μείωση παρέχεται για γονικές παροχές που συνιστώνται μέχρι τις 18.2.2017.</w:t>
      </w:r>
      <w:r>
        <w:rPr>
          <w:rStyle w:val="Hyperlink"/>
          <w:color w:val="000000"/>
          <w:sz w:val="20"/>
          <w:szCs w:val="20"/>
          <w:u w:val="none" w:color="0000EE"/>
          <w:vertAlign w:val="superscript"/>
          <w:lang w:val="el" w:eastAsia="el"/>
        </w:rPr>
        <w:footnoteReference w:id="102"/>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3"/>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4"/>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5"/>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6"/>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7"/>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9"/>
      </w:r>
    </w:p>
    <w:p>
      <w:pPr>
        <w:pStyle w:val="Heading3"/>
        <w:spacing w:before="240" w:after="240"/>
        <w:rPr>
          <w:lang w:val="el" w:eastAsia="el"/>
        </w:rPr>
      </w:pPr>
      <w:r>
        <w:rPr>
          <w:rStyle w:val="hierarchy-num"/>
          <w:b/>
          <w:bCs/>
          <w:lang w:val="el" w:eastAsia="el"/>
        </w:rPr>
        <w:t xml:space="preserve">ΚΕΦΑΛΑΙΟ Β’ </w:t>
      </w:r>
      <w:r>
        <w:rPr>
          <w:rStyle w:val="Hyperlink"/>
          <w:color w:val="000000"/>
          <w:sz w:val="20"/>
          <w:szCs w:val="20"/>
          <w:u w:val="none" w:color="0000EE"/>
          <w:vertAlign w:val="superscript"/>
          <w:lang w:val="el" w:eastAsia="el"/>
        </w:rPr>
        <w:footnoteReference w:id="110"/>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2"/>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r>
        <w:rPr>
          <w:rStyle w:val="Hyperlink"/>
          <w:color w:val="000000"/>
          <w:sz w:val="20"/>
          <w:szCs w:val="20"/>
          <w:u w:val="none" w:color="0000EE"/>
          <w:vertAlign w:val="superscript"/>
          <w:lang w:val="el" w:eastAsia="el"/>
        </w:rPr>
        <w:footnoteReference w:id="113"/>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4"/>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5"/>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6"/>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w:t>
      </w:r>
    </w:p>
    <w:p>
      <w:pPr>
        <w:pStyle w:val="StructureList1"/>
        <w:spacing w:before="120" w:after="0"/>
        <w:rPr>
          <w:lang w:val="el" w:eastAsia="el"/>
        </w:rPr>
      </w:pPr>
      <w:r>
        <w:rPr>
          <w:lang w:val="el" w:eastAsia="el"/>
        </w:rPr>
        <w:t>α)</w:t>
      </w:r>
      <w:r>
        <w:rPr>
          <w:lang w:val="en" w:eastAsia="en"/>
        </w:rPr>
        <w:tab/>
      </w:r>
      <w:r>
        <w:rPr>
          <w:lang w:val="el" w:eastAsia="el"/>
        </w:rPr>
        <w:t>τα κέρδη από τα λαχεία, περιλαμβανομένου του αμοιβαίου λαχειοφόρου ιπποδρομιακού στοιχήματος (SWEEPSTAKE), που κυκλοφορούν στην Ελλάδα,</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β)</w:t>
      </w:r>
      <w:r>
        <w:rPr>
          <w:lang w:val="en" w:eastAsia="en"/>
        </w:rPr>
        <w:tab/>
      </w:r>
      <w:r>
        <w:rPr>
          <w:lang w:val="el" w:eastAsia="el"/>
        </w:rPr>
        <w:t>τα κέρδη από τα τυχερά παίγνια που εκμεταλλεύεται η ΟΠΑΠ Α.Ε., περιλαμβανομένων αυτών που διεξάγονται μέσω των παιγνιομηχανημάτων του άρθρου 39 του ν. 4002/2011,</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γ)</w:t>
      </w:r>
      <w:r>
        <w:rPr>
          <w:lang w:val="en" w:eastAsia="en"/>
        </w:rPr>
        <w:tab/>
      </w:r>
      <w:r>
        <w:rPr>
          <w:lang w:val="el" w:eastAsia="el"/>
        </w:rPr>
        <w:t>τα κέρδη από τα τυχερά παίγνια που διεξάγουν αδειοδοτημένοι πάροχοι δυνάμει του άρθρου 45 του ν. 4002/2011,</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δ)</w:t>
      </w:r>
      <w:r>
        <w:rPr>
          <w:lang w:val="en" w:eastAsia="en"/>
        </w:rPr>
        <w:tab/>
      </w:r>
      <w:r>
        <w:rPr>
          <w:lang w:val="el" w:eastAsia="el"/>
        </w:rPr>
        <w:t>τα κέρδη από αμοιβαίο ιπποδρομιακό στοίχημα που διεξάγουν αδειοδοτημένοι πάροχοι και</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ε)</w:t>
      </w:r>
      <w:r>
        <w:rPr>
          <w:lang w:val="en" w:eastAsia="en"/>
        </w:rPr>
        <w:tab/>
      </w:r>
      <w:r>
        <w:rPr>
          <w:lang w:val="el" w:eastAsia="el"/>
        </w:rPr>
        <w:t>τα κέρδη από τις λαχειοφόρες ομολογίες και τις λαχειοφόρες αγορές, τα οποία προκύπτουν από κληρώσεις που γίνονται στην Ελλάδα, καθώς και οι κάθε είδους παροχές που προσφέρονται σε όσους συμμετέχουν σε παιχνίδια ή διαγωνισμούς ραδιοφωνικούς, τηλεοπτικούς και λοιπούς παρεμφερείς οποιασδήποτε μορφής που διενεργούνται στην Ελλάδα.</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2.</w:t>
      </w:r>
      <w:r>
        <w:rPr>
          <w:lang w:val="el" w:eastAsia="el"/>
        </w:rPr>
        <w:t xml:space="preserve"> Υπόχρεος στο φόρο είναι ο δικαιούχος του κέρδους.</w:t>
      </w:r>
    </w:p>
    <w:p>
      <w:pPr>
        <w:pStyle w:val="MainText"/>
        <w:spacing w:before="120" w:after="0"/>
        <w:rPr>
          <w:lang w:val="el" w:eastAsia="el"/>
        </w:rPr>
      </w:pPr>
      <w:r>
        <w:rPr>
          <w:b/>
          <w:bCs/>
          <w:lang w:val="el" w:eastAsia="el"/>
        </w:rPr>
        <w:t>3.</w:t>
      </w:r>
      <w:r>
        <w:rPr>
          <w:lang w:val="el" w:eastAsia="el"/>
        </w:rPr>
        <w:t xml:space="preserve"> Η φορολογική υποχρέωση γεννάται κατά το χρόνο καταβολής του κέρδους ή της παροχής.</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αξία του, που εξευρίσκεται σύμφωνα με τα οριζόμενα στα άρθρα 9 έως και 16 και 18.</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5.</w:t>
      </w:r>
      <w:r>
        <w:rPr>
          <w:lang w:val="el" w:eastAsia="el"/>
        </w:rPr>
        <w:t xml:space="preserve"> Τα έσοδα από έπαθλα που λαμβάνουν ερασιτέχνες ιδιοκτήτες δρομώνων ίππων φορολογούνται αυτοτελώς με φορολογικό συντελεστή ύψους 15%. Φυσικό πρόσωπο που έχει στην ιδιοκτησία ή συνιδιο- κτησία του μέχρι πέντε (5) δρόμωνες ίππους ή ποσοστιαία μερίδια κυριότητας δρομώνων ίππων που αθροιστικά αποτελούν πέντε (5) δρόμωνες ίππους, τεκμαίρεται ότι ως προς τη δραστηριότητά του αυτή είναι ερασιτέχνης. Υπόχρεος παρακράτησης του φόρου ύψους 15% επί των επάθλων που αποδίδονται στους ερασιτέχνες ιδιοκτήτες αλόγων είναι ο Φορέας Ιπποδρομιών του ν. 4111/2013 (Α` 167) και μέχρι τη θέση του σε εκκαθάριση ο ΟΔΙΕ και οφείλει να τον αποδίδει το αργότερο μέχρι την τελευταία εργάσιμη ημέρα του δεύτερου μήνα από την ημερομηνία καταβολής των επάθλων στο Ελληνικό Δημόσιο. Οι κύριοι δρομώνων ίππων που δεν είναι ερασιτέχνες φορολογούνται για τη δραστηριότητα τους αυτή σύμφωνα με τις διατάξεις του Κώδικα Φορολογίας Εισοδήματος (ν. 4172/2013).</w:t>
      </w:r>
      <w:r>
        <w:rPr>
          <w:rStyle w:val="Hyperlink"/>
          <w:color w:val="000000"/>
          <w:sz w:val="20"/>
          <w:szCs w:val="20"/>
          <w:u w:val="none" w:color="0000EE"/>
          <w:vertAlign w:val="superscript"/>
          <w:lang w:val="el" w:eastAsia="el"/>
        </w:rPr>
        <w:footnoteReference w:id="124"/>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pStyle w:val="MainText"/>
        <w:spacing w:before="120" w:after="0"/>
        <w:rPr>
          <w:lang w:val="el" w:eastAsia="el"/>
        </w:rPr>
      </w:pPr>
      <w:r>
        <w:rPr>
          <w:b/>
          <w:bCs/>
          <w:lang w:val="el" w:eastAsia="el"/>
        </w:rPr>
        <w:t>1.</w:t>
      </w:r>
      <w:r>
        <w:rPr>
          <w:lang w:val="el" w:eastAsia="el"/>
        </w:rPr>
        <w:t xml:space="preserve"> Δεν φορολογούνται τα κέρδη από λαχειοφόρες ομολογίες, που με ειδικούς νόμους εξαιρούνται από τη φορολογία.</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2.</w:t>
      </w:r>
      <w:r>
        <w:rPr>
          <w:lang w:val="el" w:eastAsia="el"/>
        </w:rPr>
        <w:t xml:space="preserve"> Απαλλάσσονται από το φόρο τα χρηματικά ή κάθε είδους έπαθλα που προσφέρονται μέσω προγράμματος δημοσίων κληρώσεων στους τυχερούς που πραγματοποιούν συναλλαγές με τη χρήση μέσων πληρωμής με κάρτα ή με άλλο ηλεκτρονικό μέσο πληρωμής, για την αγορά αγαθών ή τη λήψη υπηρεσιών, σύμφωνα με τα οριζόμενα στο άρθρο 70 του ν. 4446/2016.</w:t>
      </w:r>
      <w:r>
        <w:rPr>
          <w:rStyle w:val="Hyperlink"/>
          <w:color w:val="000000"/>
          <w:sz w:val="20"/>
          <w:szCs w:val="20"/>
          <w:u w:val="none" w:color="0000EE"/>
          <w:vertAlign w:val="superscript"/>
          <w:lang w:val="el" w:eastAsia="el"/>
        </w:rPr>
        <w:footnoteReference w:id="126"/>
      </w:r>
      <w:r>
        <w:rPr>
          <w:lang w:val="el" w:eastAsia="el"/>
        </w:rPr>
        <w:t>.</w:t>
      </w:r>
    </w:p>
    <w:p>
      <w:pPr>
        <w:pStyle w:val="Heading6"/>
        <w:spacing w:before="240" w:after="240"/>
        <w:rPr>
          <w:lang w:val="el" w:eastAsia="el"/>
        </w:rPr>
      </w:pPr>
      <w:r>
        <w:rPr>
          <w:rStyle w:val="article-num"/>
          <w:b/>
          <w:bCs/>
          <w:lang w:val="el" w:eastAsia="el"/>
        </w:rPr>
        <w:t>Άρθρο 60</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w:t>
      </w:r>
      <w:r>
        <w:rPr>
          <w:b/>
          <w:bCs/>
          <w:lang w:val="el" w:eastAsia="el"/>
        </w:rPr>
        <w:t xml:space="preserve"> Τα κέρδη που ορίζονται στην περίπτωση α` της παραγράφου 1 του άρθρου 58 υποβάλλονται σε φόρο ανά γραμμάτιο λαχείου, μετά την αφαίρεση αφορολόγητου ποσού εκατό (100) ευρώ, με συντελεστή δέκα τοις εκατό (10%) για κέρδη μέχρι χίλια (1.000) ευρώ και με συντελεστή δεκαπέντε τοις εκατό (15%) για κέρδη από χίλια ευρώ και ένα λεπτό (1.000,01) και πάνω.</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w:t>
      </w:r>
      <w:r>
        <w:rPr>
          <w:b/>
          <w:bCs/>
          <w:lang w:val="el" w:eastAsia="el"/>
        </w:rPr>
        <w:t xml:space="preserve"> Τα κέρδη που ορίζονται στις περ. β`, γ` και δ` της παρ. 1 του άρθρου 58, στα τυχερά παίγνια που διεξάγονται με στήλες, υποβάλλονται σε φόρο ανά δελτίο παιχνιδιού, σύμφωνα με την ακόλουθη κλίμακα:</w:t>
      </w:r>
      <w:r>
        <w:rPr>
          <w:rStyle w:val="Hyperlink"/>
          <w:b/>
          <w:bCs/>
          <w:color w:val="000000"/>
          <w:sz w:val="20"/>
          <w:szCs w:val="20"/>
          <w:u w:val="none" w:color="0000EE"/>
          <w:vertAlign w:val="superscript"/>
          <w:lang w:val="el" w:eastAsia="el"/>
        </w:rPr>
        <w:footnoteReference w:id="129"/>
      </w:r>
    </w:p>
    <w:p>
      <w:pPr>
        <w:spacing w:before="240" w:after="240"/>
        <w:rPr>
          <w:lang w:val="el" w:eastAsia="el"/>
        </w:rPr>
      </w:pPr>
      <w:r>
        <w:rPr>
          <w:b/>
          <w:bCs/>
          <w:lang w:val="el" w:eastAsia="el"/>
        </w:rPr>
        <w:t>Κέρδη ανά δελτίο ΠΟΣΟΣΤΟ ΚΛΙΜΑΚΑΣ</w:t>
      </w:r>
    </w:p>
    <w:p>
      <w:pPr>
        <w:spacing w:before="240" w:after="240"/>
        <w:rPr>
          <w:lang w:val="el" w:eastAsia="el"/>
        </w:rPr>
      </w:pPr>
      <w:r>
        <w:rPr>
          <w:b/>
          <w:bCs/>
          <w:lang w:val="el" w:eastAsia="el"/>
        </w:rPr>
        <w:t>0-100 0,0%</w:t>
      </w:r>
    </w:p>
    <w:p>
      <w:pPr>
        <w:spacing w:before="240" w:after="240"/>
        <w:rPr>
          <w:lang w:val="el" w:eastAsia="el"/>
        </w:rPr>
      </w:pPr>
      <w:r>
        <w:rPr>
          <w:b/>
          <w:bCs/>
          <w:lang w:val="el" w:eastAsia="el"/>
        </w:rPr>
        <w:t>100,01-200 2,5%</w:t>
      </w:r>
    </w:p>
    <w:p>
      <w:pPr>
        <w:spacing w:before="240" w:after="240"/>
        <w:rPr>
          <w:lang w:val="el" w:eastAsia="el"/>
        </w:rPr>
      </w:pPr>
      <w:r>
        <w:rPr>
          <w:b/>
          <w:bCs/>
          <w:lang w:val="el" w:eastAsia="el"/>
        </w:rPr>
        <w:t>200,01-500 5,0%</w:t>
      </w:r>
    </w:p>
    <w:p>
      <w:pPr>
        <w:spacing w:before="240" w:after="240"/>
        <w:rPr>
          <w:lang w:val="el" w:eastAsia="el"/>
        </w:rPr>
      </w:pPr>
      <w:r>
        <w:rPr>
          <w:b/>
          <w:bCs/>
          <w:lang w:val="el" w:eastAsia="el"/>
        </w:rPr>
        <w:t>&gt; 500 7,5%</w:t>
      </w:r>
    </w:p>
    <w:p>
      <w:pPr>
        <w:spacing w:before="240" w:after="240"/>
        <w:rPr>
          <w:lang w:val="el" w:eastAsia="el"/>
        </w:rPr>
      </w:pPr>
      <w:r>
        <w:rPr>
          <w:b/>
          <w:bCs/>
          <w:lang w:val="el" w:eastAsia="el"/>
        </w:rPr>
        <w:t>Ποσοστό των εσόδων από την ανωτέρω κατηγορία φόρων χρησιμοποιείται για την χρηματοδότηση αθλητικών ομάδων, κατόπιν κοινής απόφασης των Υπουργών Οικονομικών και Πολιτισμού και Αθλητισμού. Με την ίδια απόφαση δύναται να καθορίζονται οι δικαιούχοι, ο τρόπος κατανομής της εν λόγω χρηματοδότησης και κάθε άλλη αναγκαία λεπτομέρεια.</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3.</w:t>
      </w:r>
      <w:r>
        <w:rPr>
          <w:b/>
          <w:bCs/>
          <w:lang w:val="el" w:eastAsia="el"/>
        </w:rPr>
        <w:t xml:space="preserve"> Τα κέρδη και οι παροχές που ορίζονται στην περίπτωση ε` της παραγράφου 1 του άρθρου 58 υποβάλλονται σε φόρο με συντελεστή είκοσι τοις εκατό (20%) μετά την αφαίρεση αφορολόγητου ποσού χιλίων (1.000) ευρώ ανά αντικείμενο.</w:t>
      </w:r>
      <w:r>
        <w:rPr>
          <w:rStyle w:val="Hyperlink"/>
          <w:b/>
          <w:bCs/>
          <w:color w:val="000000"/>
          <w:sz w:val="20"/>
          <w:szCs w:val="20"/>
          <w:u w:val="none" w:color="0000EE"/>
          <w:vertAlign w:val="superscript"/>
          <w:lang w:val="el" w:eastAsia="el"/>
        </w:rPr>
        <w:footnoteReference w:id="131"/>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Υπόχρεοι σε δήλωση (...)</w:t>
      </w:r>
      <w:r>
        <w:rPr>
          <w:rStyle w:val="Hyperlink"/>
          <w:b/>
          <w:bCs/>
          <w:color w:val="000000"/>
          <w:sz w:val="20"/>
          <w:szCs w:val="20"/>
          <w:u w:val="none" w:color="0000EE"/>
          <w:vertAlign w:val="superscript"/>
          <w:lang w:val="el" w:eastAsia="el"/>
        </w:rPr>
        <w:footnoteReference w:id="132"/>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b/>
          <w:bCs/>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b/>
          <w:bCs/>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b/>
          <w:bCs/>
          <w:lang w:val="el" w:eastAsia="el"/>
        </w:rPr>
        <w:t xml:space="preserve"> Σε περίπτωση θανάτου του υπόχρεου προς δήλωση περιουσιακών στοιχείων, για τα οποία μετατίθεται από το νόμο ο χρόνος γένεσης της φορολογικής υποχρέωσης, οι κληρονόμοι αυτού έχουν υποχρέωση προς δήλωση για τα περιουσιακά αυτά στοιχεία και για το φόρο κληρονομίας της αιτία θανάτου κτήσης του αρχικού υποχρέου.</w:t>
      </w:r>
    </w:p>
    <w:p>
      <w:pPr>
        <w:pStyle w:val="MainText"/>
        <w:spacing w:before="120" w:after="0"/>
        <w:rPr>
          <w:lang w:val="el" w:eastAsia="el"/>
        </w:rPr>
      </w:pPr>
      <w:r>
        <w:rPr>
          <w:b/>
          <w:bCs/>
          <w:lang w:val="el" w:eastAsia="el"/>
        </w:rPr>
        <w:t>5.</w:t>
      </w:r>
      <w:r>
        <w:rPr>
          <w:b/>
          <w:bCs/>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b/>
          <w:bCs/>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b/>
          <w:bCs/>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b/>
          <w:bCs/>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10.</w:t>
      </w:r>
      <w:r>
        <w:rPr>
          <w:b/>
          <w:bCs/>
          <w:lang w:val="el" w:eastAsia="el"/>
        </w:rPr>
        <w:t xml:space="preserve"> Εάν συντάσσεται συμβολαιογραφικό έγγραφο, η δήλωση συμπληρώνεται από τον συμβολαιογράφο που θα καταρτίσει τη συμβολαιογραφική πράξη.</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11.</w:t>
      </w:r>
      <w:r>
        <w:rPr>
          <w:b/>
          <w:bCs/>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r>
        <w:rPr>
          <w:rStyle w:val="Hyperlink"/>
          <w:b/>
          <w:bCs/>
          <w:color w:val="000000"/>
          <w:sz w:val="20"/>
          <w:szCs w:val="20"/>
          <w:u w:val="none" w:color="0000EE"/>
          <w:vertAlign w:val="superscript"/>
          <w:lang w:val="el" w:eastAsia="el"/>
        </w:rPr>
        <w:footnoteReference w:id="134"/>
      </w:r>
    </w:p>
    <w:p>
      <w:pPr>
        <w:spacing w:before="240" w:after="240"/>
        <w:rPr>
          <w:lang w:val="el" w:eastAsia="el"/>
        </w:rPr>
      </w:pPr>
      <w:r>
        <w:rPr>
          <w:b/>
          <w:bCs/>
          <w:lang w:val="el" w:eastAsia="el"/>
        </w:rPr>
        <w:t>Β. (...)</w:t>
      </w:r>
      <w:r>
        <w:rPr>
          <w:rStyle w:val="Hyperlink"/>
          <w:b/>
          <w:bCs/>
          <w:color w:val="000000"/>
          <w:sz w:val="20"/>
          <w:szCs w:val="20"/>
          <w:u w:val="none" w:color="0000EE"/>
          <w:vertAlign w:val="superscript"/>
          <w:lang w:val="el" w:eastAsia="el"/>
        </w:rPr>
        <w:footnoteReference w:id="135"/>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εννέα (9) μήνες αν ο κληρονομούμενος απεβίωσε στην ημεδαπή και</w:t>
      </w:r>
      <w:r>
        <w:rPr>
          <w:rStyle w:val="Hyperlink"/>
          <w:b/>
          <w:bCs/>
          <w:color w:val="000000"/>
          <w:sz w:val="20"/>
          <w:szCs w:val="20"/>
          <w:u w:val="none" w:color="0000EE"/>
          <w:vertAlign w:val="superscript"/>
          <w:lang w:val="el" w:eastAsia="el"/>
        </w:rPr>
        <w:footnoteReference w:id="136"/>
      </w:r>
    </w:p>
    <w:p>
      <w:pPr>
        <w:pStyle w:val="StructureList1"/>
        <w:spacing w:before="120" w:after="0"/>
        <w:rPr>
          <w:lang w:val="el" w:eastAsia="el"/>
        </w:rPr>
      </w:pPr>
      <w:r>
        <w:rPr>
          <w:b/>
          <w:bCs/>
          <w:lang w:val="el" w:eastAsia="el"/>
        </w:rPr>
        <w:t>β)</w:t>
      </w:r>
      <w:r>
        <w:rPr>
          <w:b/>
          <w:bCs/>
          <w:lang w:val="en" w:eastAsia="en"/>
        </w:rPr>
        <w:tab/>
      </w:r>
      <w:r>
        <w:rPr>
          <w:b/>
          <w:bCs/>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b/>
          <w:bCs/>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b/>
          <w:bCs/>
          <w:lang w:val="el" w:eastAsia="el"/>
        </w:rPr>
        <w:t xml:space="preserve"> Η προθεσμία για την υποβολή δήλωσης αρχίζει:</w:t>
      </w:r>
    </w:p>
    <w:p>
      <w:pPr>
        <w:pStyle w:val="StructureList1"/>
        <w:spacing w:before="120" w:after="0"/>
        <w:rPr>
          <w:lang w:val="el" w:eastAsia="el"/>
        </w:rPr>
      </w:pPr>
      <w:r>
        <w:rPr>
          <w:b/>
          <w:bCs/>
          <w:lang w:val="el" w:eastAsia="el"/>
        </w:rPr>
        <w:t>α)</w:t>
      </w:r>
      <w:r>
        <w:rPr>
          <w:b/>
          <w:bCs/>
          <w:lang w:val="en" w:eastAsia="en"/>
        </w:rPr>
        <w:tab/>
      </w:r>
      <w:r>
        <w:rPr>
          <w:b/>
          <w:bCs/>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τον χρόνο που ορίζεται κάθε φορά στο άρθρο 7.</w:t>
      </w:r>
      <w:r>
        <w:rPr>
          <w:rStyle w:val="Hyperlink"/>
          <w:b/>
          <w:bCs/>
          <w:color w:val="000000"/>
          <w:sz w:val="20"/>
          <w:szCs w:val="20"/>
          <w:u w:val="none" w:color="0000EE"/>
          <w:vertAlign w:val="superscript"/>
          <w:lang w:val="el" w:eastAsia="el"/>
        </w:rPr>
        <w:footnoteReference w:id="137"/>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b/>
          <w:bCs/>
          <w:lang w:val="el" w:eastAsia="el"/>
        </w:rPr>
        <w:t>ε)</w:t>
      </w:r>
      <w:r>
        <w:rPr>
          <w:b/>
          <w:bCs/>
          <w:lang w:val="en" w:eastAsia="en"/>
        </w:rPr>
        <w:tab/>
      </w:r>
      <w:r>
        <w:rPr>
          <w:b/>
          <w:bCs/>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b/>
          <w:bCs/>
          <w:lang w:val="el" w:eastAsia="el"/>
        </w:rPr>
        <w:t>στ)</w:t>
      </w:r>
      <w:r>
        <w:rPr>
          <w:b/>
          <w:bCs/>
          <w:lang w:val="en" w:eastAsia="en"/>
        </w:rPr>
        <w:tab/>
      </w:r>
      <w:r>
        <w:rPr>
          <w:b/>
          <w:bCs/>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b/>
          <w:bCs/>
          <w:lang w:val="el" w:eastAsia="el"/>
        </w:rPr>
        <w:t>ζ)</w:t>
      </w:r>
      <w:r>
        <w:rPr>
          <w:b/>
          <w:bCs/>
          <w:lang w:val="en" w:eastAsia="en"/>
        </w:rPr>
        <w:tab/>
      </w:r>
      <w:r>
        <w:rPr>
          <w:b/>
          <w:bCs/>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2.</w:t>
      </w:r>
      <w:r>
        <w:rPr>
          <w:b/>
          <w:bCs/>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139"/>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b/>
          <w:bCs/>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b/>
          <w:bCs/>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b/>
          <w:bCs/>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b/>
          <w:bCs/>
          <w:lang w:val="el" w:eastAsia="el"/>
        </w:rPr>
        <w:t>β)</w:t>
      </w:r>
      <w:r>
        <w:rPr>
          <w:b/>
          <w:bCs/>
          <w:lang w:val="en" w:eastAsia="en"/>
        </w:rPr>
        <w:tab/>
      </w:r>
      <w:r>
        <w:rPr>
          <w:b/>
          <w:bCs/>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b/>
          <w:bCs/>
          <w:lang w:val="el" w:eastAsia="el"/>
        </w:rPr>
        <w:t>γ)</w:t>
      </w:r>
      <w:r>
        <w:rPr>
          <w:b/>
          <w:bCs/>
          <w:lang w:val="en" w:eastAsia="en"/>
        </w:rPr>
        <w:tab/>
      </w:r>
      <w:r>
        <w:rPr>
          <w:b/>
          <w:bCs/>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b/>
          <w:bCs/>
          <w:lang w:val="el" w:eastAsia="el"/>
        </w:rPr>
        <w:t>αα)</w:t>
      </w:r>
      <w:r>
        <w:rPr>
          <w:b/>
          <w:bCs/>
          <w:lang w:val="en" w:eastAsia="en"/>
        </w:rPr>
        <w:tab/>
      </w:r>
      <w:r>
        <w:rPr>
          <w:b/>
          <w:bCs/>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b/>
          <w:bCs/>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εν ζωή και οι γονικές παροχές που έγιναν από τον κληρονομούμενο προς τους κληρονόμους και κληροδόχους που συστάθηκαν υπέρ αυτών.</w:t>
      </w:r>
      <w:r>
        <w:rPr>
          <w:rStyle w:val="Hyperlink"/>
          <w:b/>
          <w:bCs/>
          <w:color w:val="000000"/>
          <w:sz w:val="20"/>
          <w:szCs w:val="20"/>
          <w:u w:val="none" w:color="0000EE"/>
          <w:vertAlign w:val="superscript"/>
          <w:lang w:val="el" w:eastAsia="el"/>
        </w:rPr>
        <w:footnoteReference w:id="140"/>
      </w:r>
    </w:p>
    <w:p>
      <w:pPr>
        <w:pStyle w:val="StructureList1"/>
        <w:spacing w:before="120" w:after="0"/>
        <w:rPr>
          <w:lang w:val="el" w:eastAsia="el"/>
        </w:rPr>
      </w:pPr>
      <w:r>
        <w:rPr>
          <w:b/>
          <w:bCs/>
          <w:lang w:val="el" w:eastAsia="el"/>
        </w:rPr>
        <w:t>ε)</w:t>
      </w:r>
      <w:r>
        <w:rPr>
          <w:b/>
          <w:bCs/>
          <w:lang w:val="en" w:eastAsia="en"/>
        </w:rPr>
        <w:tab/>
      </w:r>
      <w:r>
        <w:rPr>
          <w:b/>
          <w:bCs/>
          <w:lang w:val="el" w:eastAsia="el"/>
        </w:rPr>
        <w:t>Τα χρέη και βάρη της κληρονομίας.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επικαρπίες τις οποίες ασκούσε ο κληρονομούμενος.</w:t>
      </w:r>
    </w:p>
    <w:p>
      <w:pPr>
        <w:pStyle w:val="StructureList1"/>
        <w:spacing w:before="120" w:after="0"/>
        <w:rPr>
          <w:lang w:val="el" w:eastAsia="el"/>
        </w:rPr>
      </w:pPr>
      <w:r>
        <w:rPr>
          <w:b/>
          <w:bCs/>
          <w:lang w:val="el" w:eastAsia="el"/>
        </w:rPr>
        <w:t>ζ)</w:t>
      </w:r>
      <w:r>
        <w:rPr>
          <w:b/>
          <w:bCs/>
          <w:lang w:val="en" w:eastAsia="en"/>
        </w:rPr>
        <w:tab/>
      </w:r>
      <w:r>
        <w:rPr>
          <w:b/>
          <w:bCs/>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που συστάθηκαν προς αυτόν.</w:t>
      </w:r>
      <w:r>
        <w:rPr>
          <w:rStyle w:val="Hyperlink"/>
          <w:b/>
          <w:bCs/>
          <w:color w:val="000000"/>
          <w:sz w:val="20"/>
          <w:szCs w:val="20"/>
          <w:u w:val="none" w:color="0000EE"/>
          <w:vertAlign w:val="superscript"/>
          <w:lang w:val="el" w:eastAsia="el"/>
        </w:rPr>
        <w:footnoteReference w:id="141"/>
      </w:r>
    </w:p>
    <w:p>
      <w:pPr>
        <w:pStyle w:val="StructureList1"/>
        <w:spacing w:before="120" w:after="0"/>
        <w:rPr>
          <w:lang w:val="el" w:eastAsia="el"/>
        </w:rPr>
      </w:pPr>
      <w:r>
        <w:rPr>
          <w:b/>
          <w:bCs/>
          <w:lang w:val="el" w:eastAsia="el"/>
        </w:rPr>
        <w:t>η)</w:t>
      </w:r>
      <w:r>
        <w:rPr>
          <w:b/>
          <w:bCs/>
          <w:lang w:val="en" w:eastAsia="en"/>
        </w:rPr>
        <w:tab/>
      </w:r>
      <w:r>
        <w:rPr>
          <w:b/>
          <w:bCs/>
          <w:lang w:val="el" w:eastAsia="el"/>
        </w:rPr>
        <w:t>Ο αριθμός φορολογικού μητρώου του υπόχρεου σε φόρο και του κληρονομούμενου.</w:t>
      </w:r>
      <w:r>
        <w:rPr>
          <w:rStyle w:val="Hyperlink"/>
          <w:b/>
          <w:bCs/>
          <w:color w:val="000000"/>
          <w:sz w:val="20"/>
          <w:szCs w:val="20"/>
          <w:u w:val="none" w:color="0000EE"/>
          <w:vertAlign w:val="superscript"/>
          <w:lang w:val="el" w:eastAsia="el"/>
        </w:rPr>
        <w:footnoteReference w:id="142"/>
      </w:r>
    </w:p>
    <w:p>
      <w:pPr>
        <w:spacing w:before="240" w:after="240"/>
        <w:rPr>
          <w:lang w:val="el" w:eastAsia="el"/>
        </w:rPr>
      </w:pPr>
      <w:r>
        <w:rPr>
          <w:b/>
          <w:bCs/>
          <w:lang w:val="el" w:eastAsia="el"/>
        </w:rPr>
        <w:t>Οι υπόχρεοι σε δήλωση υποχρεούνται να προσκομίσουν στον συμβολαιογράφο όλα τα αναγκαία στοιχεία που απαιτούνται για την ορθή σύνταξη της δήλωσης από αυτόν και στην αρμόδια υπηρεσία της Φορολογικής Διοίκησης τα νόμιμα δικαιολογητικά.</w:t>
      </w:r>
      <w:r>
        <w:rPr>
          <w:rStyle w:val="Hyperlink"/>
          <w:b/>
          <w:bCs/>
          <w:color w:val="000000"/>
          <w:sz w:val="20"/>
          <w:szCs w:val="20"/>
          <w:u w:val="none" w:color="0000EE"/>
          <w:vertAlign w:val="superscript"/>
          <w:lang w:val="el" w:eastAsia="el"/>
        </w:rPr>
        <w:footnoteReference w:id="143"/>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b/>
          <w:bCs/>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b/>
          <w:bCs/>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b/>
          <w:bCs/>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b/>
          <w:bCs/>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b/>
          <w:bCs/>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b/>
          <w:bCs/>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b/>
          <w:bCs/>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b/>
          <w:bCs/>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b/>
          <w:bCs/>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b/>
          <w:bCs/>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b/>
          <w:bCs/>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b/>
          <w:bCs/>
          <w:lang w:val="el" w:eastAsia="el"/>
        </w:rPr>
        <w:t>μέρει.</w:t>
      </w:r>
    </w:p>
    <w:p>
      <w:pPr>
        <w:pStyle w:val="MainText"/>
        <w:spacing w:before="120" w:after="0"/>
        <w:rPr>
          <w:lang w:val="el" w:eastAsia="el"/>
        </w:rPr>
      </w:pPr>
      <w:r>
        <w:rPr>
          <w:b/>
          <w:bCs/>
          <w:lang w:val="el" w:eastAsia="el"/>
        </w:rPr>
        <w:t>3.</w:t>
      </w:r>
      <w:r>
        <w:rPr>
          <w:b/>
          <w:bCs/>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b/>
          <w:bCs/>
          <w:lang w:val="el" w:eastAsia="el"/>
        </w:rPr>
        <w:t xml:space="preserve"> 4. Οποιαδήποτε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από τον προϊστάμενο της αρμόδιας Δ.Ο.Υ. οίκοθεν ή μετά από αίτηση του φορολογουμένου το αργότερο με την πράξη καταλογισμού του φόρου. 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r>
        <w:rPr>
          <w:rStyle w:val="Hyperlink"/>
          <w:b/>
          <w:bCs/>
          <w:color w:val="000000"/>
          <w:sz w:val="20"/>
          <w:szCs w:val="20"/>
          <w:u w:val="none" w:color="0000EE"/>
          <w:vertAlign w:val="superscript"/>
          <w:lang w:val="el" w:eastAsia="el"/>
        </w:rPr>
        <w:footnoteReference w:id="144"/>
      </w:r>
      <w:r>
        <w:rPr>
          <w:b/>
          <w:bCs/>
          <w:lang w:val="el" w:eastAsia="el"/>
        </w:rPr>
        <w:t>.</w:t>
      </w:r>
    </w:p>
    <w:p>
      <w:pPr>
        <w:pStyle w:val="MainText"/>
        <w:spacing w:before="120" w:after="0"/>
        <w:rPr>
          <w:lang w:val="el" w:eastAsia="el"/>
        </w:rPr>
      </w:pPr>
      <w:r>
        <w:rPr>
          <w:b/>
          <w:bCs/>
          <w:lang w:val="el" w:eastAsia="el"/>
        </w:rPr>
        <w:t>5.</w:t>
      </w:r>
      <w:r>
        <w:rPr>
          <w:b/>
          <w:bCs/>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b/>
          <w:bCs/>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b/>
          <w:bCs/>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b/>
          <w:bCs/>
          <w:lang w:val="el" w:eastAsia="el"/>
        </w:rPr>
        <w:t xml:space="preserve"> Επιτρέπεται η εν όλω ή εν μέρει ανάκληση της δήλωσης, που υποβλήθηκε από τον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b/>
          <w:bCs/>
          <w:lang w:val="el" w:eastAsia="el"/>
        </w:rPr>
        <w:t xml:space="preserve"> Η ανάκληση της δήλωσης μπορεί να γίνει μέχρι και το στάδιο της διοικητικής επίλυσης της διαφοράς ή την ανακοίνωση για την ειλικρίνεια της δήλωσης Μετά το στάδιο αυτό η ανάκληση της δήλωσης μπορεί να γίνει σε κάθε στάση της δίκης ενώπιον οποιουδήποτε διοικητικού δικαστηρίου.</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3.</w:t>
      </w:r>
      <w:r>
        <w:rPr>
          <w:b/>
          <w:bCs/>
          <w:lang w:val="el" w:eastAsia="el"/>
        </w:rPr>
        <w:t xml:space="preserve"> Για το αποδεκτό ή μη της ανάκλησης, που έγινε μέχρι και το στάδιο της διοικητικής επίλυσης της διαφοράς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 Κατά της απόφασης αυτής μπορεί να ασκηθεί προσφυγή και λοιπά ένδικα μέσα.</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48"/>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b/>
          <w:bCs/>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b/>
          <w:bCs/>
          <w:lang w:val="el" w:eastAsia="el"/>
        </w:rPr>
        <w:t>β)</w:t>
      </w:r>
      <w:r>
        <w:rPr>
          <w:b/>
          <w:bCs/>
          <w:lang w:val="en" w:eastAsia="en"/>
        </w:rPr>
        <w:tab/>
      </w:r>
      <w:r>
        <w:rPr>
          <w:b/>
          <w:bCs/>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b/>
          <w:bCs/>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b/>
          <w:bCs/>
          <w:lang w:val="el" w:eastAsia="el"/>
        </w:rPr>
        <w:t>γ)</w:t>
      </w:r>
      <w:r>
        <w:rPr>
          <w:b/>
          <w:bCs/>
          <w:lang w:val="en" w:eastAsia="en"/>
        </w:rPr>
        <w:tab/>
      </w:r>
      <w:r>
        <w:rPr>
          <w:b/>
          <w:bCs/>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b/>
          <w:bCs/>
          <w:lang w:val="el" w:eastAsia="el"/>
        </w:rPr>
        <w:t xml:space="preserve"> Οι διατάξεις των παραγράφων 2 και 3 του άρθρου 41 εφαρμόζονται και στις εμπρόθεσμες δηλώσεις φόρου κληρονομιάς.</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b/>
          <w:bCs/>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b/>
          <w:bCs/>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b/>
          <w:bCs/>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ακινήτων καθώς και των εμπράγματων σε αυτά δικαιωμάτων,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b/>
          <w:bCs/>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b/>
          <w:bCs/>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b/>
          <w:bCs/>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b/>
          <w:bCs/>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b/>
          <w:bCs/>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b/>
          <w:bCs/>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b/>
          <w:bCs/>
          <w:lang w:val="el" w:eastAsia="el"/>
        </w:rPr>
        <w:t>σύμφωνα με την επόμενη παράγραφο.</w:t>
      </w:r>
    </w:p>
    <w:p>
      <w:pPr>
        <w:pStyle w:val="MainText"/>
        <w:spacing w:before="120" w:after="0"/>
        <w:rPr>
          <w:lang w:val="el" w:eastAsia="el"/>
        </w:rPr>
      </w:pPr>
      <w:r>
        <w:rPr>
          <w:b/>
          <w:bCs/>
          <w:lang w:val="el" w:eastAsia="el"/>
        </w:rPr>
        <w:t>2.</w:t>
      </w:r>
      <w:r>
        <w:rPr>
          <w:b/>
          <w:bCs/>
          <w:lang w:val="el" w:eastAsia="el"/>
        </w:rPr>
        <w:t xml:space="preserve"> Εκδοση συμπληρωματικής πράξης επιτρέπεται:</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αν εκδόθηκε μερική πράξη, κατά τα οριζόμενα στην παράγραφο 1,</w:t>
      </w:r>
    </w:p>
    <w:p>
      <w:pPr>
        <w:pStyle w:val="StructureList1"/>
        <w:spacing w:before="120" w:after="0"/>
        <w:rPr>
          <w:lang w:val="el" w:eastAsia="el"/>
        </w:rPr>
      </w:pPr>
      <w:r>
        <w:rPr>
          <w:b/>
          <w:bCs/>
          <w:lang w:val="el" w:eastAsia="el"/>
        </w:rPr>
        <w:t>γ)</w:t>
      </w:r>
      <w:r>
        <w:rPr>
          <w:b/>
          <w:bCs/>
          <w:lang w:val="en" w:eastAsia="en"/>
        </w:rPr>
        <w:tab/>
      </w:r>
      <w:r>
        <w:rPr>
          <w:b/>
          <w:bCs/>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b/>
          <w:bCs/>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b/>
          <w:bCs/>
          <w:lang w:val="el" w:eastAsia="el"/>
        </w:rPr>
        <w:t>προηγήθηκε.</w:t>
      </w:r>
    </w:p>
    <w:p>
      <w:pPr>
        <w:pStyle w:val="MainText"/>
        <w:spacing w:before="120" w:after="0"/>
        <w:rPr>
          <w:lang w:val="el" w:eastAsia="el"/>
        </w:rPr>
      </w:pPr>
      <w:r>
        <w:rPr>
          <w:b/>
          <w:bCs/>
          <w:lang w:val="el" w:eastAsia="el"/>
        </w:rPr>
        <w:t>4.</w:t>
      </w:r>
      <w:r>
        <w:rPr>
          <w:b/>
          <w:bCs/>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b/>
          <w:bCs/>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b/>
          <w:bCs/>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b/>
          <w:bCs/>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b/>
          <w:bCs/>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b/>
          <w:bCs/>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b/>
          <w:bCs/>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b/>
          <w:bCs/>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b/>
          <w:bCs/>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b/>
          <w:bCs/>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b/>
          <w:bCs/>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b/>
          <w:bCs/>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Βεβαίωση και τίτλοι βεβαίωσης του φόρου</w:t>
      </w:r>
    </w:p>
    <w:p>
      <w:pPr>
        <w:pStyle w:val="MainText"/>
        <w:spacing w:before="120" w:after="0"/>
        <w:rPr>
          <w:lang w:val="el" w:eastAsia="el"/>
        </w:rPr>
      </w:pPr>
      <w:r>
        <w:rPr>
          <w:b/>
          <w:bCs/>
          <w:lang w:val="el" w:eastAsia="el"/>
        </w:rPr>
        <w:t>1.</w:t>
      </w:r>
      <w:r>
        <w:rPr>
          <w:b/>
          <w:bCs/>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b/>
          <w:bCs/>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b/>
          <w:bCs/>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b/>
          <w:bCs/>
          <w:lang w:val="el" w:eastAsia="el"/>
        </w:rPr>
        <w:t xml:space="preserve"> Ο φόρος βεβαιώνεται με βάση:</w:t>
      </w:r>
    </w:p>
    <w:p>
      <w:pPr>
        <w:pStyle w:val="StructureList1"/>
        <w:spacing w:before="120" w:after="0"/>
        <w:rPr>
          <w:lang w:val="el" w:eastAsia="el"/>
        </w:rPr>
      </w:pPr>
      <w:r>
        <w:rPr>
          <w:b/>
          <w:bCs/>
          <w:lang w:val="el" w:eastAsia="el"/>
        </w:rPr>
        <w:t>α)</w:t>
      </w:r>
      <w:r>
        <w:rPr>
          <w:b/>
          <w:bCs/>
          <w:lang w:val="en" w:eastAsia="en"/>
        </w:rPr>
        <w:tab/>
      </w:r>
      <w:r>
        <w:rPr>
          <w:b/>
          <w:bCs/>
          <w:lang w:val="el" w:eastAsia="el"/>
        </w:rPr>
        <w:t>τις δηλώσεις που υποβάλλονται,</w:t>
      </w:r>
    </w:p>
    <w:p>
      <w:pPr>
        <w:pStyle w:val="StructureList1"/>
        <w:spacing w:before="120" w:after="0"/>
        <w:rPr>
          <w:lang w:val="el" w:eastAsia="el"/>
        </w:rPr>
      </w:pPr>
      <w:r>
        <w:rPr>
          <w:b/>
          <w:bCs/>
          <w:lang w:val="el" w:eastAsia="el"/>
        </w:rPr>
        <w:t>β)</w:t>
      </w:r>
      <w:r>
        <w:rPr>
          <w:b/>
          <w:bCs/>
          <w:lang w:val="en" w:eastAsia="en"/>
        </w:rPr>
        <w:tab/>
      </w:r>
      <w:r>
        <w:rPr>
          <w:b/>
          <w:bCs/>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τις νέες εκκαθαρίσεις κατά τα άρθρα 100 και 101,</w:t>
      </w:r>
    </w:p>
    <w:p>
      <w:pPr>
        <w:pStyle w:val="StructureList1"/>
        <w:spacing w:before="120" w:after="0"/>
        <w:rPr>
          <w:lang w:val="el" w:eastAsia="el"/>
        </w:rPr>
      </w:pPr>
      <w:r>
        <w:rPr>
          <w:b/>
          <w:bCs/>
          <w:lang w:val="el" w:eastAsia="el"/>
        </w:rPr>
        <w:t>δ)</w:t>
      </w:r>
      <w:r>
        <w:rPr>
          <w:b/>
          <w:bCs/>
          <w:lang w:val="en" w:eastAsia="en"/>
        </w:rPr>
        <w:tab/>
      </w:r>
      <w:r>
        <w:rPr>
          <w:b/>
          <w:bCs/>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b/>
          <w:bCs/>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b/>
          <w:bCs/>
          <w:lang w:val="el" w:eastAsia="el"/>
        </w:rPr>
        <w:t>στο δημόσιο φόρο, καθώς και τα δικαιώματα υπέρ τρίτων αποδίδονται, όπως ειδικότερα καθορίζονται με αποφάσεις του Υπουργού Οικονομικών. 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b/>
          <w:bCs/>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πενήντα τοις εκατό (50%)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εισπράττεται σε έξι (6) ίσες μηνιαίες δόσεις, με τον περιορισμό ότι κάθε δόση δεν θα είναι μικρότερη των πεντακοσίων ευρώ,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b/>
          <w:bCs/>
          <w:lang w:val="el" w:eastAsia="el"/>
        </w:rPr>
        <w:t>την απόφαση αυτήν.</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6.</w:t>
      </w:r>
      <w:r>
        <w:rPr>
          <w:b/>
          <w:bCs/>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b/>
          <w:bCs/>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b/>
          <w:bCs/>
          <w:lang w:val="el" w:eastAsia="el"/>
        </w:rPr>
        <w:t>οικείου φόρου.</w:t>
      </w:r>
    </w:p>
    <w:p>
      <w:pPr>
        <w:pStyle w:val="MainText"/>
        <w:spacing w:before="120" w:after="0"/>
        <w:rPr>
          <w:lang w:val="el" w:eastAsia="el"/>
        </w:rPr>
      </w:pPr>
      <w:r>
        <w:rPr>
          <w:b/>
          <w:bCs/>
          <w:lang w:val="el" w:eastAsia="el"/>
        </w:rPr>
        <w:t>7.</w:t>
      </w:r>
      <w:r>
        <w:rPr>
          <w:b/>
          <w:bCs/>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b/>
          <w:bCs/>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b/>
          <w:bCs/>
          <w:lang w:val="el" w:eastAsia="el"/>
        </w:rPr>
        <w:t xml:space="preserve"> Ο φόρος που βεβαιώνεται ύστερα από δήλωση του υπόχρεου, ύστερα από πράξη προσδιορισμού φόρου, που έγινε οριστική λόγω μη άσκησης ή εκπρόθεσμης άσκησης προσφυγής, ύστερα από διοικητική επίλυση της διαφοράς και την καταβολή του ενός πέμπτου (1/5) ή ύστερα από απόφαση διοικητικού δικαστηρίου ή δικαστικό συμβιβασμό, καταβάλλεται σε δώδεκα (12) ίσες διμηνιαίες δόσεις. Στις ανωτέρω περιπτώσεις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 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 Ο διπλασιασμός του αριθμού των δόσεων δεν ισχύει για τις κτήσεις αιτία δωρεάς η γονικής παροχής.</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2.</w:t>
      </w:r>
      <w:r>
        <w:rPr>
          <w:b/>
          <w:bCs/>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3.</w:t>
      </w:r>
      <w:r>
        <w:rPr>
          <w:b/>
          <w:bCs/>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b/>
          <w:bCs/>
          <w:lang w:val="el" w:eastAsia="el"/>
        </w:rPr>
        <w:t xml:space="preserve"> Σε κάθε άλλη περίπτωση που οφείλεται φόρος που αναλογεί σε μετρητά και γενικά κινητά πράγματα, εφόσον κατά την κρίση του προϊσταμένου της Δ.Ο.Υ. δεν διασφαλίζεται η πληρωμή του από την περιουσία του υπόχρεου, παρέχεται ασφάλεια με την υποβολή της δήλωσης, άλλως καταβάλλεται αμέσως ολόκληρος ο φόρος αυτός και γίνεται μνεία στη δήλωση για την καταβολή.</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5.</w:t>
      </w:r>
      <w:r>
        <w:rPr>
          <w:b/>
          <w:bCs/>
          <w:lang w:val="el" w:eastAsia="el"/>
        </w:rPr>
        <w:t xml:space="preserve"> Η ευχέρεια καταβολής του φόρου σε δόσεις κατά την παράγραφο 1 παρέχεται μόνο αν το ακίνητο, που αποκτήθηκε αιτία θανάτου, βρίσκεται στην κυριότητα του οφειλέτη κληρονόμου. Προκειμένου αυτό να μεταβιβασθεί ή βαρυνθεί με εμπράγματα δικαιώματα, ολόκληρος ο φόρος που επιμεριστικά αναλογεί σε αυτό καθίσταται απαιτητός και καταβάλλεται πριν από τη χορήγηση πιστοποιητικού, για το οποίο ορίζει το άρθρο 112.</w:t>
      </w:r>
    </w:p>
    <w:p>
      <w:pPr>
        <w:pStyle w:val="MainText"/>
        <w:spacing w:before="120" w:after="0"/>
        <w:rPr>
          <w:lang w:val="el" w:eastAsia="el"/>
        </w:rPr>
      </w:pPr>
      <w:r>
        <w:rPr>
          <w:b/>
          <w:bCs/>
          <w:lang w:val="el" w:eastAsia="el"/>
        </w:rPr>
        <w:t>6.</w:t>
      </w:r>
      <w:r>
        <w:rPr>
          <w:b/>
          <w:bCs/>
          <w:lang w:val="el" w:eastAsia="el"/>
        </w:rPr>
        <w:t xml:space="preserve"> Με πράξη της Φορολογικής Διοίκησης επιτρέπεται η εξόφληση του συνόλου ή μέρους οφειλόμενου φόρου κληρονομιάς από οφειλέτη που βρίσκεται σε αδυναμία να τον καταβάλει με μετρητά, μετά από αίτησή του, με μεταβίβαση στο Ελληνικό Δημόσιο της πλήρους κυριότητας ολοκλήρου αξιόλογου κληρονομιαίου ή άλλου ακινήτου, το οποίο βρίσκεται εντός σχεδίου πόλης και δεν βαρύνεται με οποιοδήποτε εμπράγματο δικαίωμα, αγωγή ή άλλο βάρος. Σε καμία περίπτωση δεν αποδίδεται στον οφειλέτη η τυχόν διαφορά μεταξύ της αξίας του ακινήτου που προσφέρεται και του φόρου κληρονομιάς που οφείλεται. Με απόφαση του του Υπουργού Οικονομικών καθορίζεται η διαδικασία εξόφλησης του φόρου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7.</w:t>
      </w:r>
      <w:r>
        <w:rPr>
          <w:b/>
          <w:bCs/>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b/>
          <w:bCs/>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b/>
          <w:bCs/>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b/>
          <w:bCs/>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b/>
          <w:bCs/>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b/>
          <w:bCs/>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b/>
          <w:bCs/>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b/>
          <w:bCs/>
          <w:lang w:val="el" w:eastAsia="el"/>
        </w:rPr>
        <w:t>β)</w:t>
      </w:r>
      <w:r>
        <w:rPr>
          <w:b/>
          <w:bCs/>
          <w:lang w:val="en" w:eastAsia="en"/>
        </w:rPr>
        <w:tab/>
      </w:r>
      <w:r>
        <w:rPr>
          <w:b/>
          <w:bCs/>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b/>
          <w:bCs/>
          <w:lang w:val="el" w:eastAsia="el"/>
        </w:rPr>
        <w:t>γ)</w:t>
      </w:r>
      <w:r>
        <w:rPr>
          <w:b/>
          <w:bCs/>
          <w:lang w:val="en" w:eastAsia="en"/>
        </w:rPr>
        <w:tab/>
      </w:r>
      <w:r>
        <w:rPr>
          <w:b/>
          <w:bCs/>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b/>
          <w:bCs/>
          <w:lang w:val="el" w:eastAsia="el"/>
        </w:rPr>
        <w:t>δ)</w:t>
      </w:r>
      <w:r>
        <w:rPr>
          <w:b/>
          <w:bCs/>
          <w:lang w:val="en" w:eastAsia="en"/>
        </w:rPr>
        <w:tab/>
      </w:r>
      <w:r>
        <w:rPr>
          <w:b/>
          <w:bCs/>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b/>
          <w:bCs/>
          <w:lang w:val="el" w:eastAsia="el"/>
        </w:rPr>
        <w:t>ε)</w:t>
      </w:r>
      <w:r>
        <w:rPr>
          <w:b/>
          <w:bCs/>
          <w:lang w:val="en" w:eastAsia="en"/>
        </w:rPr>
        <w:tab/>
      </w:r>
      <w:r>
        <w:rPr>
          <w:b/>
          <w:bCs/>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b/>
          <w:bCs/>
          <w:lang w:val="el" w:eastAsia="el"/>
        </w:rPr>
        <w:t>ζ)</w:t>
      </w:r>
      <w:r>
        <w:rPr>
          <w:b/>
          <w:bCs/>
          <w:lang w:val="en" w:eastAsia="en"/>
        </w:rPr>
        <w:tab/>
      </w:r>
      <w:r>
        <w:rPr>
          <w:b/>
          <w:bCs/>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b/>
          <w:bCs/>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MainText"/>
        <w:spacing w:before="120" w:after="0"/>
        <w:rPr>
          <w:lang w:val="el" w:eastAsia="el"/>
        </w:rPr>
      </w:pPr>
      <w:r>
        <w:rPr>
          <w:b/>
          <w:bCs/>
          <w:lang w:val="el" w:eastAsia="el"/>
        </w:rPr>
        <w:t>3.</w:t>
      </w:r>
      <w:r>
        <w:rPr>
          <w:b/>
          <w:bCs/>
          <w:lang w:val="el" w:eastAsia="el"/>
        </w:rPr>
        <w:t xml:space="preserve"> Μετά την υποβολή τροποποιητικής δήλωσης, εφόσον προκύπτει μείωση φόρου μεγαλύτερη των τριακοσίων (300) ευρώ, η πράξη προσδιορισμού του φόρου εκδίδεται μετά από έλεγχο της Φορολογικής Διοίκησης. Εάν μετά την υποβολή τροποποιητικής δήλωσης υποβληθούν νέες τροποποιητικές δηλώσεις, εφόσον από τις δηλώσεις αυτές προκύπτει μείωση φόρου, ανεξαρτήτως του ύψους αυτής, η πράξη προσδιορισμού του φόρου εκδίδεται μετά από έλεγχο δικαιολογητικών της Φορολογικής Διοίκησης. Με απόφαση του Διοικητή της ΑΑΔΕ καθορίζονται τα όργανα, ο τρόπος, η διαδικασία και κάθε άλλη αναγκαία λεπτομέρεια για τον έλεγχο των υποβαλλόμενων δηλώσεων.</w:t>
      </w:r>
      <w:r>
        <w:rPr>
          <w:rStyle w:val="Hyperlink"/>
          <w:b/>
          <w:bCs/>
          <w:color w:val="000000"/>
          <w:sz w:val="20"/>
          <w:szCs w:val="20"/>
          <w:u w:val="none" w:color="0000EE"/>
          <w:vertAlign w:val="superscript"/>
          <w:lang w:val="el" w:eastAsia="el"/>
        </w:rPr>
        <w:footnoteReference w:id="155"/>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w:t>
      </w:r>
      <w:r>
        <w:rPr>
          <w:rStyle w:val="Hyperlink"/>
          <w:b/>
          <w:bCs/>
          <w:color w:val="000000"/>
          <w:sz w:val="20"/>
          <w:szCs w:val="20"/>
          <w:u w:val="none" w:color="0000EE"/>
          <w:vertAlign w:val="superscript"/>
          <w:lang w:val="el" w:eastAsia="el"/>
        </w:rPr>
        <w:footnoteReference w:id="156"/>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w:t>
      </w:r>
      <w:r>
        <w:rPr>
          <w:rStyle w:val="Hyperlink"/>
          <w:b/>
          <w:bCs/>
          <w:color w:val="000000"/>
          <w:sz w:val="20"/>
          <w:szCs w:val="20"/>
          <w:u w:val="none" w:color="0000EE"/>
          <w:vertAlign w:val="superscript"/>
          <w:lang w:val="el" w:eastAsia="el"/>
        </w:rPr>
        <w:footnoteReference w:id="157"/>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Σε σύσταση δωρεών και γονικών παροχών υπόχρεοι για την υποβολή της δήλωσης είναι οι συμβαλλόμενοι. Εάν συντάσσεται συμβολαιογραφικό έγγραφο, η δήλωση συμπληρώνεται από τον συμβολαιογράφο που θα καταρτίσει τη συμβολαιογραφική πράξη. Δεν έχουν υποχρέωση να υποβάλουν δήλωση οι δικαιούχοι της περίπτωσης α` της παραγράφου 1 του άρθρου 25.</w:t>
      </w:r>
      <w:r>
        <w:rPr>
          <w:rStyle w:val="Hyperlink"/>
          <w:b/>
          <w:bCs/>
          <w:color w:val="000000"/>
          <w:sz w:val="20"/>
          <w:szCs w:val="20"/>
          <w:u w:val="none" w:color="0000EE"/>
          <w:vertAlign w:val="superscript"/>
          <w:lang w:val="el" w:eastAsia="el"/>
        </w:rPr>
        <w:footnoteReference w:id="158"/>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λεπτομέρειες εφαρμογής της παρούσας διάταξης και εξαιρέσεις από αυτήν.</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b/>
          <w:bCs/>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b/>
          <w:bCs/>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b/>
          <w:bCs/>
          <w:lang w:val="el" w:eastAsia="el"/>
        </w:rPr>
        <w:t>Β.(...)</w:t>
      </w:r>
      <w:r>
        <w:rPr>
          <w:rStyle w:val="Hyperlink"/>
          <w:b/>
          <w:bCs/>
          <w:color w:val="000000"/>
          <w:sz w:val="20"/>
          <w:szCs w:val="20"/>
          <w:u w:val="none" w:color="0000EE"/>
          <w:vertAlign w:val="superscript"/>
          <w:lang w:val="el" w:eastAsia="el"/>
        </w:rPr>
        <w:footnoteReference w:id="160"/>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2.</w:t>
      </w:r>
      <w:r>
        <w:rPr>
          <w:b/>
          <w:bCs/>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b/>
          <w:bCs/>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b/>
          <w:bCs/>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b/>
          <w:bCs/>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b/>
          <w:bCs/>
          <w:lang w:val="el" w:eastAsia="el"/>
        </w:rPr>
        <w:t xml:space="preserve"> Σε όσες περιπτώσεις η φορολογική υποχρέωση γεννιέται σε χρόνο μεταγενέστερο από τη σύσταση της δωρεάς, γονικής παροχής, υποβάλλεται νέα δήλωση μέσα σε έξι (6) μήνες από τη γένεση της φορολογικής υποχρέωσης.</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8.</w:t>
      </w:r>
      <w:r>
        <w:rPr>
          <w:b/>
          <w:bCs/>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Για την παραλαβή των δηλώσεων και τη βεβαίωση του φόρου δωρεάς, γονικής παροχής, αρμόδιος είναι ο προϊστάμενος της δημόσιας οικονομικής υπηρεσίας της περιφέρειας της κατοικίας του δωρητή, του γονέα. Για την παραλαβή των δηλώσεων και τη βεβαίωση του φόρου για τις χρηματικές δωρεές προς τα πρόσωπα που ορίζονται στην παράγραφο 3 του άρθρου 25, αρμόδιος είναι ο προϊστάμενος της Δ.Ο.Υ. της περιφέρειας της κατοικίας του δωρεοδόχου.</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2.</w:t>
      </w:r>
      <w:r>
        <w:rPr>
          <w:b/>
          <w:bCs/>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b/>
          <w:bCs/>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b/>
          <w:bCs/>
          <w:lang w:val="el" w:eastAsia="el"/>
        </w:rPr>
        <w:t>Αν ο δωρητής ή ο γονέας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r>
        <w:rPr>
          <w:rStyle w:val="Hyperlink"/>
          <w:b/>
          <w:bCs/>
          <w:color w:val="000000"/>
          <w:sz w:val="20"/>
          <w:szCs w:val="20"/>
          <w:u w:val="none" w:color="0000EE"/>
          <w:vertAlign w:val="superscript"/>
          <w:lang w:val="el" w:eastAsia="el"/>
        </w:rPr>
        <w:footnoteReference w:id="165"/>
      </w:r>
    </w:p>
    <w:p>
      <w:pPr>
        <w:spacing w:before="240" w:after="240"/>
        <w:rPr>
          <w:lang w:val="el" w:eastAsia="el"/>
        </w:rPr>
      </w:pPr>
      <w:r>
        <w:rPr>
          <w:b/>
          <w:bCs/>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b/>
          <w:bCs/>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1.</w:t>
      </w:r>
      <w:r>
        <w:rPr>
          <w:b/>
          <w:bCs/>
          <w:lang w:val="el" w:eastAsia="el"/>
        </w:rPr>
        <w:t xml:space="preserve"> Στη δήλωση,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αιτία της μεταβίβασης,</w:t>
      </w:r>
    </w:p>
    <w:p>
      <w:pPr>
        <w:pStyle w:val="StructureList1"/>
        <w:spacing w:before="120" w:after="0"/>
        <w:rPr>
          <w:lang w:val="el" w:eastAsia="el"/>
        </w:rPr>
      </w:pPr>
      <w:r>
        <w:rPr>
          <w:b/>
          <w:bCs/>
          <w:lang w:val="el" w:eastAsia="el"/>
        </w:rPr>
        <w:t>β)</w:t>
      </w:r>
      <w:r>
        <w:rPr>
          <w:b/>
          <w:bCs/>
          <w:lang w:val="en" w:eastAsia="en"/>
        </w:rPr>
        <w:tab/>
      </w:r>
      <w:r>
        <w:rPr>
          <w:b/>
          <w:bCs/>
          <w:lang w:val="el" w:eastAsia="el"/>
        </w:rPr>
        <w:t>πλήρη τα στοιχεία αυτών που δηλώνουν,</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αντικείμενα της δωρεάς, γονικής παροχής, σύμφωνα με τα οριζόμενα στο εδάφιο γ` της παραγράφου 1 του άρθρου 67,</w:t>
      </w:r>
      <w:r>
        <w:rPr>
          <w:rStyle w:val="Hyperlink"/>
          <w:b/>
          <w:bCs/>
          <w:color w:val="000000"/>
          <w:sz w:val="20"/>
          <w:szCs w:val="20"/>
          <w:u w:val="none" w:color="0000EE"/>
          <w:vertAlign w:val="superscript"/>
          <w:lang w:val="el" w:eastAsia="el"/>
        </w:rPr>
        <w:footnoteReference w:id="167"/>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γονικές παροχές που συνυπολογίζονται,</w:t>
      </w:r>
      <w:r>
        <w:rPr>
          <w:rStyle w:val="Hyperlink"/>
          <w:b/>
          <w:bCs/>
          <w:color w:val="000000"/>
          <w:sz w:val="20"/>
          <w:szCs w:val="20"/>
          <w:u w:val="none" w:color="0000EE"/>
          <w:vertAlign w:val="superscript"/>
          <w:lang w:val="el" w:eastAsia="el"/>
        </w:rPr>
        <w:footnoteReference w:id="168"/>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φορολογικού μητρώου των συμβαλλομένων.</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w:t>
      </w:r>
      <w:r>
        <w:rPr>
          <w:b/>
          <w:bCs/>
          <w:lang w:val="el" w:eastAsia="el"/>
        </w:rPr>
        <w:t xml:space="preserve"> Οι συμβαλλόμενοι υποχρεούνται να προσκομίσουν στον συμβολαιογράφο όλα τα αναγκαία στοιχεία που απαιτούνται για την ορθή σύνταξη της δήλωσης από αυτόν και στην αρμόδια στην αρμόδια υπηρεσία της Φορολογικής Διοίκησης τα νόμιμα δικαιολογητικά.</w:t>
      </w:r>
      <w:r>
        <w:rPr>
          <w:rStyle w:val="Hyperlink"/>
          <w:b/>
          <w:bCs/>
          <w:color w:val="000000"/>
          <w:sz w:val="20"/>
          <w:szCs w:val="20"/>
          <w:u w:val="none" w:color="0000EE"/>
          <w:vertAlign w:val="superscript"/>
          <w:lang w:val="el" w:eastAsia="el"/>
        </w:rPr>
        <w:footnoteReference w:id="170"/>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b/>
          <w:bCs/>
          <w:lang w:val="el" w:eastAsia="el"/>
        </w:rPr>
        <w:t xml:space="preserve"> Ο τρόπος υποβολής των δηλώσεων φόρου δωρεάς και γονικής παροχής καθορίζεται με απόφαση του Διοικητή της Α.Α.Δ.Ε.. Κατά τα λοιπά εφαρμόζονται ανάλογα οι διατάξεις του άρθρου 68.</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w:t>
      </w:r>
      <w:r>
        <w:rPr>
          <w:b/>
          <w:bCs/>
          <w:lang w:val="el" w:eastAsia="el"/>
        </w:rPr>
        <w:t xml:space="preserve"> Απαγορεύεται στο συμβολαιογράφο να συντάξει συμβόλαιο δωρεάς ή γονικής παροχής, αν από την ημέρα υποβολής της δήλωσης έχει περάσει χρονικό διάστημα μεγαλύτερο των τριών (3) μηνών. 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και μετά την προθεσμία του προηγουμένου εδαφίου, εφόσον μέχρι τη σύνταξη του συμβολαίου, δεν έχει τροποποιηθεί το αντικειμενικό σύστημα στη συγκεκριμένη περιοχή.</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3.</w:t>
      </w:r>
      <w:r>
        <w:rPr>
          <w:b/>
          <w:bCs/>
          <w:lang w:val="el" w:eastAsia="el"/>
        </w:rPr>
        <w:t xml:space="preserve"> Για τις χρηματικές δωρεές προς τα πρόσωπα που ορίζονται στην παράγραφο 3 του άρθρου 25 μπορεί να υποβληθεί από αυτά δήλωση για το συνολικό ποσό των δωρεών και χωρίς την αναγραφή των στοιχείων των δωρητών, εφόσον δεν είναι γνωστά στον δωρεοδόχο και δεν υπερβαίνουν τα χίλια (1.000) ευρώ ανά δωρητή κατ’ έτος.</w:t>
      </w:r>
      <w:r>
        <w:rPr>
          <w:rStyle w:val="Hyperlink"/>
          <w:b/>
          <w:bCs/>
          <w:color w:val="000000"/>
          <w:sz w:val="20"/>
          <w:szCs w:val="20"/>
          <w:u w:val="none" w:color="0000EE"/>
          <w:vertAlign w:val="superscript"/>
          <w:lang w:val="el" w:eastAsia="el"/>
        </w:rPr>
        <w:footnoteReference w:id="173"/>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Καταβολή φόρου δωρεών, γονικών παροχών - Ανάλογη εφαρμογή διατάξεων</w:t>
      </w:r>
      <w:r>
        <w:rPr>
          <w:rStyle w:val="Hyperlink"/>
          <w:b/>
          <w:bCs/>
          <w:color w:val="000000"/>
          <w:sz w:val="20"/>
          <w:szCs w:val="20"/>
          <w:u w:val="none" w:color="0000EE"/>
          <w:vertAlign w:val="superscript"/>
          <w:lang w:val="el" w:eastAsia="el"/>
        </w:rPr>
        <w:footnoteReference w:id="174"/>
      </w:r>
    </w:p>
    <w:p>
      <w:pPr>
        <w:spacing w:before="240" w:after="240"/>
        <w:rPr>
          <w:lang w:val="el" w:eastAsia="el"/>
        </w:rPr>
      </w:pPr>
      <w:r>
        <w:rPr>
          <w:b/>
          <w:bCs/>
          <w:lang w:val="el" w:eastAsia="el"/>
        </w:rPr>
        <w:t>Για την υποβολή των δηλώσεων στη φορολογία δωρεών, γονικών παροχών και γενικά τη διαδικασία βεβαίωσης και καταβολής του φόρου εφαρμόζονται ανάλογα οι διατάξεις των άρθρων 68, 69, 72, 73 παράγραφοι 1, 2 και 4 έως και 8, 74 έως και 81, 82 παράγραφοι 1 έως και 5 και 7, 83 και 84.</w:t>
      </w:r>
      <w:r>
        <w:rPr>
          <w:rStyle w:val="Hyperlink"/>
          <w:b/>
          <w:bCs/>
          <w:color w:val="000000"/>
          <w:sz w:val="20"/>
          <w:szCs w:val="20"/>
          <w:u w:val="none" w:color="0000EE"/>
          <w:vertAlign w:val="superscript"/>
          <w:lang w:val="el" w:eastAsia="el"/>
        </w:rPr>
        <w:footnoteReference w:id="175"/>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b/>
          <w:bCs/>
          <w:lang w:val="el" w:eastAsia="el"/>
        </w:rPr>
        <w:t xml:space="preserve"> Αυτός που ενεργεί την πληρωμή των κερδών ή που καταβάλλει τις παροχές που υπόκεινται σε φορολογία κατά το άρθρο 58 υποχρεώνεται σε υποβολή δήλωσης για λογαριασμό του υπόχρεου σε φόρο.</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2.</w:t>
      </w:r>
      <w:r>
        <w:rPr>
          <w:b/>
          <w:bCs/>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b/>
          <w:bCs/>
          <w:lang w:val="el" w:eastAsia="el"/>
        </w:rPr>
        <w:t>Η δήλωση υποβάλλεται μέχρι την τελευταία εργάσιμη ημέρα του επόμενου μήνα από την καταβολή του κέρδους στον δικαιούχο.</w:t>
      </w:r>
      <w:r>
        <w:rPr>
          <w:rStyle w:val="Hyperlink"/>
          <w:b/>
          <w:bCs/>
          <w:color w:val="000000"/>
          <w:sz w:val="20"/>
          <w:szCs w:val="20"/>
          <w:u w:val="none" w:color="0000EE"/>
          <w:vertAlign w:val="superscript"/>
          <w:lang w:val="el" w:eastAsia="el"/>
        </w:rPr>
        <w:footnoteReference w:id="177"/>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b/>
          <w:bCs/>
          <w:lang w:val="el" w:eastAsia="el"/>
        </w:rPr>
        <w:t>Για το φόρο στα κέρδη του άρθρου 58 αρμόδιος είναι ο προϊστάμενος της αρμόδιας για τη φορολογία κεφαλαίου δημόσιας οικονομικής υπηρεσίας της έδρας του ενεργούντος την κλήρωση, το παιχνίδι, το στοίχημα ή το διαγωνισμό.</w:t>
      </w:r>
      <w:r>
        <w:rPr>
          <w:rStyle w:val="Hyperlink"/>
          <w:b/>
          <w:bCs/>
          <w:color w:val="000000"/>
          <w:sz w:val="20"/>
          <w:szCs w:val="20"/>
          <w:u w:val="none" w:color="0000EE"/>
          <w:vertAlign w:val="superscript"/>
          <w:lang w:val="el" w:eastAsia="el"/>
        </w:rPr>
        <w:footnoteReference w:id="178"/>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b/>
          <w:bCs/>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b/>
          <w:bCs/>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w:t>
      </w:r>
      <w:r>
        <w:rPr>
          <w:rStyle w:val="Hyperlink"/>
          <w:b/>
          <w:bCs/>
          <w:color w:val="000000"/>
          <w:sz w:val="20"/>
          <w:szCs w:val="20"/>
          <w:u w:val="none" w:color="0000EE"/>
          <w:vertAlign w:val="superscript"/>
          <w:lang w:val="el" w:eastAsia="el"/>
        </w:rPr>
        <w:footnoteReference w:id="179"/>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b/>
          <w:bCs/>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b/>
          <w:bCs/>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b/>
          <w:bCs/>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rStyle w:val="article-num"/>
          <w:b/>
          <w:bCs/>
          <w:lang w:val="el" w:eastAsia="el"/>
        </w:rPr>
        <w:t>Άρθρο 98</w:t>
      </w:r>
      <w:r>
        <w:rPr>
          <w:rStyle w:val="Hyperlink"/>
          <w:b/>
          <w:bCs/>
          <w:color w:val="000000"/>
          <w:sz w:val="20"/>
          <w:szCs w:val="20"/>
          <w:u w:val="none" w:color="0000EE"/>
          <w:vertAlign w:val="superscript"/>
          <w:lang w:val="el" w:eastAsia="el"/>
        </w:rPr>
        <w:footnoteReference w:id="180"/>
      </w:r>
    </w:p>
    <w:p>
      <w:pPr>
        <w:spacing w:before="240" w:after="240"/>
        <w:rPr>
          <w:lang w:val="el" w:eastAsia="el"/>
        </w:rPr>
      </w:pPr>
      <w:r>
        <w:rPr>
          <w:b/>
          <w:bCs/>
          <w:lang w:val="el" w:eastAsia="el"/>
        </w:rPr>
        <w:t>Το συνολικό ποσό που προέρχεται, μετά τη λήξη κάθε οικονομικού έτους, από τα αδιάθετα ποσά από τη στρογγυλοποίηση των μεριδίων, καθώς και από την παραγραφή των κερδών των παιχνιδιών και στοιχημάτων που διενεργούνται από τις εταιρίες ΟΠΑΠ Α.Ε. και ΟΔΙΕ Α.Ε. υπόκειται σε φόρο με συντελεστή είκοσι τοις εκατό (20%). Οι διατάξεις των άρθρων 91 έως και 97 εφαρμόζονται ανάλογα.</w:t>
      </w:r>
      <w:r>
        <w:rPr>
          <w:rStyle w:val="Hyperlink"/>
          <w:b/>
          <w:bCs/>
          <w:color w:val="000000"/>
          <w:sz w:val="20"/>
          <w:szCs w:val="20"/>
          <w:u w:val="none" w:color="0000EE"/>
          <w:vertAlign w:val="superscript"/>
          <w:lang w:val="el" w:eastAsia="el"/>
        </w:rPr>
        <w:footnoteReference w:id="181"/>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ΦΟΡΟΛΟΓΙΑ ΚΤΗΣΗΣ ΚΕΡΔΩΝ ΑΠΟ ΤΥΧΕΡΑ ΠΑΙΓΝΙΑ</w:t>
      </w:r>
      <w:r>
        <w:rPr>
          <w:rStyle w:val="Hyperlink"/>
          <w:b/>
          <w:bCs/>
          <w:color w:val="000000"/>
          <w:sz w:val="20"/>
          <w:szCs w:val="20"/>
          <w:u w:val="none" w:color="0000EE"/>
          <w:vertAlign w:val="superscript"/>
          <w:lang w:val="el" w:eastAsia="el"/>
        </w:rPr>
        <w:footnoteReference w:id="182"/>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b/>
          <w:bCs/>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ολική ή μερική έλλειψη φορολογικής υποχρέωσης,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b/>
          <w:bCs/>
          <w:lang w:val="el" w:eastAsia="el"/>
        </w:rPr>
        <w:t>δ)</w:t>
      </w:r>
      <w:r>
        <w:rPr>
          <w:b/>
          <w:bCs/>
          <w:lang w:val="en" w:eastAsia="en"/>
        </w:rPr>
        <w:tab/>
      </w:r>
      <w:r>
        <w:rPr>
          <w:b/>
          <w:bCs/>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b/>
          <w:bCs/>
          <w:lang w:val="el" w:eastAsia="el"/>
        </w:rPr>
        <w:t>στ)</w:t>
      </w:r>
      <w:r>
        <w:rPr>
          <w:b/>
          <w:bCs/>
          <w:lang w:val="en" w:eastAsia="en"/>
        </w:rPr>
        <w:tab/>
      </w:r>
      <w:r>
        <w:rPr>
          <w:b/>
          <w:bCs/>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b/>
          <w:bCs/>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b/>
          <w:bCs/>
          <w:lang w:val="el" w:eastAsia="el"/>
        </w:rPr>
        <w:t xml:space="preserve"> Για την ακύρωση η τροποποίηση της πράξης του προϊσταμένου της δημόσιας οικονομικής υπηρεσίας, αποφαίνεται τριμελής επιτροπή που αποτελείται από τον αρμόδιο οικονομικό επιθεωρητή, τον προϊστάμενο της δημόσιας οικονομικής υπηρεσίας και τον προϊστάμενο της Υποδιεύθυνσης Φορολογίας αυτής ή, στις δημόσιες οικονομικές υπηρεσίες στις οποίες δεν υπάρχει Υποδιεύθυνση Φορολογίας, τον υπεύθυνο για τη φορολογία κεφαλαίου, με αίτηση του φορολογουμένου η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 Η απόφαση της επιτροπής εκδίδεται μέσα σε τρεις (3) μήνες από την υποβολή της αίτησης ή, εφόσον ζητηθεί η προσκόμιση στοιχείων από τον αιτούντα, μέσα σε ένα (1) μήνα από την προσκόμιση αυτών, και σε κάθε περίπτωση μέσα σε έξι (6) μήνες από την κατάθεση της αίτησης κατ ανώτατο όριο. Κατά της απόφασης της τριμελούς επιτροπής επιτρέπονται τα ένδικα μέσα που προβλέπονται από τον Κώδικα Διοικητικής Δικονομίας.</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3.</w:t>
      </w:r>
      <w:r>
        <w:rPr>
          <w:b/>
          <w:bCs/>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b/>
          <w:bCs/>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b/>
          <w:bCs/>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b/>
          <w:bCs/>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b/>
          <w:bCs/>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b/>
          <w:bCs/>
          <w:lang w:val="el" w:eastAsia="el"/>
        </w:rPr>
        <w:t xml:space="preserve"> Αν έχει γίνει οριστικός προσδιορισμός της αξίας των στοιχείων της κτήσης αιτία θανάτου στο όνομα της σχολάζουσας κληρονομίας, η αξία που προσδιορίστηκε με αυτό τον τρόπο ισχύει και έναντι των κληρονόμων. Οι τελευταίοι όμως δικαιούνται να ασκήσουν, μέσα σε τρίμηνη προθεσμία από την υποβολή της δήλωσής τους, προσφυγή και τα λοιπά επιτρεπόμενα από το νόμο ένδικα μέσα κατά του τίτλου που προσδιόρισε οριστικά την αξία των στοιχείων της κτήσης αιτία θανάτου σε βάρος της σχολάζουσας κληρονομίας, μόνο στην περίπτωση που η οριστικοποίηση του τίτλου έγινε επειδή δεν ασκήθηκε προσφυγή.</w:t>
      </w:r>
    </w:p>
    <w:p>
      <w:pPr>
        <w:pStyle w:val="MainText"/>
        <w:spacing w:before="120" w:after="0"/>
        <w:rPr>
          <w:lang w:val="el" w:eastAsia="el"/>
        </w:rPr>
      </w:pPr>
      <w:r>
        <w:rPr>
          <w:b/>
          <w:bCs/>
          <w:lang w:val="el" w:eastAsia="el"/>
        </w:rPr>
        <w:t>3.</w:t>
      </w:r>
      <w:r>
        <w:rPr>
          <w:b/>
          <w:bCs/>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b/>
          <w:bCs/>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r>
        <w:rPr>
          <w:b/>
          <w:bCs/>
          <w:lang w:val="el" w:eastAsia="el"/>
        </w:rPr>
        <w:t xml:space="preserve"> </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b/>
          <w:bCs/>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b/>
          <w:bCs/>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b/>
          <w:bCs/>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b/>
          <w:bCs/>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b/>
          <w:bCs/>
          <w:lang w:val="el" w:eastAsia="el"/>
        </w:rPr>
        <w:t>β)</w:t>
      </w:r>
      <w:r>
        <w:rPr>
          <w:b/>
          <w:bCs/>
          <w:lang w:val="en" w:eastAsia="en"/>
        </w:rPr>
        <w:tab/>
      </w:r>
      <w:r>
        <w:rPr>
          <w:b/>
          <w:bCs/>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b/>
          <w:bCs/>
          <w:lang w:val="el" w:eastAsia="el"/>
        </w:rPr>
        <w:t>γ)</w:t>
      </w:r>
      <w:r>
        <w:rPr>
          <w:b/>
          <w:bCs/>
          <w:lang w:val="en" w:eastAsia="en"/>
        </w:rPr>
        <w:tab/>
      </w:r>
      <w:r>
        <w:rPr>
          <w:b/>
          <w:bCs/>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b/>
          <w:bCs/>
          <w:lang w:val="el" w:eastAsia="el"/>
        </w:rPr>
        <w:t xml:space="preserve"> Στις περιπτώσεις των εδαφίων α`, β` και γ` της προηγούμενης παραγράφου, η πράξη του προϊσταμένου της Δ.Ο.Υ. κοινοποιείται μέσα σε ένα έτος από την ακύρωση της προγενέστερης πράξης ή από την κοινοποίηση της απόφασης του διοικητικού δικαστηρίου στη Δ.Ο.Υ. ή από την υποβολή της δήλωσης του υπόχρεου, ενώ στην περίπτωση του εδαφίου δ`, μέσα σε ένα έτος από την κοινοποίηση στη Δ.Ο.Υ. της αμετάκλητης σχετικής απόφασης.</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5.</w:t>
      </w:r>
      <w:r>
        <w:rPr>
          <w:b/>
          <w:bCs/>
          <w:lang w:val="el" w:eastAsia="el"/>
        </w:rPr>
        <w:t xml:space="preserve"> Το δικαίωμα του Δημοσίου για την επιβολή των φόρων, που προκύπτουν από την εφαρμογή των διατάξεων του παρόντος, σε υποθέσεις για τις οποίες η φορολογική υποχρέωση γεννήθηκε μέχρι και την 31η Δεκεμβρίου 2003, έχει παραγραφεί. Στις υποθέσεις αυτές δεν απαιτείται το πιστοποιητικό που προβλέπεται από τα άρθρα 105 έως και 112. Αντί γι` αυτό, μπορεί να προσκομίζεται:</w:t>
      </w:r>
      <w:r>
        <w:rPr>
          <w:rStyle w:val="Hyperlink"/>
          <w:b/>
          <w:bCs/>
          <w:color w:val="000000"/>
          <w:sz w:val="20"/>
          <w:szCs w:val="20"/>
          <w:u w:val="none" w:color="0000EE"/>
          <w:vertAlign w:val="superscript"/>
          <w:lang w:val="el" w:eastAsia="el"/>
        </w:rPr>
        <w:footnoteReference w:id="185"/>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31.12.2003, καθώς και υπεύθυνη δήλωση του υπόχρεου ότι,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86"/>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δωρεές εν ζωή, γονικές παροχές, αντίγραφο του οικείου συμβολαίου που συντάχθηκε μέχρι και την 31η Δεκεμβρίου 2003 ή βεβαίωση του συμβολαιογράφου, που συνέταξε το συμβόλαιο ότι, τούτο συντάχθηκε μέχρι και την 31η Δεκεμβρίου 2003 και δεν συντρέχει περίπτωση μετάθεσης του χρόνου γένεσης της φορολογικής υποχρέωσης.6.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6.</w:t>
      </w:r>
      <w:r>
        <w:rPr>
          <w:b/>
          <w:bCs/>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b/>
          <w:bCs/>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b/>
          <w:bCs/>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r>
        <w:rPr>
          <w:b/>
          <w:bCs/>
          <w:lang w:val="el" w:eastAsia="el"/>
        </w:rPr>
        <w:t xml:space="preserve"> </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b/>
          <w:bCs/>
          <w:lang w:val="el" w:eastAsia="el"/>
        </w:rPr>
        <w:t xml:space="preserve"> Στις υποθέσεις της φορολογίας των κληρονομιών, δωρεών, γονικών παροχών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2.</w:t>
      </w:r>
      <w:r>
        <w:rPr>
          <w:b/>
          <w:bCs/>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r>
        <w:rPr>
          <w:b/>
          <w:bCs/>
          <w:lang w:val="el" w:eastAsia="el"/>
        </w:rPr>
        <w:t xml:space="preserve"> </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b/>
          <w:bCs/>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Με την επιφύλαξη της εφαρμογής των διατάξεων των παραγράφων 3, 4 και 5 του άρθρου 82, ο προϊστάμενος της δημόσιας οικονομικής υπηρεσίας υποχρεώνεται, μετά από αίτηση του υπόχρεου σε φόρο, να χορηγεί σε αυτόν πιστοποιητικό, στο οποίο να φαίνεται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 νόμο ή ότι το Δημόσιο εξέπεσε του δικαιώματός του για την επιβολή φόρου λόγω παραγραφής.</w:t>
      </w:r>
    </w:p>
    <w:p>
      <w:pPr>
        <w:pStyle w:val="MainText"/>
        <w:spacing w:before="120" w:after="0"/>
        <w:rPr>
          <w:lang w:val="el" w:eastAsia="el"/>
        </w:rPr>
      </w:pPr>
      <w:r>
        <w:rPr>
          <w:b/>
          <w:bCs/>
          <w:lang w:val="el" w:eastAsia="el"/>
        </w:rPr>
        <w:t>2.</w:t>
      </w:r>
      <w:r>
        <w:rPr>
          <w:b/>
          <w:bCs/>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b/>
          <w:bCs/>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που απομένουν στην κατοχή του υπόχρεου, αν δεν παρασχεθεί προηγουμένως η ασφάλεια που προβλέπεται από την παράγραφο 4 του άρθρου 82.</w:t>
      </w:r>
      <w:r>
        <w:rPr>
          <w:rStyle w:val="Hyperlink"/>
          <w:b/>
          <w:bCs/>
          <w:color w:val="000000"/>
          <w:sz w:val="20"/>
          <w:szCs w:val="20"/>
          <w:u w:val="none" w:color="0000EE"/>
          <w:vertAlign w:val="superscript"/>
          <w:lang w:val="el" w:eastAsia="el"/>
        </w:rPr>
        <w:footnoteReference w:id="189"/>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b/>
          <w:bCs/>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b/>
          <w:bCs/>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b/>
          <w:bCs/>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b/>
          <w:bCs/>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b/>
          <w:bCs/>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b/>
          <w:bCs/>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b/>
          <w:bCs/>
          <w:lang w:val="el" w:eastAsia="el"/>
        </w:rPr>
        <w:t xml:space="preserve"> Οι διατάξεις των παραγράφων 1, 2 και 3 δεν εφαρμόζονται σε περίπτωση αίτησης για έκδοση κληρονομητηρίου.</w:t>
      </w:r>
    </w:p>
    <w:p>
      <w:pPr>
        <w:pStyle w:val="MainText"/>
        <w:spacing w:before="120" w:after="0"/>
        <w:rPr>
          <w:lang w:val="el" w:eastAsia="el"/>
        </w:rPr>
      </w:pPr>
      <w:r>
        <w:rPr>
          <w:b/>
          <w:bCs/>
          <w:lang w:val="el" w:eastAsia="el"/>
        </w:rPr>
        <w:t>5.</w:t>
      </w:r>
      <w:r>
        <w:rPr>
          <w:b/>
          <w:bCs/>
          <w:lang w:val="el" w:eastAsia="el"/>
        </w:rPr>
        <w:t xml:space="preserve"> Η παραχώρηση τίτλων ιδιοκτησίας κατά τη διαδικασία του αναδασμού γίνεται προς τους κυρίους των αναδιανεμητέων ακινήτων με την προσκόμιση του πιστοποιητικού του άρθρου 105 του νόμου αυτού. Εφόσον, από την κήρυξη της διαδικασίας του αναδασμού μέχρι την έκδοση των οριστικών τίτλων, μεσολαβήσει μεταβίβαση των ακινήτων αιτία θανάτου, δωρεάς ή γονικής παροχής, η παραχώρηση των τίτλων ιδιοκτησίας γίνεται προς τους τελευταίους δικαιούχους με την προσκόμιση του πιο πάνω πιστοποιητικού.</w:t>
      </w:r>
      <w:r>
        <w:rPr>
          <w:rStyle w:val="Hyperlink"/>
          <w:b/>
          <w:bCs/>
          <w:color w:val="000000"/>
          <w:sz w:val="20"/>
          <w:szCs w:val="20"/>
          <w:u w:val="none" w:color="0000EE"/>
          <w:vertAlign w:val="superscript"/>
          <w:lang w:val="el" w:eastAsia="el"/>
        </w:rPr>
        <w:footnoteReference w:id="190"/>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w:t>
      </w:r>
    </w:p>
    <w:p>
      <w:pPr>
        <w:spacing w:before="240" w:after="240"/>
        <w:rPr>
          <w:lang w:val="el" w:eastAsia="el"/>
        </w:rPr>
      </w:pPr>
      <w:r>
        <w:rPr>
          <w:b/>
          <w:bCs/>
          <w:lang w:val="el" w:eastAsia="el"/>
        </w:rPr>
        <w:t>Την ίδια υποχρέωση έχουν οι κληρονόμοι και οι εκτελεστές διαθηκών για τα κληροδοτήματα που οφείλουν.</w:t>
      </w:r>
    </w:p>
    <w:p>
      <w:pPr>
        <w:pStyle w:val="MainText"/>
        <w:spacing w:before="120" w:after="0"/>
        <w:rPr>
          <w:lang w:val="el" w:eastAsia="el"/>
        </w:rPr>
      </w:pPr>
      <w:r>
        <w:rPr>
          <w:b/>
          <w:bCs/>
          <w:lang w:val="el" w:eastAsia="el"/>
        </w:rPr>
        <w:t>2.</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b/>
          <w:bCs/>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b/>
          <w:bCs/>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Κατ` εξαίρεση επιτρέπεται η απόδοση χρηματικών ποσών μέχρι 150.000 δραχμές,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b/>
          <w:bCs/>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b/>
          <w:bCs/>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b/>
          <w:bCs/>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b/>
          <w:bCs/>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b/>
          <w:bCs/>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b/>
          <w:bCs/>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b/>
          <w:bCs/>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b/>
          <w:bCs/>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b/>
          <w:bCs/>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b/>
          <w:bCs/>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b/>
          <w:bCs/>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b/>
          <w:bCs/>
          <w:lang w:val="el" w:eastAsia="el"/>
        </w:rPr>
        <w:t xml:space="preserve"> Απαγορεύεται η σύνταξη συμβολαιογραφικού εγγράφου, που μεταβιβάζει την κυριότητα ή συνιστά εμπράγματα δικαιώματα σε ακίνητο ή κινητό που αποκτήθηκε αιτία θανάτου ή δωρεάς ή γονικής παροχής,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δεν προσαρτηθεί από το συμβολαιογράφο στο συμβόλαιο που συντάσσει το πιστοποιητικό της παραγράφου 1 του άρθρου 105 και γίνει ρητή μνεία γι` αυτό στο συμβολαιογραφικό έγγραφο.</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2.</w:t>
      </w:r>
      <w:r>
        <w:rPr>
          <w:b/>
          <w:bCs/>
          <w:lang w:val="el" w:eastAsia="el"/>
        </w:rPr>
        <w:t xml:space="preserve"> Στα συμβολαιογραφικά έγγραφα δωρεών, γονικών παροχών και αποδοχής κληρονομιάς προσαρτάται αντίγραφο της δήλωσης. Εντός δεκαπέντε (15) εργάσιμων ημερών από τη σύνταξη του συμβολαίου, ο συμβολαιογράφος υποχρεούται να ενημερώσει τη Φορολογική Διοίκηση για τον αριθμό και την ημερομηνία σύνταξης του συμβολαιογραφικού εγγράφου και τον τρόπο καταβολής του ποσού, εφόσον πρόκειται για χρηματικές δωρεές ή γονικές παροχές, και να αποστείλει αντίγραφο αυτού.</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3.</w:t>
      </w:r>
      <w:r>
        <w:rPr>
          <w:b/>
          <w:bCs/>
          <w:lang w:val="el" w:eastAsia="el"/>
        </w:rPr>
        <w:t xml:space="preserve"> Στα συμβόλαια δωρεάς, γονικής παροχής γίνεται μνεία του τόπου της γέννησης του δωρητή ή του γονέα,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r>
        <w:rPr>
          <w:rStyle w:val="Hyperlink"/>
          <w:b/>
          <w:bCs/>
          <w:color w:val="000000"/>
          <w:sz w:val="20"/>
          <w:szCs w:val="20"/>
          <w:u w:val="none" w:color="0000EE"/>
          <w:vertAlign w:val="superscript"/>
          <w:lang w:val="el" w:eastAsia="el"/>
        </w:rPr>
        <w:footnoteReference w:id="193"/>
      </w:r>
    </w:p>
    <w:p>
      <w:pPr>
        <w:pStyle w:val="StructureList1"/>
        <w:spacing w:before="120" w:after="0"/>
        <w:rPr>
          <w:lang w:val="el" w:eastAsia="el"/>
        </w:rPr>
      </w:pPr>
      <w:r>
        <w:rPr>
          <w:b/>
          <w:bCs/>
          <w:lang w:val="el" w:eastAsia="el"/>
        </w:rPr>
        <w:t>α)</w:t>
      </w:r>
      <w:r>
        <w:rPr>
          <w:b/>
          <w:bCs/>
          <w:lang w:val="en" w:eastAsia="en"/>
        </w:rPr>
        <w:tab/>
      </w:r>
      <w:r>
        <w:rPr>
          <w:b/>
          <w:bCs/>
          <w:lang w:val="el" w:eastAsia="el"/>
        </w:rPr>
        <w:t>των τυχόν προγενέστερων δωρεών ή γονικών παροχών, που ο ίδιος δικαιοπάροχος έκανε στον ίδιο δικαιούχο, και της αξίας αυτών και</w:t>
      </w:r>
      <w:r>
        <w:rPr>
          <w:rStyle w:val="Hyperlink"/>
          <w:b/>
          <w:bCs/>
          <w:color w:val="000000"/>
          <w:sz w:val="20"/>
          <w:szCs w:val="20"/>
          <w:u w:val="none" w:color="0000EE"/>
          <w:vertAlign w:val="superscript"/>
          <w:lang w:val="el" w:eastAsia="el"/>
        </w:rPr>
        <w:footnoteReference w:id="194"/>
      </w:r>
    </w:p>
    <w:p>
      <w:pPr>
        <w:pStyle w:val="StructureList1"/>
        <w:spacing w:before="120" w:after="0"/>
        <w:rPr>
          <w:lang w:val="el" w:eastAsia="el"/>
        </w:rPr>
      </w:pPr>
      <w:r>
        <w:rPr>
          <w:b/>
          <w:bCs/>
          <w:lang w:val="el" w:eastAsia="el"/>
        </w:rPr>
        <w:t>β)</w:t>
      </w:r>
      <w:r>
        <w:rPr>
          <w:b/>
          <w:bCs/>
          <w:lang w:val="en" w:eastAsia="en"/>
        </w:rPr>
        <w:tab/>
      </w:r>
      <w:r>
        <w:rPr>
          <w:b/>
          <w:bCs/>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b/>
          <w:bCs/>
          <w:lang w:val="el" w:eastAsia="el"/>
        </w:rPr>
        <w:t xml:space="preserve"> Ο συμβολαιογράφος ευθύνεται για την ορθή συμπλήρωση της δήλωσης με βάση τα στοιχεία που προσκόμισαν οι υπόχρεοι σε δήλωση, τον τίτλο κτήσης και την περιγραφή του ακινήτου στο συμβολαιογραφικό έγγραφο που συντάσσεται. Δεν έχει ευθύνη για όσα στοιχεία δεν έχουν περιέλθει σε γνώση του και δεν περιλαμβάνονται στο συμβολαιογραφικό έγγραφο. Στον συμβολαιογράφο που παραβαίνει τις υποχρεώσεις του παρόντος άρθρου και τις υποχρεώσεις που ορίζονται στα άρθρα 114 και 116, επιβάλλεται ανά παράβαση αυτοτελές πρόστιμο εκατό (100) ευρώ. Πρόστιμο δεν επιβάλλεται όταν η διαφορά μεταξύ της αξίας που δηλώθηκε και αυτής που προσδιορίσθηκε οριστικά ή με βάση το σύστημα των συγκριτικών στοιχείων δεν υπερβαίνει το δέκα τοις εκατό (10%) και η διαφορά φόρου δεν υπερβαίνει τα πεντακόσια (500) ευρώ. Με απόφαση του Διοικητή της ΑΑΔΕ καθορίζεται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5.</w:t>
      </w:r>
      <w:r>
        <w:rPr>
          <w:b/>
          <w:bCs/>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b/>
          <w:bCs/>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b/>
          <w:bCs/>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b/>
          <w:bCs/>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b/>
          <w:bCs/>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b/>
          <w:bCs/>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b/>
          <w:bCs/>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b/>
          <w:bCs/>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b/>
          <w:bCs/>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b/>
          <w:bCs/>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b/>
          <w:bCs/>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b/>
          <w:bCs/>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b/>
          <w:bCs/>
          <w:lang w:val="el" w:eastAsia="el"/>
        </w:rPr>
        <w:t>α)</w:t>
      </w:r>
      <w:r>
        <w:rPr>
          <w:b/>
          <w:bCs/>
          <w:lang w:val="en" w:eastAsia="en"/>
        </w:rPr>
        <w:tab/>
      </w:r>
      <w:r>
        <w:rPr>
          <w:b/>
          <w:bCs/>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που έχουν συναφθεί και γενικά όλων των εγγράφων που έχουν συνταχθεί από αυτούς και αναφέρονται σε κτήση αιτία θανάτου ή δωρεάς ή γονικής παροχής καθώς και εκείνων με τα οποία ορίζεται ότι σύμβαση που χαρακτηρίστηκε διαφορετικά είναι δωρεά.</w:t>
      </w:r>
      <w:r>
        <w:rPr>
          <w:rStyle w:val="Hyperlink"/>
          <w:b/>
          <w:bCs/>
          <w:color w:val="000000"/>
          <w:sz w:val="20"/>
          <w:szCs w:val="20"/>
          <w:u w:val="none" w:color="0000EE"/>
          <w:vertAlign w:val="superscript"/>
          <w:lang w:val="el" w:eastAsia="el"/>
        </w:rPr>
        <w:footnoteReference w:id="196"/>
      </w:r>
    </w:p>
    <w:p>
      <w:pPr>
        <w:pStyle w:val="StructureList1"/>
        <w:spacing w:before="120" w:after="0"/>
        <w:rPr>
          <w:lang w:val="el" w:eastAsia="el"/>
        </w:rPr>
      </w:pPr>
      <w:r>
        <w:rPr>
          <w:b/>
          <w:bCs/>
          <w:lang w:val="el" w:eastAsia="el"/>
        </w:rPr>
        <w:t>γ)</w:t>
      </w:r>
      <w:r>
        <w:rPr>
          <w:b/>
          <w:bCs/>
          <w:lang w:val="en" w:eastAsia="en"/>
        </w:rPr>
        <w:tab/>
      </w:r>
      <w:r>
        <w:rPr>
          <w:b/>
          <w:bCs/>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b/>
          <w:bCs/>
          <w:lang w:val="el" w:eastAsia="el"/>
        </w:rPr>
        <w:t>δ)</w:t>
      </w:r>
      <w:r>
        <w:rPr>
          <w:b/>
          <w:bCs/>
          <w:lang w:val="en" w:eastAsia="en"/>
        </w:rPr>
        <w:tab/>
      </w:r>
      <w:r>
        <w:rPr>
          <w:b/>
          <w:bCs/>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b/>
          <w:bCs/>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b/>
          <w:bCs/>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b/>
          <w:bCs/>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b/>
          <w:bCs/>
          <w:lang w:val="el" w:eastAsia="el"/>
        </w:rPr>
        <w:t>Με αποφάσεις του Διοικητή της ΑΑΔΕ καθορίζεται κάθε αναγκαία λεπτομέρεια για την εφαρμογή των διατάξεων του παρόντος.</w:t>
      </w:r>
      <w:r>
        <w:rPr>
          <w:rStyle w:val="Hyperlink"/>
          <w:b/>
          <w:bCs/>
          <w:color w:val="000000"/>
          <w:sz w:val="20"/>
          <w:szCs w:val="20"/>
          <w:u w:val="none" w:color="0000EE"/>
          <w:vertAlign w:val="superscript"/>
          <w:lang w:val="el" w:eastAsia="el"/>
        </w:rPr>
        <w:footnoteReference w:id="197"/>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b/>
          <w:bCs/>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b/>
          <w:bCs/>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υπολογισμό του φόρου στο σύνολο της φορολογητέας κληρονομικής μερίδας ή κληροδοσίας ή δωρεάς ή γονικής παροχής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r>
        <w:rPr>
          <w:rStyle w:val="Hyperlink"/>
          <w:b/>
          <w:bCs/>
          <w:color w:val="000000"/>
          <w:sz w:val="20"/>
          <w:szCs w:val="20"/>
          <w:u w:val="none" w:color="0000EE"/>
          <w:vertAlign w:val="superscript"/>
          <w:lang w:val="el" w:eastAsia="el"/>
        </w:rPr>
        <w:footnoteReference w:id="198"/>
      </w:r>
    </w:p>
    <w:p>
      <w:pPr>
        <w:pStyle w:val="StructureList1"/>
        <w:spacing w:before="120" w:after="0"/>
        <w:rPr>
          <w:lang w:val="el" w:eastAsia="el"/>
        </w:rPr>
      </w:pPr>
      <w:r>
        <w:rPr>
          <w:b/>
          <w:bCs/>
          <w:lang w:val="el" w:eastAsia="el"/>
        </w:rPr>
        <w:t>β)</w:t>
      </w:r>
      <w:r>
        <w:rPr>
          <w:b/>
          <w:bCs/>
          <w:lang w:val="en" w:eastAsia="en"/>
        </w:rPr>
        <w:tab/>
      </w:r>
      <w:r>
        <w:rPr>
          <w:b/>
          <w:bCs/>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b/>
          <w:bCs/>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b/>
          <w:bCs/>
          <w:lang w:val="el" w:eastAsia="el"/>
        </w:rPr>
        <w:t>Διατηρούνται σε ισχύ:</w:t>
      </w:r>
    </w:p>
    <w:p>
      <w:pPr>
        <w:spacing w:before="240" w:after="240"/>
        <w:rPr>
          <w:lang w:val="el" w:eastAsia="el"/>
        </w:rPr>
      </w:pPr>
      <w:r>
        <w:rPr>
          <w:b/>
          <w:bCs/>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b/>
          <w:bCs/>
          <w:lang w:val="el" w:eastAsia="el"/>
        </w:rPr>
        <w:t>Β)</w:t>
      </w:r>
    </w:p>
    <w:p>
      <w:pPr>
        <w:pStyle w:val="StructureList1"/>
        <w:spacing w:before="120" w:after="0"/>
        <w:rPr>
          <w:lang w:val="el" w:eastAsia="el"/>
        </w:rPr>
      </w:pPr>
      <w:r>
        <w:rPr>
          <w:b/>
          <w:bCs/>
          <w:lang w:val="el" w:eastAsia="el"/>
        </w:rPr>
        <w:t>α)</w:t>
      </w:r>
      <w:r>
        <w:rPr>
          <w:b/>
          <w:bCs/>
          <w:lang w:val="en" w:eastAsia="en"/>
        </w:rPr>
        <w:tab/>
      </w:r>
      <w:r>
        <w:rPr>
          <w:b/>
          <w:bCs/>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ν. 3155/1955 (ΦΕΚ 63 Α`) "περί κατασκευής και συντηρήσεως οδών".</w:t>
      </w:r>
    </w:p>
    <w:p>
      <w:pPr>
        <w:pStyle w:val="StructureList1"/>
        <w:spacing w:before="120" w:after="0"/>
        <w:rPr>
          <w:lang w:val="el" w:eastAsia="el"/>
        </w:rPr>
      </w:pPr>
      <w:r>
        <w:rPr>
          <w:b/>
          <w:bCs/>
          <w:lang w:val="el" w:eastAsia="el"/>
        </w:rPr>
        <w:t>γ)</w:t>
      </w:r>
      <w:r>
        <w:rPr>
          <w:b/>
          <w:bCs/>
          <w:lang w:val="en" w:eastAsia="en"/>
        </w:rPr>
        <w:tab/>
      </w:r>
      <w:r>
        <w:rPr>
          <w:b/>
          <w:bCs/>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b/>
          <w:bCs/>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b/>
          <w:bCs/>
          <w:lang w:val="el" w:eastAsia="el"/>
        </w:rPr>
        <w:t>Δ)</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b/>
          <w:bCs/>
          <w:lang w:val="el" w:eastAsia="el"/>
        </w:rPr>
        <w:t>δ)</w:t>
      </w:r>
      <w:r>
        <w:rPr>
          <w:b/>
          <w:bCs/>
          <w:lang w:val="en" w:eastAsia="en"/>
        </w:rPr>
        <w:tab/>
      </w:r>
      <w:r>
        <w:rPr>
          <w:b/>
          <w:bCs/>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b/>
          <w:bCs/>
          <w:lang w:val="el" w:eastAsia="el"/>
        </w:rPr>
        <w:t>ι)</w:t>
      </w:r>
      <w:r>
        <w:rPr>
          <w:b/>
          <w:bCs/>
          <w:lang w:val="en" w:eastAsia="en"/>
        </w:rPr>
        <w:tab/>
      </w:r>
      <w:r>
        <w:rPr>
          <w:b/>
          <w:bCs/>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b/>
          <w:bCs/>
          <w:lang w:val="el" w:eastAsia="el"/>
        </w:rPr>
        <w:t>ιγ)</w:t>
      </w:r>
      <w:r>
        <w:rPr>
          <w:b/>
          <w:bCs/>
          <w:lang w:val="en" w:eastAsia="en"/>
        </w:rPr>
        <w:tab/>
      </w:r>
      <w:r>
        <w:rPr>
          <w:b/>
          <w:bCs/>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b/>
          <w:bCs/>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b/>
          <w:bCs/>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b/>
          <w:bCs/>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b/>
          <w:bCs/>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8" w:history="1">
        <w:r>
          <w:rPr>
            <w:rStyle w:val="Hyperlink"/>
            <w:color w:val="0000EE"/>
            <w:u w:color="0000EE"/>
            <w:lang w:val="el" w:eastAsia="el"/>
          </w:rPr>
          <w:t>Αφαίρεση 4646/2019, Άρθρο 48</w:t>
        </w:r>
      </w:hyperlink>
      <w:r>
        <w:rPr>
          <w:lang w:val="el" w:eastAsia="el"/>
        </w:rPr>
        <w:t xml:space="preserve">; </w:t>
      </w:r>
      <w:hyperlink r:id="rId2" w:anchor="art_2" w:history="1">
        <w:r>
          <w:rPr>
            <w:rStyle w:val="Hyperlink"/>
            <w:color w:val="0000EE"/>
            <w:u w:color="0000EE"/>
            <w:lang w:val="el" w:eastAsia="el"/>
          </w:rPr>
          <w:t>Τροποποίηση 4093/2012,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8" w:history="1">
        <w:r>
          <w:rPr>
            <w:rStyle w:val="Hyperlink"/>
            <w:color w:val="0000EE"/>
            <w:u w:color="0000EE"/>
            <w:lang w:val="el" w:eastAsia="el"/>
          </w:rPr>
          <w:t>Αφαίρεση 4646/2019, Άρθρο 48</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8" w:history="1">
        <w:r>
          <w:rPr>
            <w:rStyle w:val="Hyperlink"/>
            <w:color w:val="0000EE"/>
            <w:u w:color="0000EE"/>
            <w:lang w:val="el" w:eastAsia="el"/>
          </w:rPr>
          <w:t>Αφαίρεση 4646/2019, Άρθρο 48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8" w:history="1">
        <w:r>
          <w:rPr>
            <w:rStyle w:val="Hyperlink"/>
            <w:color w:val="0000EE"/>
            <w:u w:color="0000EE"/>
            <w:lang w:val="el" w:eastAsia="el"/>
          </w:rPr>
          <w:t>Αφαίρεση 4646/2019, Άρθρο 48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0" w:history="1">
        <w:r>
          <w:rPr>
            <w:rStyle w:val="Hyperlink"/>
            <w:color w:val="0000EE"/>
            <w:u w:color="0000EE"/>
            <w:lang w:val="el" w:eastAsia="el"/>
          </w:rPr>
          <w:t>Τροποποίηση 3427/2005, Άρθρο 20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8" w:history="1">
        <w:r>
          <w:rPr>
            <w:rStyle w:val="Hyperlink"/>
            <w:color w:val="0000EE"/>
            <w:u w:color="0000EE"/>
            <w:lang w:val="el" w:eastAsia="el"/>
          </w:rPr>
          <w:t>Αφαίρεση 4646/2019, Άρθρο 48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8" w:history="1">
        <w:r>
          <w:rPr>
            <w:rStyle w:val="Hyperlink"/>
            <w:color w:val="0000EE"/>
            <w:u w:color="0000EE"/>
            <w:lang w:val="el" w:eastAsia="el"/>
          </w:rPr>
          <w:t>Αφαίρεση 4646/2019, Άρθρο 48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13" w:history="1">
        <w:r>
          <w:rPr>
            <w:rStyle w:val="Hyperlink"/>
            <w:color w:val="0000EE"/>
            <w:u w:color="0000EE"/>
            <w:lang w:val="el" w:eastAsia="el"/>
          </w:rPr>
          <w:t>Προσθήκη 4537/2018, Άρθρο 113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8" w:history="1">
        <w:r>
          <w:rPr>
            <w:rStyle w:val="Hyperlink"/>
            <w:color w:val="0000EE"/>
            <w:u w:color="0000EE"/>
            <w:lang w:val="el" w:eastAsia="el"/>
          </w:rPr>
          <w:t>Αφαίρεση 4646/2019, Άρθρο 48</w:t>
        </w:r>
      </w:hyperlink>
      <w:r>
        <w:rPr>
          <w:lang w:val="el" w:eastAsia="el"/>
        </w:rPr>
        <w:t xml:space="preserve">; </w:t>
      </w:r>
      <w:hyperlink r:id="rId11" w:anchor="art_23" w:history="1">
        <w:r>
          <w:rPr>
            <w:rStyle w:val="Hyperlink"/>
            <w:color w:val="0000EE"/>
            <w:u w:color="0000EE"/>
            <w:lang w:val="el" w:eastAsia="el"/>
          </w:rPr>
          <w:t>Τροποποίηση 3943/2011, Άρθρο 23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3634/2008,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8" w:history="1">
        <w:r>
          <w:rPr>
            <w:rStyle w:val="Hyperlink"/>
            <w:color w:val="0000EE"/>
            <w:u w:color="0000EE"/>
            <w:lang w:val="el" w:eastAsia="el"/>
          </w:rPr>
          <w:t>Αφαίρεση 4646/2019, Άρθρο 48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0" w:history="1">
        <w:r>
          <w:rPr>
            <w:rStyle w:val="Hyperlink"/>
            <w:color w:val="0000EE"/>
            <w:u w:color="0000EE"/>
            <w:lang w:val="el" w:eastAsia="el"/>
          </w:rPr>
          <w:t>Τροποποίηση 3427/2005,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5" w:history="1">
        <w:r>
          <w:rPr>
            <w:rStyle w:val="Hyperlink"/>
            <w:color w:val="0000EE"/>
            <w:u w:color="0000EE"/>
            <w:lang w:val="el" w:eastAsia="el"/>
          </w:rPr>
          <w:t>Τροποποίηση 3220/2004,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2" w:history="1">
        <w:r>
          <w:rPr>
            <w:rStyle w:val="Hyperlink"/>
            <w:color w:val="0000EE"/>
            <w:u w:color="0000EE"/>
            <w:lang w:val="el" w:eastAsia="el"/>
          </w:rPr>
          <w:t>Προσθήκη 3091/2002, Άρθρο 12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2" w:history="1">
        <w:r>
          <w:rPr>
            <w:rStyle w:val="Hyperlink"/>
            <w:color w:val="0000EE"/>
            <w:u w:color="0000EE"/>
            <w:lang w:val="el" w:eastAsia="el"/>
          </w:rPr>
          <w:t>Τροποποίηση 3091/2002, Άρθρο 12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5" w:history="1">
        <w:r>
          <w:rPr>
            <w:rStyle w:val="Hyperlink"/>
            <w:color w:val="0000EE"/>
            <w:u w:color="0000EE"/>
            <w:lang w:val="el" w:eastAsia="el"/>
          </w:rPr>
          <w:t>Τροποποίηση 3220/2004, Άρθρο 35</w:t>
        </w:r>
      </w:hyperlink>
      <w:r>
        <w:rPr>
          <w:lang w:val="el" w:eastAsia="el"/>
        </w:rPr>
        <w:t xml:space="preserve">; </w:t>
      </w:r>
      <w:hyperlink r:id="rId19" w:anchor="art_12" w:history="1">
        <w:r>
          <w:rPr>
            <w:rStyle w:val="Hyperlink"/>
            <w:color w:val="0000EE"/>
            <w:u w:color="0000EE"/>
            <w:lang w:val="el" w:eastAsia="el"/>
          </w:rPr>
          <w:t>Προσθήκη 3091/2002, Άρθρο 12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5" w:history="1">
        <w:r>
          <w:rPr>
            <w:rStyle w:val="Hyperlink"/>
            <w:color w:val="0000EE"/>
            <w:u w:color="0000EE"/>
            <w:lang w:val="el" w:eastAsia="el"/>
          </w:rPr>
          <w:t>Τροποποίηση 3220/2004, Άρθρο 35</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5" w:history="1">
        <w:r>
          <w:rPr>
            <w:rStyle w:val="Hyperlink"/>
            <w:color w:val="0000EE"/>
            <w:u w:color="0000EE"/>
            <w:lang w:val="el" w:eastAsia="el"/>
          </w:rPr>
          <w:t>Τροποποίηση 3220/2004, Άρθρο 35</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5" w:history="1">
        <w:r>
          <w:rPr>
            <w:rStyle w:val="Hyperlink"/>
            <w:color w:val="0000EE"/>
            <w:u w:color="0000EE"/>
            <w:lang w:val="el" w:eastAsia="el"/>
          </w:rPr>
          <w:t>Τροποποίηση 3220/2004, Άρθρο 35</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5" w:history="1">
        <w:r>
          <w:rPr>
            <w:rStyle w:val="Hyperlink"/>
            <w:color w:val="0000EE"/>
            <w:u w:color="0000EE"/>
            <w:lang w:val="el" w:eastAsia="el"/>
          </w:rPr>
          <w:t>Τροποποίηση 3220/2004, Άρθρο 35</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5" w:history="1">
        <w:r>
          <w:rPr>
            <w:rStyle w:val="Hyperlink"/>
            <w:color w:val="0000EE"/>
            <w:u w:color="0000EE"/>
            <w:lang w:val="el" w:eastAsia="el"/>
          </w:rPr>
          <w:t>Τροποποίηση 3220/2004, Άρθρο 35</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5" w:history="1">
        <w:r>
          <w:rPr>
            <w:rStyle w:val="Hyperlink"/>
            <w:color w:val="0000EE"/>
            <w:u w:color="0000EE"/>
            <w:lang w:val="el" w:eastAsia="el"/>
          </w:rPr>
          <w:t>Τροποποίηση 3220/2004, Άρθρο 35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5" w:history="1">
        <w:r>
          <w:rPr>
            <w:rStyle w:val="Hyperlink"/>
            <w:color w:val="0000EE"/>
            <w:u w:color="0000EE"/>
            <w:lang w:val="el" w:eastAsia="el"/>
          </w:rPr>
          <w:t>Τροποποίηση 3220/2004, Άρθρο 35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0" w:history="1">
        <w:r>
          <w:rPr>
            <w:rStyle w:val="Hyperlink"/>
            <w:color w:val="0000EE"/>
            <w:u w:color="0000EE"/>
            <w:lang w:val="el" w:eastAsia="el"/>
          </w:rPr>
          <w:t>Τροποποίηση 3427/2005, Άρθρο 20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 w:history="1">
        <w:r>
          <w:rPr>
            <w:rStyle w:val="Hyperlink"/>
            <w:color w:val="0000EE"/>
            <w:u w:color="0000EE"/>
            <w:lang w:val="el" w:eastAsia="el"/>
          </w:rPr>
          <w:t>Τροποποίηση 3634/2008, Άρθρο 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 w:history="1">
        <w:r>
          <w:rPr>
            <w:rStyle w:val="Hyperlink"/>
            <w:color w:val="0000EE"/>
            <w:u w:color="0000EE"/>
            <w:lang w:val="el" w:eastAsia="el"/>
          </w:rPr>
          <w:t>Προσθήκη 3091/2002, Άρθρο 11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8" w:history="1">
        <w:r>
          <w:rPr>
            <w:rStyle w:val="Hyperlink"/>
            <w:color w:val="0000EE"/>
            <w:u w:color="0000EE"/>
            <w:lang w:val="el" w:eastAsia="el"/>
          </w:rPr>
          <w:t>Αφαίρεση 4646/2019, Άρθρο 48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31" w:anchor="art_1" w:history="1">
        <w:r>
          <w:rPr>
            <w:rStyle w:val="Hyperlink"/>
            <w:color w:val="0000EE"/>
            <w:u w:color="0000EE"/>
            <w:lang w:val="el" w:eastAsia="el"/>
          </w:rPr>
          <w:t>Προσθήκη 3634/2008,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1" w:history="1">
        <w:r>
          <w:rPr>
            <w:rStyle w:val="Hyperlink"/>
            <w:color w:val="0000EE"/>
            <w:u w:color="0000EE"/>
            <w:lang w:val="el" w:eastAsia="el"/>
          </w:rPr>
          <w:t>Τροποποίηση 3470/2006, Άρθρο 11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6" w:history="1">
        <w:r>
          <w:rPr>
            <w:rStyle w:val="Hyperlink"/>
            <w:color w:val="0000EE"/>
            <w:u w:color="0000EE"/>
            <w:lang w:val="el" w:eastAsia="el"/>
          </w:rPr>
          <w:t>Τροποποίηση 3522/2006, Άρθρο 16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3" w:history="1">
        <w:r>
          <w:rPr>
            <w:rStyle w:val="Hyperlink"/>
            <w:color w:val="0000EE"/>
            <w:u w:color="0000EE"/>
            <w:lang w:val="el" w:eastAsia="el"/>
          </w:rPr>
          <w:t>Προσθήκη 3943/2011, Άρθρο 23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2" w:history="1">
        <w:r>
          <w:rPr>
            <w:rStyle w:val="Hyperlink"/>
            <w:color w:val="0000EE"/>
            <w:u w:color="0000EE"/>
            <w:lang w:val="el" w:eastAsia="el"/>
          </w:rPr>
          <w:t>Προσθήκη 3091/2002, Άρθρο 12</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36" w:anchor="art_12" w:history="1">
        <w:r>
          <w:rPr>
            <w:rStyle w:val="Hyperlink"/>
            <w:color w:val="0000EE"/>
            <w:u w:color="0000EE"/>
            <w:lang w:val="el" w:eastAsia="el"/>
          </w:rPr>
          <w:t>Προσθήκη 3091/2002, Άρθρο 12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5" w:history="1">
        <w:r>
          <w:rPr>
            <w:rStyle w:val="Hyperlink"/>
            <w:color w:val="0000EE"/>
            <w:u w:color="0000EE"/>
            <w:lang w:val="el" w:eastAsia="el"/>
          </w:rPr>
          <w:t>Προσθήκη 3610/2007, Άρθρο 25</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5" w:history="1">
        <w:r>
          <w:rPr>
            <w:rStyle w:val="Hyperlink"/>
            <w:color w:val="0000EE"/>
            <w:u w:color="0000EE"/>
            <w:lang w:val="el" w:eastAsia="el"/>
          </w:rPr>
          <w:t>Προσθήκη 3842/2010, Άρθρο 25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4" w:history="1">
        <w:r>
          <w:rPr>
            <w:rStyle w:val="Hyperlink"/>
            <w:color w:val="0000EE"/>
            <w:u w:color="0000EE"/>
            <w:lang w:val="el" w:eastAsia="el"/>
          </w:rPr>
          <w:t>Τροποποίηση 4474/2017, Άρθρο 14</w:t>
        </w:r>
      </w:hyperlink>
      <w:r>
        <w:rPr>
          <w:lang w:val="el" w:eastAsia="el"/>
        </w:rPr>
        <w:t xml:space="preserve">; </w:t>
      </w:r>
      <w:hyperlink r:id="rId40" w:anchor="art_1" w:history="1">
        <w:r>
          <w:rPr>
            <w:rStyle w:val="Hyperlink"/>
            <w:color w:val="0000EE"/>
            <w:u w:color="0000EE"/>
            <w:lang w:val="el" w:eastAsia="el"/>
          </w:rPr>
          <w:t>Τροποποίηση 3634/2008, Άρθρο 1</w:t>
        </w:r>
      </w:hyperlink>
      <w:r>
        <w:rPr>
          <w:lang w:val="el" w:eastAsia="el"/>
        </w:rPr>
        <w:t xml:space="preserve">; </w:t>
      </w:r>
      <w:hyperlink r:id="rId41" w:anchor="art_10" w:history="1">
        <w:r>
          <w:rPr>
            <w:rStyle w:val="Hyperlink"/>
            <w:color w:val="0000EE"/>
            <w:u w:color="0000EE"/>
            <w:lang w:val="el" w:eastAsia="el"/>
          </w:rPr>
          <w:t>Τροποποίηση 3091/2002, Άρθρο 10</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0" w:history="1">
        <w:r>
          <w:rPr>
            <w:rStyle w:val="Hyperlink"/>
            <w:color w:val="0000EE"/>
            <w:u w:color="0000EE"/>
            <w:lang w:val="el" w:eastAsia="el"/>
          </w:rPr>
          <w:t>Τροποποίηση 3091/2002,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 w:history="1">
        <w:r>
          <w:rPr>
            <w:rStyle w:val="Hyperlink"/>
            <w:color w:val="0000EE"/>
            <w:u w:color="0000EE"/>
            <w:lang w:val="el" w:eastAsia="el"/>
          </w:rPr>
          <w:t>Τροποποίηση 3554/2007, Άρθρο 5</w:t>
        </w:r>
      </w:hyperlink>
      <w:r>
        <w:rPr>
          <w:lang w:val="el" w:eastAsia="el"/>
        </w:rPr>
        <w:t xml:space="preserve">; </w:t>
      </w:r>
      <w:hyperlink r:id="rId44" w:anchor="art_20" w:history="1">
        <w:r>
          <w:rPr>
            <w:rStyle w:val="Hyperlink"/>
            <w:color w:val="0000EE"/>
            <w:u w:color="0000EE"/>
            <w:lang w:val="el" w:eastAsia="el"/>
          </w:rPr>
          <w:t>Τροποποίηση 3427/2005, Άρθρο 20</w:t>
        </w:r>
      </w:hyperlink>
      <w:r>
        <w:rPr>
          <w:lang w:val="el" w:eastAsia="el"/>
        </w:rPr>
        <w:t xml:space="preserve">; </w:t>
      </w:r>
      <w:hyperlink r:id="rId45" w:anchor="art_10" w:history="1">
        <w:r>
          <w:rPr>
            <w:rStyle w:val="Hyperlink"/>
            <w:color w:val="0000EE"/>
            <w:u w:color="0000EE"/>
            <w:lang w:val="el" w:eastAsia="el"/>
          </w:rPr>
          <w:t>Τροποποίηση 3091/2002, Άρθρο 10</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5" w:history="1">
        <w:r>
          <w:rPr>
            <w:rStyle w:val="Hyperlink"/>
            <w:color w:val="0000EE"/>
            <w:u w:color="0000EE"/>
            <w:lang w:val="el" w:eastAsia="el"/>
          </w:rPr>
          <w:t>Τροποποίηση 3554/2007, Άρθρο 5</w:t>
        </w:r>
      </w:hyperlink>
      <w:r>
        <w:rPr>
          <w:lang w:val="el" w:eastAsia="el"/>
        </w:rPr>
        <w:t xml:space="preserve">; </w:t>
      </w:r>
      <w:hyperlink r:id="rId47" w:anchor="art_20" w:history="1">
        <w:r>
          <w:rPr>
            <w:rStyle w:val="Hyperlink"/>
            <w:color w:val="0000EE"/>
            <w:u w:color="0000EE"/>
            <w:lang w:val="el" w:eastAsia="el"/>
          </w:rPr>
          <w:t>Τροποποίηση 3427/2005, Άρθρο 20</w:t>
        </w:r>
      </w:hyperlink>
      <w:r>
        <w:rPr>
          <w:lang w:val="el" w:eastAsia="el"/>
        </w:rPr>
        <w:t xml:space="preserve">; </w:t>
      </w:r>
      <w:hyperlink r:id="rId48" w:anchor="art_10" w:history="1">
        <w:r>
          <w:rPr>
            <w:rStyle w:val="Hyperlink"/>
            <w:color w:val="0000EE"/>
            <w:u w:color="0000EE"/>
            <w:lang w:val="el" w:eastAsia="el"/>
          </w:rPr>
          <w:t>Τροποποίηση 3091/2002, Άρθρο 10</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0" w:history="1">
        <w:r>
          <w:rPr>
            <w:rStyle w:val="Hyperlink"/>
            <w:color w:val="0000EE"/>
            <w:u w:color="0000EE"/>
            <w:lang w:val="el" w:eastAsia="el"/>
          </w:rPr>
          <w:t>Τροποποίηση 3091/2002, Άρθρο 10</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3220/2004art_35par_11</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9" w:history="1">
        <w:r>
          <w:rPr>
            <w:rStyle w:val="Hyperlink"/>
            <w:color w:val="0000EE"/>
            <w:u w:color="0000EE"/>
            <w:lang w:val="el" w:eastAsia="el"/>
          </w:rPr>
          <w:t>Τροποποίηση 3220/2004, Άρθρο 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9" w:history="1">
        <w:r>
          <w:rPr>
            <w:rStyle w:val="Hyperlink"/>
            <w:color w:val="0000EE"/>
            <w:u w:color="0000EE"/>
            <w:lang w:val="el" w:eastAsia="el"/>
          </w:rPr>
          <w:t>Τροποποίηση 3220/2004, Άρθρο 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9" w:history="1">
        <w:r>
          <w:rPr>
            <w:rStyle w:val="Hyperlink"/>
            <w:color w:val="0000EE"/>
            <w:u w:color="0000EE"/>
            <w:lang w:val="el" w:eastAsia="el"/>
          </w:rPr>
          <w:t>Τροποποίηση 3220/2004, Άρθρο 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9" w:history="1">
        <w:r>
          <w:rPr>
            <w:rStyle w:val="Hyperlink"/>
            <w:color w:val="0000EE"/>
            <w:u w:color="0000EE"/>
            <w:lang w:val="el" w:eastAsia="el"/>
          </w:rPr>
          <w:t>Τροποποίηση 3220/2004, Άρθρο 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9" w:history="1">
        <w:r>
          <w:rPr>
            <w:rStyle w:val="Hyperlink"/>
            <w:color w:val="0000EE"/>
            <w:u w:color="0000EE"/>
            <w:lang w:val="el" w:eastAsia="el"/>
          </w:rPr>
          <w:t>Αφαίρεση 3220/2004, Άρθρο 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 w:history="1">
        <w:r>
          <w:rPr>
            <w:rStyle w:val="Hyperlink"/>
            <w:color w:val="0000EE"/>
            <w:u w:color="0000EE"/>
            <w:lang w:val="el" w:eastAsia="el"/>
          </w:rPr>
          <w:t>Προσθήκη 3634/2008, Άρθρο 1</w:t>
        </w:r>
      </w:hyperlink>
      <w:r>
        <w:rPr>
          <w:lang w:val="el" w:eastAsia="el"/>
        </w:rPr>
        <w:t xml:space="preserve">; </w:t>
      </w:r>
      <w:hyperlink r:id="rId56" w:anchor="art_9" w:history="1">
        <w:r>
          <w:rPr>
            <w:rStyle w:val="Hyperlink"/>
            <w:color w:val="0000EE"/>
            <w:u w:color="0000EE"/>
            <w:lang w:val="el" w:eastAsia="el"/>
          </w:rPr>
          <w:t>Τροποποίηση 3220/2004, Άρθρο 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9" w:history="1">
        <w:r>
          <w:rPr>
            <w:rStyle w:val="Hyperlink"/>
            <w:color w:val="0000EE"/>
            <w:u w:color="0000EE"/>
            <w:lang w:val="el" w:eastAsia="el"/>
          </w:rPr>
          <w:t>Αφαίρεση 3220/2004, Άρθρο 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9" w:history="1">
        <w:r>
          <w:rPr>
            <w:rStyle w:val="Hyperlink"/>
            <w:color w:val="0000EE"/>
            <w:u w:color="0000EE"/>
            <w:lang w:val="el" w:eastAsia="el"/>
          </w:rPr>
          <w:t>Τροποποίηση 3220/2004, Άρθρο 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9" w:history="1">
        <w:r>
          <w:rPr>
            <w:rStyle w:val="Hyperlink"/>
            <w:color w:val="0000EE"/>
            <w:u w:color="0000EE"/>
            <w:lang w:val="el" w:eastAsia="el"/>
          </w:rPr>
          <w:t>Τροποποίηση 3220/2004, Άρθρο 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9" w:history="1">
        <w:r>
          <w:rPr>
            <w:rStyle w:val="Hyperlink"/>
            <w:color w:val="0000EE"/>
            <w:u w:color="0000EE"/>
            <w:lang w:val="el" w:eastAsia="el"/>
          </w:rPr>
          <w:t>Τροποποίηση 3220/2004, Άρθρο 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9" w:history="1">
        <w:r>
          <w:rPr>
            <w:rStyle w:val="Hyperlink"/>
            <w:color w:val="0000EE"/>
            <w:u w:color="0000EE"/>
            <w:lang w:val="el" w:eastAsia="el"/>
          </w:rPr>
          <w:t>Τροποποίηση 3220/2004, Άρθρο 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62" w:anchor="art_1" w:history="1">
        <w:r>
          <w:rPr>
            <w:rStyle w:val="Hyperlink"/>
            <w:color w:val="0000EE"/>
            <w:u w:color="0000EE"/>
            <w:lang w:val="el" w:eastAsia="el"/>
          </w:rPr>
          <w:t>Τροποποίηση 3634/2008, Άρθρο 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 w:history="1">
        <w:r>
          <w:rPr>
            <w:rStyle w:val="Hyperlink"/>
            <w:color w:val="0000EE"/>
            <w:u w:color="0000EE"/>
            <w:lang w:val="el" w:eastAsia="el"/>
          </w:rPr>
          <w:t>Τροποποίηση 3634/2008, Άρθρο 1</w:t>
        </w:r>
      </w:hyperlink>
      <w:r>
        <w:rPr>
          <w:lang w:val="el" w:eastAsia="el"/>
        </w:rPr>
        <w:t xml:space="preserve">; </w:t>
      </w:r>
      <w:hyperlink r:id="rId64" w:anchor="art_5" w:history="1">
        <w:r>
          <w:rPr>
            <w:rStyle w:val="Hyperlink"/>
            <w:color w:val="0000EE"/>
            <w:u w:color="0000EE"/>
            <w:lang w:val="el" w:eastAsia="el"/>
          </w:rPr>
          <w:t>Τροποποίηση 3554/2007, Άρθρο 5</w:t>
        </w:r>
      </w:hyperlink>
      <w:r>
        <w:rPr>
          <w:lang w:val="el" w:eastAsia="el"/>
        </w:rPr>
        <w:t xml:space="preserve">; </w:t>
      </w:r>
      <w:hyperlink r:id="rId65" w:anchor="art_20" w:history="1">
        <w:r>
          <w:rPr>
            <w:rStyle w:val="Hyperlink"/>
            <w:color w:val="0000EE"/>
            <w:u w:color="0000EE"/>
            <w:lang w:val="el" w:eastAsia="el"/>
          </w:rPr>
          <w:t>Τροποποίηση 3427/2005, Άρθρο 20</w:t>
        </w:r>
      </w:hyperlink>
      <w:r>
        <w:rPr>
          <w:lang w:val="el" w:eastAsia="el"/>
        </w:rPr>
        <w:t xml:space="preserve">; </w:t>
      </w:r>
      <w:hyperlink r:id="rId66" w:anchor="art_12" w:history="1">
        <w:r>
          <w:rPr>
            <w:rStyle w:val="Hyperlink"/>
            <w:color w:val="0000EE"/>
            <w:u w:color="0000EE"/>
            <w:lang w:val="el" w:eastAsia="el"/>
          </w:rPr>
          <w:t>Τροποποίηση 3091/2002, Άρθρο 12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67" w:anchor="art_1" w:history="1">
        <w:r>
          <w:rPr>
            <w:rStyle w:val="Hyperlink"/>
            <w:color w:val="0000EE"/>
            <w:u w:color="0000EE"/>
            <w:lang w:val="el" w:eastAsia="el"/>
          </w:rPr>
          <w:t>Τροποποίηση 3634/2008, Άρθρο 1</w:t>
        </w:r>
      </w:hyperlink>
      <w:r>
        <w:rPr>
          <w:lang w:val="el" w:eastAsia="el"/>
        </w:rPr>
        <w:t xml:space="preserve">; </w:t>
      </w:r>
      <w:hyperlink r:id="rId68" w:anchor="art_5" w:history="1">
        <w:r>
          <w:rPr>
            <w:rStyle w:val="Hyperlink"/>
            <w:color w:val="0000EE"/>
            <w:u w:color="0000EE"/>
            <w:lang w:val="el" w:eastAsia="el"/>
          </w:rPr>
          <w:t>Τροποποίηση 3554/2007, Άρθρο 5</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 w:history="1">
        <w:r>
          <w:rPr>
            <w:rStyle w:val="Hyperlink"/>
            <w:color w:val="0000EE"/>
            <w:u w:color="0000EE"/>
            <w:lang w:val="el" w:eastAsia="el"/>
          </w:rPr>
          <w:t>Τροποποίηση 3634/2008, Άρθρο 1</w:t>
        </w:r>
      </w:hyperlink>
      <w:r>
        <w:rPr>
          <w:lang w:val="el" w:eastAsia="el"/>
        </w:rPr>
        <w:t xml:space="preserve">; </w:t>
      </w:r>
      <w:hyperlink r:id="rId70" w:anchor="art_12" w:history="1">
        <w:r>
          <w:rPr>
            <w:rStyle w:val="Hyperlink"/>
            <w:color w:val="0000EE"/>
            <w:u w:color="0000EE"/>
            <w:lang w:val="el" w:eastAsia="el"/>
          </w:rPr>
          <w:t>Τροποποίηση 3091/2002, Άρθρο 12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71" w:anchor="art_1" w:history="1">
        <w:r>
          <w:rPr>
            <w:rStyle w:val="Hyperlink"/>
            <w:color w:val="0000EE"/>
            <w:u w:color="0000EE"/>
            <w:lang w:val="el" w:eastAsia="el"/>
          </w:rPr>
          <w:t>Τροποποίηση 3634/2008, Άρθρο 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72" w:anchor="art_1" w:history="1">
        <w:r>
          <w:rPr>
            <w:rStyle w:val="Hyperlink"/>
            <w:color w:val="0000EE"/>
            <w:u w:color="0000EE"/>
            <w:lang w:val="el" w:eastAsia="el"/>
          </w:rPr>
          <w:t>Τροποποίηση 3634/2008, Άρθρο 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 w:history="1">
        <w:r>
          <w:rPr>
            <w:rStyle w:val="Hyperlink"/>
            <w:color w:val="0000EE"/>
            <w:u w:color="0000EE"/>
            <w:lang w:val="el" w:eastAsia="el"/>
          </w:rPr>
          <w:t>Τροποποίηση 3634/2008, Άρθρο 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 w:history="1">
        <w:r>
          <w:rPr>
            <w:rStyle w:val="Hyperlink"/>
            <w:color w:val="0000EE"/>
            <w:u w:color="0000EE"/>
            <w:lang w:val="el" w:eastAsia="el"/>
          </w:rPr>
          <w:t>Τροποποίηση 3634/2008, Άρθρο 1</w:t>
        </w:r>
      </w:hyperlink>
      <w:r>
        <w:rPr>
          <w:lang w:val="el" w:eastAsia="el"/>
        </w:rPr>
        <w:t xml:space="preserve">; </w:t>
      </w:r>
      <w:hyperlink r:id="rId75" w:anchor="art_11" w:history="1">
        <w:r>
          <w:rPr>
            <w:rStyle w:val="Hyperlink"/>
            <w:color w:val="0000EE"/>
            <w:u w:color="0000EE"/>
            <w:lang w:val="el" w:eastAsia="el"/>
          </w:rPr>
          <w:t>Τροποποίηση 3091/2002, Άρθρο 11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 w:history="1">
        <w:r>
          <w:rPr>
            <w:rStyle w:val="Hyperlink"/>
            <w:color w:val="0000EE"/>
            <w:u w:color="0000EE"/>
            <w:lang w:val="el" w:eastAsia="el"/>
          </w:rPr>
          <w:t>Τροποποίηση 3634/2008, Άρθρο 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 w:history="1">
        <w:r>
          <w:rPr>
            <w:rStyle w:val="Hyperlink"/>
            <w:color w:val="0000EE"/>
            <w:u w:color="0000EE"/>
            <w:lang w:val="el" w:eastAsia="el"/>
          </w:rPr>
          <w:t>Τροποποίηση 3634/2008, Άρθρο 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3815/2010, Άρθρο 1</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8" w:history="1">
        <w:r>
          <w:rPr>
            <w:rStyle w:val="Hyperlink"/>
            <w:color w:val="0000EE"/>
            <w:u w:color="0000EE"/>
            <w:lang w:val="el" w:eastAsia="el"/>
          </w:rPr>
          <w:t>Αφαίρεση 4646/2019, Άρθρο 48</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8" w:history="1">
        <w:r>
          <w:rPr>
            <w:rStyle w:val="Hyperlink"/>
            <w:color w:val="0000EE"/>
            <w:u w:color="0000EE"/>
            <w:lang w:val="el" w:eastAsia="el"/>
          </w:rPr>
          <w:t>Αφαίρεση 4646/2019, Άρθρο 48</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8" w:history="1">
        <w:r>
          <w:rPr>
            <w:rStyle w:val="Hyperlink"/>
            <w:color w:val="0000EE"/>
            <w:u w:color="0000EE"/>
            <w:lang w:val="el" w:eastAsia="el"/>
          </w:rPr>
          <w:t>Αφαίρεση 4646/2019, Άρθρο 48</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8" w:history="1">
        <w:r>
          <w:rPr>
            <w:rStyle w:val="Hyperlink"/>
            <w:color w:val="0000EE"/>
            <w:u w:color="0000EE"/>
            <w:lang w:val="el" w:eastAsia="el"/>
          </w:rPr>
          <w:t>Αφαίρεση 4646/2019, Άρθρο 48</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 w:history="1">
        <w:r>
          <w:rPr>
            <w:rStyle w:val="Hyperlink"/>
            <w:color w:val="0000EE"/>
            <w:u w:color="0000EE"/>
            <w:lang w:val="el" w:eastAsia="el"/>
          </w:rPr>
          <w:t>Αφαίρεση 3634/2008, Άρθρο 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 w:history="1">
        <w:r>
          <w:rPr>
            <w:rStyle w:val="Hyperlink"/>
            <w:color w:val="0000EE"/>
            <w:u w:color="0000EE"/>
            <w:lang w:val="el" w:eastAsia="el"/>
          </w:rPr>
          <w:t>Αφαίρεση 3634/2008, Άρθρο 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0" w:history="1">
        <w:r>
          <w:rPr>
            <w:rStyle w:val="Hyperlink"/>
            <w:color w:val="0000EE"/>
            <w:u w:color="0000EE"/>
            <w:lang w:val="el" w:eastAsia="el"/>
          </w:rPr>
          <w:t>Προσθήκη 3427/2005, Άρθρο 20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8" w:history="1">
        <w:r>
          <w:rPr>
            <w:rStyle w:val="Hyperlink"/>
            <w:color w:val="0000EE"/>
            <w:u w:color="0000EE"/>
            <w:lang w:val="el" w:eastAsia="el"/>
          </w:rPr>
          <w:t>Προσθήκη 4646/2019, Άρθρο 48</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 w:history="1">
        <w:r>
          <w:rPr>
            <w:rStyle w:val="Hyperlink"/>
            <w:color w:val="0000EE"/>
            <w:u w:color="0000EE"/>
            <w:lang w:val="el" w:eastAsia="el"/>
          </w:rPr>
          <w:t>Τροποποίηση 3634/2008, Άρθρο 1</w:t>
        </w:r>
      </w:hyperlink>
      <w:r>
        <w:rPr>
          <w:lang w:val="el" w:eastAsia="el"/>
        </w:rPr>
        <w:t xml:space="preserve">; </w:t>
      </w:r>
      <w:hyperlink r:id="rId87" w:anchor="art_5" w:history="1">
        <w:r>
          <w:rPr>
            <w:rStyle w:val="Hyperlink"/>
            <w:color w:val="0000EE"/>
            <w:u w:color="0000EE"/>
            <w:lang w:val="el" w:eastAsia="el"/>
          </w:rPr>
          <w:t>Τροποποίηση 3554/2007, Άρθρο 5</w:t>
        </w:r>
      </w:hyperlink>
      <w:r>
        <w:rPr>
          <w:lang w:val="el" w:eastAsia="el"/>
        </w:rPr>
        <w:t xml:space="preserve">; </w:t>
      </w:r>
      <w:hyperlink r:id="rId88" w:anchor="art_20" w:history="1">
        <w:r>
          <w:rPr>
            <w:rStyle w:val="Hyperlink"/>
            <w:color w:val="0000EE"/>
            <w:u w:color="0000EE"/>
            <w:lang w:val="el" w:eastAsia="el"/>
          </w:rPr>
          <w:t>Τροποποίηση 3427/2005, Άρθρο 20</w:t>
        </w:r>
      </w:hyperlink>
      <w:r>
        <w:rPr>
          <w:lang w:val="el" w:eastAsia="el"/>
        </w:rPr>
        <w:t xml:space="preserve">; </w:t>
      </w:r>
      <w:hyperlink r:id="rId89" w:anchor="art_12" w:history="1">
        <w:r>
          <w:rPr>
            <w:rStyle w:val="Hyperlink"/>
            <w:color w:val="0000EE"/>
            <w:u w:color="0000EE"/>
            <w:lang w:val="el" w:eastAsia="el"/>
          </w:rPr>
          <w:t>Τροποποίηση 3091/2002, Άρθρο 12</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48" w:history="1">
        <w:r>
          <w:rPr>
            <w:rStyle w:val="Hyperlink"/>
            <w:color w:val="0000EE"/>
            <w:u w:color="0000EE"/>
            <w:lang w:val="el" w:eastAsia="el"/>
          </w:rPr>
          <w:t>Αφαίρεση 4646/2019, Άρθρο 48</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48" w:history="1">
        <w:r>
          <w:rPr>
            <w:rStyle w:val="Hyperlink"/>
            <w:color w:val="0000EE"/>
            <w:u w:color="0000EE"/>
            <w:lang w:val="el" w:eastAsia="el"/>
          </w:rPr>
          <w:t>Αφαίρεση 4646/2019, Άρθρο 48</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13" w:history="1">
        <w:r>
          <w:rPr>
            <w:rStyle w:val="Hyperlink"/>
            <w:color w:val="0000EE"/>
            <w:u w:color="0000EE"/>
            <w:lang w:val="el" w:eastAsia="el"/>
          </w:rPr>
          <w:t>Προσθήκη 4537/2018, Άρθρο 113</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48" w:history="1">
        <w:r>
          <w:rPr>
            <w:rStyle w:val="Hyperlink"/>
            <w:color w:val="0000EE"/>
            <w:u w:color="0000EE"/>
            <w:lang w:val="el" w:eastAsia="el"/>
          </w:rPr>
          <w:t>Αφαίρεση 4646/2019, Άρθρο 48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8" w:history="1">
        <w:r>
          <w:rPr>
            <w:rStyle w:val="Hyperlink"/>
            <w:color w:val="0000EE"/>
            <w:u w:color="0000EE"/>
            <w:lang w:val="el" w:eastAsia="el"/>
          </w:rPr>
          <w:t>Τροποποίηση 4646/2019, Άρθρο 48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0" w:history="1">
        <w:r>
          <w:rPr>
            <w:rStyle w:val="Hyperlink"/>
            <w:color w:val="0000EE"/>
            <w:u w:color="0000EE"/>
            <w:lang w:val="el" w:eastAsia="el"/>
          </w:rPr>
          <w:t>Τροποποίηση 3427/2005, Άρθρο 20</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5" w:history="1">
        <w:r>
          <w:rPr>
            <w:rStyle w:val="Hyperlink"/>
            <w:color w:val="0000EE"/>
            <w:u w:color="0000EE"/>
            <w:lang w:val="el" w:eastAsia="el"/>
          </w:rPr>
          <w:t>Τροποποίηση 3842/2010, Άρθρο 25</w:t>
        </w:r>
      </w:hyperlink>
      <w:r>
        <w:rPr>
          <w:lang w:val="el" w:eastAsia="el"/>
        </w:rPr>
        <w:t xml:space="preserve">; </w:t>
      </w:r>
      <w:hyperlink r:id="rId97" w:anchor="art_1" w:history="1">
        <w:r>
          <w:rPr>
            <w:rStyle w:val="Hyperlink"/>
            <w:color w:val="0000EE"/>
            <w:u w:color="0000EE"/>
            <w:lang w:val="el" w:eastAsia="el"/>
          </w:rPr>
          <w:t>Τροποποίηση 3634/2008, Άρθρο 1</w:t>
        </w:r>
      </w:hyperlink>
      <w:r>
        <w:rPr>
          <w:lang w:val="el" w:eastAsia="el"/>
        </w:rPr>
        <w:t xml:space="preserve">; </w:t>
      </w:r>
      <w:hyperlink r:id="rId98" w:anchor="art_5" w:history="1">
        <w:r>
          <w:rPr>
            <w:rStyle w:val="Hyperlink"/>
            <w:color w:val="0000EE"/>
            <w:u w:color="0000EE"/>
            <w:lang w:val="el" w:eastAsia="el"/>
          </w:rPr>
          <w:t>Τροποποίηση 3554/2007, Άρθρο 5</w:t>
        </w:r>
      </w:hyperlink>
      <w:r>
        <w:rPr>
          <w:lang w:val="el" w:eastAsia="el"/>
        </w:rPr>
        <w:t xml:space="preserve">; </w:t>
      </w:r>
      <w:hyperlink r:id="rId99" w:anchor="art_20" w:history="1">
        <w:r>
          <w:rPr>
            <w:rStyle w:val="Hyperlink"/>
            <w:color w:val="0000EE"/>
            <w:u w:color="0000EE"/>
            <w:lang w:val="el" w:eastAsia="el"/>
          </w:rPr>
          <w:t>Τροποποίηση 3427/2005, Άρθρο 20</w:t>
        </w:r>
      </w:hyperlink>
      <w:r>
        <w:rPr>
          <w:lang w:val="el" w:eastAsia="el"/>
        </w:rPr>
        <w:t xml:space="preserve">; </w:t>
      </w:r>
      <w:hyperlink r:id="rId100" w:anchor="art_10" w:history="1">
        <w:r>
          <w:rPr>
            <w:rStyle w:val="Hyperlink"/>
            <w:color w:val="0000EE"/>
            <w:u w:color="0000EE"/>
            <w:lang w:val="el" w:eastAsia="el"/>
          </w:rPr>
          <w:t>Τροποποίηση 3091/2002, Άρθρο 10</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5" w:history="1">
        <w:r>
          <w:rPr>
            <w:rStyle w:val="Hyperlink"/>
            <w:color w:val="0000EE"/>
            <w:u w:color="0000EE"/>
            <w:lang w:val="el" w:eastAsia="el"/>
          </w:rPr>
          <w:t>Τροποποίηση 3842/2010, Άρθρο 25</w:t>
        </w:r>
      </w:hyperlink>
      <w:r>
        <w:rPr>
          <w:lang w:val="el" w:eastAsia="el"/>
        </w:rPr>
        <w:t xml:space="preserve">; </w:t>
      </w:r>
      <w:hyperlink r:id="rId102" w:anchor="art_1" w:history="1">
        <w:r>
          <w:rPr>
            <w:rStyle w:val="Hyperlink"/>
            <w:color w:val="0000EE"/>
            <w:u w:color="0000EE"/>
            <w:lang w:val="el" w:eastAsia="el"/>
          </w:rPr>
          <w:t>Τροποποίηση 3634/2008, Άρθρο 1</w:t>
        </w:r>
      </w:hyperlink>
      <w:r>
        <w:rPr>
          <w:lang w:val="el" w:eastAsia="el"/>
        </w:rPr>
        <w:t xml:space="preserve">; </w:t>
      </w:r>
      <w:hyperlink r:id="rId103" w:anchor="art_5" w:history="1">
        <w:r>
          <w:rPr>
            <w:rStyle w:val="Hyperlink"/>
            <w:color w:val="0000EE"/>
            <w:u w:color="0000EE"/>
            <w:lang w:val="el" w:eastAsia="el"/>
          </w:rPr>
          <w:t>Τροποποίηση 3554/2007, Άρθρο 5</w:t>
        </w:r>
      </w:hyperlink>
      <w:r>
        <w:rPr>
          <w:lang w:val="el" w:eastAsia="el"/>
        </w:rPr>
        <w:t xml:space="preserve">; </w:t>
      </w:r>
      <w:hyperlink r:id="rId104" w:anchor="art_20" w:history="1">
        <w:r>
          <w:rPr>
            <w:rStyle w:val="Hyperlink"/>
            <w:color w:val="0000EE"/>
            <w:u w:color="0000EE"/>
            <w:lang w:val="el" w:eastAsia="el"/>
          </w:rPr>
          <w:t>Τροποποίηση 3427/2005, Άρθρο 20</w:t>
        </w:r>
      </w:hyperlink>
      <w:r>
        <w:rPr>
          <w:lang w:val="el" w:eastAsia="el"/>
        </w:rPr>
        <w:t xml:space="preserve">; </w:t>
      </w:r>
      <w:hyperlink r:id="rId105" w:anchor="art_10" w:history="1">
        <w:r>
          <w:rPr>
            <w:rStyle w:val="Hyperlink"/>
            <w:color w:val="0000EE"/>
            <w:u w:color="0000EE"/>
            <w:lang w:val="el" w:eastAsia="el"/>
          </w:rPr>
          <w:t>Τροποποίηση 3091/2002, Άρθρο 10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5" w:history="1">
        <w:r>
          <w:rPr>
            <w:rStyle w:val="Hyperlink"/>
            <w:color w:val="0000EE"/>
            <w:u w:color="0000EE"/>
            <w:lang w:val="el" w:eastAsia="el"/>
          </w:rPr>
          <w:t>Τροποποίηση 3842/2010, Άρθρο 25</w:t>
        </w:r>
      </w:hyperlink>
      <w:r>
        <w:rPr>
          <w:lang w:val="el" w:eastAsia="el"/>
        </w:rPr>
        <w:t xml:space="preserve">; </w:t>
      </w:r>
      <w:hyperlink r:id="rId107" w:anchor="art_1" w:history="1">
        <w:r>
          <w:rPr>
            <w:rStyle w:val="Hyperlink"/>
            <w:color w:val="0000EE"/>
            <w:u w:color="0000EE"/>
            <w:lang w:val="el" w:eastAsia="el"/>
          </w:rPr>
          <w:t>Τροποποίηση 3634/2008, Άρθρο 1</w:t>
        </w:r>
      </w:hyperlink>
      <w:r>
        <w:rPr>
          <w:lang w:val="el" w:eastAsia="el"/>
        </w:rPr>
        <w:t xml:space="preserve">; </w:t>
      </w:r>
      <w:hyperlink r:id="rId108" w:anchor="art_5" w:history="1">
        <w:r>
          <w:rPr>
            <w:rStyle w:val="Hyperlink"/>
            <w:color w:val="0000EE"/>
            <w:u w:color="0000EE"/>
            <w:lang w:val="el" w:eastAsia="el"/>
          </w:rPr>
          <w:t>Τροποποίηση 3554/2007, Άρθρο 5</w:t>
        </w:r>
      </w:hyperlink>
      <w:r>
        <w:rPr>
          <w:lang w:val="el" w:eastAsia="el"/>
        </w:rPr>
        <w:t xml:space="preserve">; </w:t>
      </w:r>
      <w:hyperlink r:id="rId109" w:anchor="art_20" w:history="1">
        <w:r>
          <w:rPr>
            <w:rStyle w:val="Hyperlink"/>
            <w:color w:val="0000EE"/>
            <w:u w:color="0000EE"/>
            <w:lang w:val="el" w:eastAsia="el"/>
          </w:rPr>
          <w:t>Τροποποίηση 3427/2005, Άρθρο 20</w:t>
        </w:r>
      </w:hyperlink>
      <w:r>
        <w:rPr>
          <w:lang w:val="el" w:eastAsia="el"/>
        </w:rPr>
        <w:t xml:space="preserve">; </w:t>
      </w:r>
      <w:hyperlink r:id="rId110" w:anchor="art_10" w:history="1">
        <w:r>
          <w:rPr>
            <w:rStyle w:val="Hyperlink"/>
            <w:color w:val="0000EE"/>
            <w:u w:color="0000EE"/>
            <w:lang w:val="el" w:eastAsia="el"/>
          </w:rPr>
          <w:t>Τροποποίηση 3091/2002, Άρθρο 10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25" w:history="1">
        <w:r>
          <w:rPr>
            <w:rStyle w:val="Hyperlink"/>
            <w:color w:val="0000EE"/>
            <w:u w:color="0000EE"/>
            <w:lang w:val="el" w:eastAsia="el"/>
          </w:rPr>
          <w:t>Τροποποίηση 3842/2010, Άρθρο 25</w:t>
        </w:r>
      </w:hyperlink>
      <w:r>
        <w:rPr>
          <w:lang w:val="el" w:eastAsia="el"/>
        </w:rPr>
        <w:t xml:space="preserve">; </w:t>
      </w:r>
      <w:hyperlink r:id="rId112" w:anchor="art_1" w:history="1">
        <w:r>
          <w:rPr>
            <w:rStyle w:val="Hyperlink"/>
            <w:color w:val="0000EE"/>
            <w:u w:color="0000EE"/>
            <w:lang w:val="el" w:eastAsia="el"/>
          </w:rPr>
          <w:t>Τροποποίηση 3634/2008, Άρθρο 1</w:t>
        </w:r>
      </w:hyperlink>
      <w:r>
        <w:rPr>
          <w:lang w:val="el" w:eastAsia="el"/>
        </w:rPr>
        <w:t xml:space="preserve">; </w:t>
      </w:r>
      <w:hyperlink r:id="rId113" w:anchor="art_5" w:history="1">
        <w:r>
          <w:rPr>
            <w:rStyle w:val="Hyperlink"/>
            <w:color w:val="0000EE"/>
            <w:u w:color="0000EE"/>
            <w:lang w:val="el" w:eastAsia="el"/>
          </w:rPr>
          <w:t>Τροποποίηση 3554/2007, Άρθρο 5</w:t>
        </w:r>
      </w:hyperlink>
      <w:r>
        <w:rPr>
          <w:lang w:val="el" w:eastAsia="el"/>
        </w:rPr>
        <w:t xml:space="preserve">; </w:t>
      </w:r>
      <w:hyperlink r:id="rId114" w:anchor="art_20" w:history="1">
        <w:r>
          <w:rPr>
            <w:rStyle w:val="Hyperlink"/>
            <w:color w:val="0000EE"/>
            <w:u w:color="0000EE"/>
            <w:lang w:val="el" w:eastAsia="el"/>
          </w:rPr>
          <w:t>Τροποποίηση 3427/2005, Άρθρο 20</w:t>
        </w:r>
      </w:hyperlink>
      <w:r>
        <w:rPr>
          <w:lang w:val="el" w:eastAsia="el"/>
        </w:rPr>
        <w:t xml:space="preserve">; </w:t>
      </w:r>
      <w:hyperlink r:id="rId115" w:anchor="art_10" w:history="1">
        <w:r>
          <w:rPr>
            <w:rStyle w:val="Hyperlink"/>
            <w:color w:val="0000EE"/>
            <w:u w:color="0000EE"/>
            <w:lang w:val="el" w:eastAsia="el"/>
          </w:rPr>
          <w:t>Τροποποίηση 3091/2002, Άρθρο 10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5" w:history="1">
        <w:r>
          <w:rPr>
            <w:rStyle w:val="Hyperlink"/>
            <w:color w:val="0000EE"/>
            <w:u w:color="0000EE"/>
            <w:lang w:val="el" w:eastAsia="el"/>
          </w:rPr>
          <w:t>Τροποποίηση 3842/2010, Άρθρο 25</w:t>
        </w:r>
      </w:hyperlink>
      <w:r>
        <w:rPr>
          <w:lang w:val="el" w:eastAsia="el"/>
        </w:rPr>
        <w:t xml:space="preserve">; </w:t>
      </w:r>
      <w:hyperlink r:id="rId117" w:anchor="art_1" w:history="1">
        <w:r>
          <w:rPr>
            <w:rStyle w:val="Hyperlink"/>
            <w:color w:val="0000EE"/>
            <w:u w:color="0000EE"/>
            <w:lang w:val="el" w:eastAsia="el"/>
          </w:rPr>
          <w:t>Τροποποίηση 3634/2008, Άρθρο 1</w:t>
        </w:r>
      </w:hyperlink>
      <w:r>
        <w:rPr>
          <w:lang w:val="el" w:eastAsia="el"/>
        </w:rPr>
        <w:t xml:space="preserve">; </w:t>
      </w:r>
      <w:hyperlink r:id="rId118" w:anchor="art_5" w:history="1">
        <w:r>
          <w:rPr>
            <w:rStyle w:val="Hyperlink"/>
            <w:color w:val="0000EE"/>
            <w:u w:color="0000EE"/>
            <w:lang w:val="el" w:eastAsia="el"/>
          </w:rPr>
          <w:t>Τροποποίηση 3554/2007, Άρθρο 5</w:t>
        </w:r>
      </w:hyperlink>
      <w:r>
        <w:rPr>
          <w:lang w:val="el" w:eastAsia="el"/>
        </w:rPr>
        <w:t xml:space="preserve">; </w:t>
      </w:r>
      <w:hyperlink r:id="rId119" w:anchor="art_20" w:history="1">
        <w:r>
          <w:rPr>
            <w:rStyle w:val="Hyperlink"/>
            <w:color w:val="0000EE"/>
            <w:u w:color="0000EE"/>
            <w:lang w:val="el" w:eastAsia="el"/>
          </w:rPr>
          <w:t>Τροποποίηση 3427/2005, Άρθρο 20</w:t>
        </w:r>
      </w:hyperlink>
      <w:r>
        <w:rPr>
          <w:lang w:val="el" w:eastAsia="el"/>
        </w:rPr>
        <w:t xml:space="preserve">; </w:t>
      </w:r>
      <w:hyperlink r:id="rId120" w:anchor="art_10" w:history="1">
        <w:r>
          <w:rPr>
            <w:rStyle w:val="Hyperlink"/>
            <w:color w:val="0000EE"/>
            <w:u w:color="0000EE"/>
            <w:lang w:val="el" w:eastAsia="el"/>
          </w:rPr>
          <w:t>Τροποποίηση 3091/2002,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25" w:history="1">
        <w:r>
          <w:rPr>
            <w:rStyle w:val="Hyperlink"/>
            <w:color w:val="0000EE"/>
            <w:u w:color="0000EE"/>
            <w:lang w:val="el" w:eastAsia="el"/>
          </w:rPr>
          <w:t>Τροποποίηση 3842/2010, Άρθρο 25</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5" w:history="1">
        <w:r>
          <w:rPr>
            <w:rStyle w:val="Hyperlink"/>
            <w:color w:val="0000EE"/>
            <w:u w:color="0000EE"/>
            <w:lang w:val="el" w:eastAsia="el"/>
          </w:rPr>
          <w:t>Τροποποίηση 3842/2010, Άρθρο 25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5" w:history="1">
        <w:r>
          <w:rPr>
            <w:rStyle w:val="Hyperlink"/>
            <w:color w:val="0000EE"/>
            <w:u w:color="0000EE"/>
            <w:lang w:val="el" w:eastAsia="el"/>
          </w:rPr>
          <w:t>Τροποποίηση 3842/2010, Άρθρο 25</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25" w:history="1">
        <w:r>
          <w:rPr>
            <w:rStyle w:val="Hyperlink"/>
            <w:color w:val="0000EE"/>
            <w:u w:color="0000EE"/>
            <w:lang w:val="el" w:eastAsia="el"/>
          </w:rPr>
          <w:t>Τροποποίηση 3842/2010, Άρθρο 25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25" w:history="1">
        <w:r>
          <w:rPr>
            <w:rStyle w:val="Hyperlink"/>
            <w:color w:val="0000EE"/>
            <w:u w:color="0000EE"/>
            <w:lang w:val="el" w:eastAsia="el"/>
          </w:rPr>
          <w:t>Τροποποίηση 3842/2010, Άρθρο 25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8</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25" w:history="1">
        <w:r>
          <w:rPr>
            <w:rStyle w:val="Hyperlink"/>
            <w:color w:val="0000EE"/>
            <w:u w:color="0000EE"/>
            <w:lang w:val="el" w:eastAsia="el"/>
          </w:rPr>
          <w:t>Αφαίρεση 3842/2010, Άρθρο 25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6" w:history="1">
        <w:r>
          <w:rPr>
            <w:rStyle w:val="Hyperlink"/>
            <w:color w:val="0000EE"/>
            <w:u w:color="0000EE"/>
            <w:lang w:val="el" w:eastAsia="el"/>
          </w:rPr>
          <w:t>Προσθήκη 3522/2006, Άρθρο 16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 w:history="1">
        <w:r>
          <w:rPr>
            <w:rStyle w:val="Hyperlink"/>
            <w:color w:val="0000EE"/>
            <w:u w:color="0000EE"/>
            <w:lang w:val="el" w:eastAsia="el"/>
          </w:rPr>
          <w:t>Προσθήκη 4330/2015, Άρθρο 3</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4714/2019, Άρθρο 6</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74" w:history="1">
        <w:r>
          <w:rPr>
            <w:rStyle w:val="Hyperlink"/>
            <w:color w:val="0000EE"/>
            <w:u w:color="0000EE"/>
            <w:lang w:val="el" w:eastAsia="el"/>
          </w:rPr>
          <w:t>Προσθήκη 4781/2021, Άρθρο 474</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30" w:anchor="art_1" w:history="1">
        <w:r>
          <w:rPr>
            <w:rStyle w:val="Hyperlink"/>
            <w:color w:val="0000EE"/>
            <w:u w:color="0000EE"/>
            <w:lang w:val="el" w:eastAsia="el"/>
          </w:rPr>
          <w:t>Τροποποίηση 3634/2008, Άρθρο 1</w:t>
        </w:r>
      </w:hyperlink>
      <w:r>
        <w:rPr>
          <w:lang w:val="el" w:eastAsia="el"/>
        </w:rPr>
        <w:t xml:space="preserve">; </w:t>
      </w:r>
      <w:hyperlink r:id="rId131" w:anchor="art_44" w:history="1">
        <w:r>
          <w:rPr>
            <w:rStyle w:val="Hyperlink"/>
            <w:color w:val="0000EE"/>
            <w:u w:color="0000EE"/>
            <w:lang w:val="el" w:eastAsia="el"/>
          </w:rPr>
          <w:t>Προσθήκη 3091/2002, Άρθρο 44</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132" w:anchor="art_1" w:history="1">
        <w:r>
          <w:rPr>
            <w:rStyle w:val="Hyperlink"/>
            <w:color w:val="0000EE"/>
            <w:u w:color="0000EE"/>
            <w:lang w:val="el" w:eastAsia="el"/>
          </w:rPr>
          <w:t>Τροποποίηση 3634/2008, Άρθρο 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7" w:history="1">
        <w:r>
          <w:rPr>
            <w:rStyle w:val="Hyperlink"/>
            <w:color w:val="0000EE"/>
            <w:u w:color="0000EE"/>
            <w:lang w:val="el" w:eastAsia="el"/>
          </w:rPr>
          <w:t>Προσθήκη 4714/2020, Άρθρο 7</w:t>
        </w:r>
      </w:hyperlink>
      <w:r>
        <w:rPr>
          <w:lang w:val="el" w:eastAsia="el"/>
        </w:rPr>
        <w:t xml:space="preserve">; Τροποποίηση 3815/2010, Άρθρο 1; </w:t>
      </w:r>
      <w:hyperlink r:id="rId134" w:anchor="art_1" w:history="1">
        <w:r>
          <w:rPr>
            <w:rStyle w:val="Hyperlink"/>
            <w:color w:val="0000EE"/>
            <w:u w:color="0000EE"/>
            <w:lang w:val="el" w:eastAsia="el"/>
          </w:rPr>
          <w:t>Τροποποίηση 3634/2008, Άρθρο 1</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35" w:anchor="art_1" w:history="1">
        <w:r>
          <w:rPr>
            <w:rStyle w:val="Hyperlink"/>
            <w:color w:val="0000EE"/>
            <w:u w:color="0000EE"/>
            <w:lang w:val="el" w:eastAsia="el"/>
          </w:rPr>
          <w:t>Τροποποίηση 3634/2008, Άρθρο 1</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36" w:anchor="art_1" w:history="1">
        <w:r>
          <w:rPr>
            <w:rStyle w:val="Hyperlink"/>
            <w:color w:val="0000EE"/>
            <w:u w:color="0000EE"/>
            <w:lang w:val="el" w:eastAsia="el"/>
          </w:rPr>
          <w:t>Τροποποίηση 3634/2008, Άρθρο 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48" w:history="1">
        <w:r>
          <w:rPr>
            <w:rStyle w:val="Hyperlink"/>
            <w:color w:val="0000EE"/>
            <w:u w:color="0000EE"/>
            <w:lang w:val="el" w:eastAsia="el"/>
          </w:rPr>
          <w:t>Αφαίρεση 4646/2019, Άρθρο 48</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48" w:history="1">
        <w:r>
          <w:rPr>
            <w:rStyle w:val="Hyperlink"/>
            <w:color w:val="0000EE"/>
            <w:u w:color="0000EE"/>
            <w:lang w:val="el" w:eastAsia="el"/>
          </w:rPr>
          <w:t>Αφαίρεση 4646/2019, Άρθρο 48</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8" w:history="1">
        <w:r>
          <w:rPr>
            <w:rStyle w:val="Hyperlink"/>
            <w:color w:val="0000EE"/>
            <w:u w:color="0000EE"/>
            <w:lang w:val="el" w:eastAsia="el"/>
          </w:rPr>
          <w:t>Αφαίρεση 4646/2019, Άρθρο 48</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48" w:history="1">
        <w:r>
          <w:rPr>
            <w:rStyle w:val="Hyperlink"/>
            <w:color w:val="0000EE"/>
            <w:u w:color="0000EE"/>
            <w:lang w:val="el" w:eastAsia="el"/>
          </w:rPr>
          <w:t>Αφαίρεση 4646/2019, Άρθρο 48</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8" w:history="1">
        <w:r>
          <w:rPr>
            <w:rStyle w:val="Hyperlink"/>
            <w:color w:val="0000EE"/>
            <w:u w:color="0000EE"/>
            <w:lang w:val="el" w:eastAsia="el"/>
          </w:rPr>
          <w:t>Αφαίρεση 4646/2019, Άρθρο 48</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8" w:history="1">
        <w:r>
          <w:rPr>
            <w:rStyle w:val="Hyperlink"/>
            <w:color w:val="0000EE"/>
            <w:u w:color="0000EE"/>
            <w:lang w:val="el" w:eastAsia="el"/>
          </w:rPr>
          <w:t>Αφαίρεση 4646/2019, Άρθρο 48</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8" w:history="1">
        <w:r>
          <w:rPr>
            <w:rStyle w:val="Hyperlink"/>
            <w:color w:val="0000EE"/>
            <w:u w:color="0000EE"/>
            <w:lang w:val="el" w:eastAsia="el"/>
          </w:rPr>
          <w:t>Αφαίρεση 4646/2019, Άρθρο 48</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8" w:history="1">
        <w:r>
          <w:rPr>
            <w:rStyle w:val="Hyperlink"/>
            <w:color w:val="0000EE"/>
            <w:u w:color="0000EE"/>
            <w:lang w:val="el" w:eastAsia="el"/>
          </w:rPr>
          <w:t>Αφαίρεση 4646/2019, Άρθρο 48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48" w:history="1">
        <w:r>
          <w:rPr>
            <w:rStyle w:val="Hyperlink"/>
            <w:color w:val="0000EE"/>
            <w:u w:color="0000EE"/>
            <w:lang w:val="el" w:eastAsia="el"/>
          </w:rPr>
          <w:t>Αφαίρεση 4646/2019, Άρθρο 48</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8" w:history="1">
        <w:r>
          <w:rPr>
            <w:rStyle w:val="Hyperlink"/>
            <w:color w:val="0000EE"/>
            <w:u w:color="0000EE"/>
            <w:lang w:val="el" w:eastAsia="el"/>
          </w:rPr>
          <w:t>Αφαίρεση 4646/2019, Άρθρο 48</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8" w:history="1">
        <w:r>
          <w:rPr>
            <w:rStyle w:val="Hyperlink"/>
            <w:color w:val="0000EE"/>
            <w:u w:color="0000EE"/>
            <w:lang w:val="el" w:eastAsia="el"/>
          </w:rPr>
          <w:t>Αφαίρεση 4646/2019, Άρθρο 48</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8" w:history="1">
        <w:r>
          <w:rPr>
            <w:rStyle w:val="Hyperlink"/>
            <w:color w:val="0000EE"/>
            <w:u w:color="0000EE"/>
            <w:lang w:val="el" w:eastAsia="el"/>
          </w:rPr>
          <w:t>Αφαίρεση 4646/2019, Άρθρο 48</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8" w:history="1">
        <w:r>
          <w:rPr>
            <w:rStyle w:val="Hyperlink"/>
            <w:color w:val="0000EE"/>
            <w:u w:color="0000EE"/>
            <w:lang w:val="el" w:eastAsia="el"/>
          </w:rPr>
          <w:t>Αφαίρεση 4646/2019, Άρθρο 48</w:t>
        </w:r>
      </w:hyperlink>
      <w:r>
        <w:rPr>
          <w:lang w:val="el" w:eastAsia="el"/>
        </w:rPr>
        <w:t xml:space="preserve">; </w:t>
      </w:r>
      <w:hyperlink r:id="rId150" w:anchor="art_1" w:history="1">
        <w:r>
          <w:rPr>
            <w:rStyle w:val="Hyperlink"/>
            <w:color w:val="0000EE"/>
            <w:u w:color="0000EE"/>
            <w:lang w:val="el" w:eastAsia="el"/>
          </w:rPr>
          <w:t>Τροποποίηση 3634/2008, Άρθρο 1</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8" w:history="1">
        <w:r>
          <w:rPr>
            <w:rStyle w:val="Hyperlink"/>
            <w:color w:val="0000EE"/>
            <w:u w:color="0000EE"/>
            <w:lang w:val="el" w:eastAsia="el"/>
          </w:rPr>
          <w:t>Αφαίρεση 4646/2019, Άρθρο 48</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2" w:history="1">
        <w:r>
          <w:rPr>
            <w:rStyle w:val="Hyperlink"/>
            <w:color w:val="0000EE"/>
            <w:u w:color="0000EE"/>
            <w:lang w:val="el" w:eastAsia="el"/>
          </w:rPr>
          <w:t>Τροποποίηση 4093/2012, Άρθρο 2</w:t>
        </w:r>
      </w:hyperlink>
      <w:r>
        <w:rPr>
          <w:lang w:val="el" w:eastAsia="el"/>
        </w:rPr>
        <w:t xml:space="preserve">; </w:t>
      </w:r>
      <w:hyperlink r:id="rId153" w:anchor="art_26" w:history="1">
        <w:r>
          <w:rPr>
            <w:rStyle w:val="Hyperlink"/>
            <w:color w:val="0000EE"/>
            <w:u w:color="0000EE"/>
            <w:lang w:val="el" w:eastAsia="el"/>
          </w:rPr>
          <w:t>Τροποποίηση 3842/2010, Άρθρο 26</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2" w:history="1">
        <w:r>
          <w:rPr>
            <w:rStyle w:val="Hyperlink"/>
            <w:color w:val="0000EE"/>
            <w:u w:color="0000EE"/>
            <w:lang w:val="el" w:eastAsia="el"/>
          </w:rPr>
          <w:t>Τροποποίηση 4093/2012, Άρθρο 2</w:t>
        </w:r>
      </w:hyperlink>
      <w:r>
        <w:rPr>
          <w:lang w:val="el" w:eastAsia="el"/>
        </w:rPr>
        <w:t xml:space="preserve">; </w:t>
      </w:r>
      <w:hyperlink r:id="rId155" w:anchor="art_26" w:history="1">
        <w:r>
          <w:rPr>
            <w:rStyle w:val="Hyperlink"/>
            <w:color w:val="0000EE"/>
            <w:u w:color="0000EE"/>
            <w:lang w:val="el" w:eastAsia="el"/>
          </w:rPr>
          <w:t>Τροποποίηση 3842/2010, Άρθρο 26</w:t>
        </w:r>
      </w:hyperlink>
      <w:r>
        <w:rPr>
          <w:lang w:val="el" w:eastAsia="el"/>
        </w:rPr>
        <w:t xml:space="preserve">; </w:t>
      </w:r>
      <w:hyperlink r:id="rId156" w:anchor="art_1" w:history="1">
        <w:r>
          <w:rPr>
            <w:rStyle w:val="Hyperlink"/>
            <w:color w:val="0000EE"/>
            <w:u w:color="0000EE"/>
            <w:lang w:val="el" w:eastAsia="el"/>
          </w:rPr>
          <w:t>Τροποποίηση 3775/2009, Άρθρο 1</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 w:history="1">
        <w:r>
          <w:rPr>
            <w:rStyle w:val="Hyperlink"/>
            <w:color w:val="0000EE"/>
            <w:u w:color="0000EE"/>
            <w:lang w:val="el" w:eastAsia="el"/>
          </w:rPr>
          <w:t>Προσθήκη 4093/2012, Άρθρο 2</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 w:history="1">
        <w:r>
          <w:rPr>
            <w:rStyle w:val="Hyperlink"/>
            <w:color w:val="0000EE"/>
            <w:u w:color="0000EE"/>
            <w:lang w:val="el" w:eastAsia="el"/>
          </w:rPr>
          <w:t>Προσθήκη 4093/2012, Άρθρο 2</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 w:history="1">
        <w:r>
          <w:rPr>
            <w:rStyle w:val="Hyperlink"/>
            <w:color w:val="0000EE"/>
            <w:u w:color="0000EE"/>
            <w:lang w:val="el" w:eastAsia="el"/>
          </w:rPr>
          <w:t>Προσθήκη 4093/2012, Άρθρο 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26" w:history="1">
        <w:r>
          <w:rPr>
            <w:rStyle w:val="Hyperlink"/>
            <w:color w:val="0000EE"/>
            <w:u w:color="0000EE"/>
            <w:lang w:val="el" w:eastAsia="el"/>
          </w:rPr>
          <w:t>Τροποποίηση 3842/2010, Άρθρο 26</w:t>
        </w:r>
      </w:hyperlink>
      <w:r>
        <w:rPr>
          <w:lang w:val="el" w:eastAsia="el"/>
        </w:rPr>
        <w:t xml:space="preserve">; </w:t>
      </w:r>
      <w:hyperlink r:id="rId161" w:anchor="art_1" w:history="1">
        <w:r>
          <w:rPr>
            <w:rStyle w:val="Hyperlink"/>
            <w:color w:val="0000EE"/>
            <w:u w:color="0000EE"/>
            <w:lang w:val="el" w:eastAsia="el"/>
          </w:rPr>
          <w:t>Τροποποίηση 3775/2009, Άρθρο 1</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26" w:history="1">
        <w:r>
          <w:rPr>
            <w:rStyle w:val="Hyperlink"/>
            <w:color w:val="0000EE"/>
            <w:u w:color="0000EE"/>
            <w:lang w:val="el" w:eastAsia="el"/>
          </w:rPr>
          <w:t>Τροποποίηση 3842/2010, Άρθρο 26</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48" w:history="1">
        <w:r>
          <w:rPr>
            <w:rStyle w:val="Hyperlink"/>
            <w:color w:val="0000EE"/>
            <w:u w:color="0000EE"/>
            <w:lang w:val="el" w:eastAsia="el"/>
          </w:rPr>
          <w:t>Τροποποίηση 4646/2019, Άρθρο 48</w:t>
        </w:r>
      </w:hyperlink>
      <w:r>
        <w:rPr>
          <w:lang w:val="el" w:eastAsia="el"/>
        </w:rPr>
        <w:t xml:space="preserve">; </w:t>
      </w:r>
      <w:hyperlink r:id="rId164" w:anchor="art_2" w:history="1">
        <w:r>
          <w:rPr>
            <w:rStyle w:val="Hyperlink"/>
            <w:color w:val="0000EE"/>
            <w:u w:color="0000EE"/>
            <w:lang w:val="el" w:eastAsia="el"/>
          </w:rPr>
          <w:t>Τροποποίηση 4338/2015, Άρθρο 2</w:t>
        </w:r>
      </w:hyperlink>
      <w:r>
        <w:rPr>
          <w:lang w:val="el" w:eastAsia="el"/>
        </w:rPr>
        <w:t xml:space="preserve">; Τροποποίηση 4326/2015, Άρθρο 16; </w:t>
      </w:r>
      <w:hyperlink r:id="rId165" w:anchor="art_1" w:history="1">
        <w:r>
          <w:rPr>
            <w:rStyle w:val="Hyperlink"/>
            <w:color w:val="0000EE"/>
            <w:u w:color="0000EE"/>
            <w:lang w:val="el" w:eastAsia="el"/>
          </w:rPr>
          <w:t>Τροποποίηση 4254/2014, Άρθρο 1</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72" w:history="1">
        <w:r>
          <w:rPr>
            <w:rStyle w:val="Hyperlink"/>
            <w:color w:val="0000EE"/>
            <w:u w:color="0000EE"/>
            <w:lang w:val="el" w:eastAsia="el"/>
          </w:rPr>
          <w:t>Τροποποίηση 4484/2017, Άρθρο 72</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72" w:history="1">
        <w:r>
          <w:rPr>
            <w:rStyle w:val="Hyperlink"/>
            <w:color w:val="0000EE"/>
            <w:u w:color="0000EE"/>
            <w:lang w:val="el" w:eastAsia="el"/>
          </w:rPr>
          <w:t>Τροποποίηση 4482/2017, Άρθρο 72</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6" w:history="1">
        <w:r>
          <w:rPr>
            <w:rStyle w:val="Hyperlink"/>
            <w:b/>
            <w:bCs/>
            <w:color w:val="0000EE"/>
            <w:u w:color="0000EE"/>
            <w:lang w:val="el" w:eastAsia="el"/>
          </w:rPr>
          <w:t>Τροποποίηση 3842/2010, Άρθρο 26</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02" w:history="1">
        <w:r>
          <w:rPr>
            <w:rStyle w:val="Hyperlink"/>
            <w:b/>
            <w:bCs/>
            <w:color w:val="0000EE"/>
            <w:u w:color="0000EE"/>
            <w:lang w:val="el" w:eastAsia="el"/>
          </w:rPr>
          <w:t>Τροποποίηση 4635/2019, Άρθρο 202</w:t>
        </w:r>
      </w:hyperlink>
      <w:r>
        <w:rPr>
          <w:b/>
          <w:bCs/>
          <w:lang w:val="el" w:eastAsia="el"/>
        </w:rPr>
        <w:t xml:space="preserve">; </w:t>
      </w:r>
      <w:hyperlink r:id="rId170" w:anchor="art_2" w:history="1">
        <w:r>
          <w:rPr>
            <w:rStyle w:val="Hyperlink"/>
            <w:b/>
            <w:bCs/>
            <w:color w:val="0000EE"/>
            <w:u w:color="0000EE"/>
            <w:lang w:val="el" w:eastAsia="el"/>
          </w:rPr>
          <w:t>Τροποποίηση 4093/2012, Άρθρο 2</w:t>
        </w:r>
      </w:hyperlink>
      <w:r>
        <w:rPr>
          <w:b/>
          <w:bCs/>
          <w:lang w:val="el" w:eastAsia="el"/>
        </w:rPr>
        <w:t xml:space="preserve">; </w:t>
      </w:r>
      <w:hyperlink r:id="rId171"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72" w:anchor="art_1" w:history="1">
        <w:r>
          <w:rPr>
            <w:rStyle w:val="Hyperlink"/>
            <w:b/>
            <w:bCs/>
            <w:color w:val="0000EE"/>
            <w:u w:color="0000EE"/>
            <w:lang w:val="el" w:eastAsia="el"/>
          </w:rPr>
          <w:t>Τροποποίηση 3775/2009,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79" w:history="1">
        <w:r>
          <w:rPr>
            <w:rStyle w:val="Hyperlink"/>
            <w:b/>
            <w:bCs/>
            <w:color w:val="0000EE"/>
            <w:u w:color="0000EE"/>
            <w:lang w:val="el" w:eastAsia="el"/>
          </w:rPr>
          <w:t>Τροποποίηση 4764/2020, Άρθρο 79</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79" w:history="1">
        <w:r>
          <w:rPr>
            <w:rStyle w:val="Hyperlink"/>
            <w:b/>
            <w:bCs/>
            <w:color w:val="0000EE"/>
            <w:u w:color="0000EE"/>
            <w:lang w:val="el" w:eastAsia="el"/>
          </w:rPr>
          <w:t>Τροποποίηση 4764/2020, Άρθρο 79</w:t>
        </w:r>
      </w:hyperlink>
      <w:r>
        <w:rPr>
          <w:b/>
          <w:bCs/>
          <w:lang w:val="el" w:eastAsia="el"/>
        </w:rPr>
        <w:t xml:space="preserve">; </w:t>
      </w:r>
      <w:hyperlink r:id="rId175" w:anchor="art_202" w:history="1">
        <w:r>
          <w:rPr>
            <w:rStyle w:val="Hyperlink"/>
            <w:b/>
            <w:bCs/>
            <w:color w:val="0000EE"/>
            <w:u w:color="0000EE"/>
            <w:lang w:val="el" w:eastAsia="el"/>
          </w:rPr>
          <w:t>Τροποποίηση 4635/2019, Άρθρο 202</w:t>
        </w:r>
      </w:hyperlink>
      <w:r>
        <w:rPr>
          <w:b/>
          <w:bCs/>
          <w:lang w:val="el" w:eastAsia="el"/>
        </w:rPr>
        <w:t xml:space="preserve">; </w:t>
      </w:r>
      <w:hyperlink r:id="rId176" w:anchor="art_22" w:history="1">
        <w:r>
          <w:rPr>
            <w:rStyle w:val="Hyperlink"/>
            <w:b/>
            <w:bCs/>
            <w:color w:val="0000EE"/>
            <w:u w:color="0000EE"/>
            <w:lang w:val="el" w:eastAsia="el"/>
          </w:rPr>
          <w:t>Τροποποίηση 4141/2013, Άρθρο 22</w:t>
        </w:r>
      </w:hyperlink>
      <w:r>
        <w:rPr>
          <w:b/>
          <w:bCs/>
          <w:lang w:val="el" w:eastAsia="el"/>
        </w:rPr>
        <w:t xml:space="preserve">; </w:t>
      </w:r>
      <w:hyperlink r:id="rId177" w:anchor="art_2" w:history="1">
        <w:r>
          <w:rPr>
            <w:rStyle w:val="Hyperlink"/>
            <w:b/>
            <w:bCs/>
            <w:color w:val="0000EE"/>
            <w:u w:color="0000EE"/>
            <w:lang w:val="el" w:eastAsia="el"/>
          </w:rPr>
          <w:t>Τροποποίηση 4093/2012, Άρθρο 2</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2" w:history="1">
        <w:r>
          <w:rPr>
            <w:rStyle w:val="Hyperlink"/>
            <w:b/>
            <w:bCs/>
            <w:color w:val="0000EE"/>
            <w:u w:color="0000EE"/>
            <w:lang w:val="el" w:eastAsia="el"/>
          </w:rPr>
          <w:t>Τροποποίηση 4093/2012, Άρθρο 2</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48" w:history="1">
        <w:r>
          <w:rPr>
            <w:rStyle w:val="Hyperlink"/>
            <w:b/>
            <w:bCs/>
            <w:color w:val="0000EE"/>
            <w:u w:color="0000EE"/>
            <w:lang w:val="el" w:eastAsia="el"/>
          </w:rPr>
          <w:t>Αφαίρεση 4646/2019, Άρθρο 48</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48" w:history="1">
        <w:r>
          <w:rPr>
            <w:rStyle w:val="Hyperlink"/>
            <w:b/>
            <w:bCs/>
            <w:color w:val="0000EE"/>
            <w:u w:color="0000EE"/>
            <w:lang w:val="el" w:eastAsia="el"/>
          </w:rPr>
          <w:t>Προσθήκη 4646/2019, Άρθρο 48</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48" w:history="1">
        <w:r>
          <w:rPr>
            <w:rStyle w:val="Hyperlink"/>
            <w:b/>
            <w:bCs/>
            <w:color w:val="0000EE"/>
            <w:u w:color="0000EE"/>
            <w:lang w:val="el" w:eastAsia="el"/>
          </w:rPr>
          <w:t>Τροποποίηση 4646/2019, Άρθρο 48</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48" w:history="1">
        <w:r>
          <w:rPr>
            <w:rStyle w:val="Hyperlink"/>
            <w:b/>
            <w:bCs/>
            <w:color w:val="0000EE"/>
            <w:u w:color="0000EE"/>
            <w:lang w:val="el" w:eastAsia="el"/>
          </w:rPr>
          <w:t>Αφαίρεση 4646/2019, Άρθρο 48</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48" w:history="1">
        <w:r>
          <w:rPr>
            <w:rStyle w:val="Hyperlink"/>
            <w:b/>
            <w:bCs/>
            <w:color w:val="0000EE"/>
            <w:u w:color="0000EE"/>
            <w:lang w:val="el" w:eastAsia="el"/>
          </w:rPr>
          <w:t>Τροποποίηση 4646/2019, Άρθρο 48</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48" w:history="1">
        <w:r>
          <w:rPr>
            <w:rStyle w:val="Hyperlink"/>
            <w:b/>
            <w:bCs/>
            <w:color w:val="0000EE"/>
            <w:u w:color="0000EE"/>
            <w:lang w:val="el" w:eastAsia="el"/>
          </w:rPr>
          <w:t>Τροποποίηση 4646/2019, Άρθρο 48</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48" w:history="1">
        <w:r>
          <w:rPr>
            <w:rStyle w:val="Hyperlink"/>
            <w:b/>
            <w:bCs/>
            <w:color w:val="0000EE"/>
            <w:u w:color="0000EE"/>
            <w:lang w:val="el" w:eastAsia="el"/>
          </w:rPr>
          <w:t>Αφαίρεση 4646/2019, Άρθρο 48</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48" w:history="1">
        <w:r>
          <w:rPr>
            <w:rStyle w:val="Hyperlink"/>
            <w:b/>
            <w:bCs/>
            <w:color w:val="0000EE"/>
            <w:u w:color="0000EE"/>
            <w:lang w:val="el" w:eastAsia="el"/>
          </w:rPr>
          <w:t>Αφαίρεση 4646/2019, Άρθρο 48</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48" w:history="1">
        <w:r>
          <w:rPr>
            <w:rStyle w:val="Hyperlink"/>
            <w:b/>
            <w:bCs/>
            <w:color w:val="0000EE"/>
            <w:u w:color="0000EE"/>
            <w:lang w:val="el" w:eastAsia="el"/>
          </w:rPr>
          <w:t>Αφαίρεση 4646/2019, Άρθρο 48</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48" w:history="1">
        <w:r>
          <w:rPr>
            <w:rStyle w:val="Hyperlink"/>
            <w:b/>
            <w:bCs/>
            <w:color w:val="0000EE"/>
            <w:u w:color="0000EE"/>
            <w:lang w:val="el" w:eastAsia="el"/>
          </w:rPr>
          <w:t>Αφαίρεση 4646/2019, Άρθρο 48</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20" w:history="1">
        <w:r>
          <w:rPr>
            <w:rStyle w:val="Hyperlink"/>
            <w:b/>
            <w:bCs/>
            <w:color w:val="0000EE"/>
            <w:u w:color="0000EE"/>
            <w:lang w:val="el" w:eastAsia="el"/>
          </w:rPr>
          <w:t>Τροποποίηση 3427/2005, Άρθρο 20</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48" w:history="1">
        <w:r>
          <w:rPr>
            <w:rStyle w:val="Hyperlink"/>
            <w:b/>
            <w:bCs/>
            <w:color w:val="0000EE"/>
            <w:u w:color="0000EE"/>
            <w:lang w:val="el" w:eastAsia="el"/>
          </w:rPr>
          <w:t>Τροποποίηση 4646/2019, Άρθρο 48</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23" w:history="1">
        <w:r>
          <w:rPr>
            <w:rStyle w:val="Hyperlink"/>
            <w:b/>
            <w:bCs/>
            <w:color w:val="0000EE"/>
            <w:u w:color="0000EE"/>
            <w:lang w:val="el" w:eastAsia="el"/>
          </w:rPr>
          <w:t>Τροποποίηση 3943/2011, Άρθρο 23</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20" w:history="1">
        <w:r>
          <w:rPr>
            <w:rStyle w:val="Hyperlink"/>
            <w:b/>
            <w:bCs/>
            <w:color w:val="0000EE"/>
            <w:u w:color="0000EE"/>
            <w:lang w:val="el" w:eastAsia="el"/>
          </w:rPr>
          <w:t>Τροποποίηση 3427/2005, Άρθρο 20</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20" w:history="1">
        <w:r>
          <w:rPr>
            <w:rStyle w:val="Hyperlink"/>
            <w:b/>
            <w:bCs/>
            <w:color w:val="0000EE"/>
            <w:u w:color="0000EE"/>
            <w:lang w:val="el" w:eastAsia="el"/>
          </w:rPr>
          <w:t>Τροποποίηση 3427/2005, Άρθρο 20</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20" w:history="1">
        <w:r>
          <w:rPr>
            <w:rStyle w:val="Hyperlink"/>
            <w:b/>
            <w:bCs/>
            <w:color w:val="0000EE"/>
            <w:u w:color="0000EE"/>
            <w:lang w:val="el" w:eastAsia="el"/>
          </w:rPr>
          <w:t>Τροποποίηση 3427/2005, Άρθρο 20</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 w:history="1">
        <w:r>
          <w:rPr>
            <w:rStyle w:val="Hyperlink"/>
            <w:b/>
            <w:bCs/>
            <w:color w:val="0000EE"/>
            <w:u w:color="0000EE"/>
            <w:lang w:val="el" w:eastAsia="el"/>
          </w:rPr>
          <w:t>Αφαίρεση 3634/2008, Άρθρο 1</w:t>
        </w:r>
      </w:hyperlink>
      <w:r>
        <w:rPr>
          <w:b/>
          <w:bCs/>
          <w:lang w:val="el" w:eastAsia="el"/>
        </w:rPr>
        <w:t xml:space="preserve">; </w:t>
      </w:r>
      <w:hyperlink r:id="rId196" w:anchor="art_20" w:history="1">
        <w:r>
          <w:rPr>
            <w:rStyle w:val="Hyperlink"/>
            <w:b/>
            <w:bCs/>
            <w:color w:val="0000EE"/>
            <w:u w:color="0000EE"/>
            <w:lang w:val="el" w:eastAsia="el"/>
          </w:rPr>
          <w:t>Τροποποίηση 3427/2005, Άρθρο 20</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48" w:history="1">
        <w:r>
          <w:rPr>
            <w:rStyle w:val="Hyperlink"/>
            <w:b/>
            <w:bCs/>
            <w:color w:val="0000EE"/>
            <w:u w:color="0000EE"/>
            <w:lang w:val="el" w:eastAsia="el"/>
          </w:rPr>
          <w:t>Τροποποίηση 4646/2019, Άρθρο 48</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23" w:history="1">
        <w:r>
          <w:rPr>
            <w:rStyle w:val="Hyperlink"/>
            <w:b/>
            <w:bCs/>
            <w:color w:val="0000EE"/>
            <w:u w:color="0000EE"/>
            <w:lang w:val="el" w:eastAsia="el"/>
          </w:rPr>
          <w:t>Τροποποίηση 3943/2011, Άρθρο 23</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199" w:anchor="art_1" w:history="1">
        <w:r>
          <w:rPr>
            <w:rStyle w:val="Hyperlink"/>
            <w:b/>
            <w:bCs/>
            <w:color w:val="0000EE"/>
            <w:u w:color="0000EE"/>
            <w:lang w:val="el" w:eastAsia="el"/>
          </w:rPr>
          <w:t>Τροποποίηση 3634/2008, Άρθρο 1</w:t>
        </w:r>
      </w:hyperlink>
      <w:r>
        <w:rPr>
          <w:b/>
          <w:bCs/>
          <w:lang w:val="el" w:eastAsia="el"/>
        </w:rPr>
        <w:t xml:space="preserve">; </w:t>
      </w:r>
      <w:hyperlink r:id="rId200" w:anchor="art_20" w:history="1">
        <w:r>
          <w:rPr>
            <w:rStyle w:val="Hyperlink"/>
            <w:b/>
            <w:bCs/>
            <w:color w:val="0000EE"/>
            <w:u w:color="0000EE"/>
            <w:lang w:val="el" w:eastAsia="el"/>
          </w:rPr>
          <w:t>Τροποποίηση 3427/2005, Άρθρο 20</w:t>
        </w:r>
      </w:hyperlink>
      <w:r>
        <w:rPr>
          <w:b/>
          <w:bCs/>
          <w:lang w:val="el" w:eastAsia="el"/>
        </w:rPr>
        <w:t xml:space="preserve">; </w:t>
      </w:r>
      <w:hyperlink r:id="rId201" w:anchor="art_12" w:history="1">
        <w:r>
          <w:rPr>
            <w:rStyle w:val="Hyperlink"/>
            <w:b/>
            <w:bCs/>
            <w:color w:val="0000EE"/>
            <w:u w:color="0000EE"/>
            <w:lang w:val="el" w:eastAsia="el"/>
          </w:rPr>
          <w:t>Προσθήκη 3091/2002, Άρθρο 12</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 w:history="1">
        <w:r>
          <w:rPr>
            <w:rStyle w:val="Hyperlink"/>
            <w:b/>
            <w:bCs/>
            <w:color w:val="0000EE"/>
            <w:u w:color="0000EE"/>
            <w:lang w:val="el" w:eastAsia="el"/>
          </w:rPr>
          <w:t>Τροποποίηση 3634/2008, Άρθρο 1</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23" w:history="1">
        <w:r>
          <w:rPr>
            <w:rStyle w:val="Hyperlink"/>
            <w:b/>
            <w:bCs/>
            <w:color w:val="0000EE"/>
            <w:u w:color="0000EE"/>
            <w:lang w:val="el" w:eastAsia="el"/>
          </w:rPr>
          <w:t>Τροποποίηση 3943/2011, Άρθρο 23</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52" w:history="1">
        <w:r>
          <w:rPr>
            <w:rStyle w:val="Hyperlink"/>
            <w:b/>
            <w:bCs/>
            <w:color w:val="0000EE"/>
            <w:u w:color="0000EE"/>
            <w:lang w:val="el" w:eastAsia="el"/>
          </w:rPr>
          <w:t>Τροποποίηση 4276/2014, Άρθρο 52</w:t>
        </w:r>
      </w:hyperlink>
      <w:r>
        <w:rPr>
          <w:b/>
          <w:bCs/>
          <w:lang w:val="el" w:eastAsia="el"/>
        </w:rPr>
        <w:t xml:space="preserve">; </w:t>
      </w:r>
      <w:hyperlink r:id="rId205" w:anchor="art_184" w:history="1">
        <w:r>
          <w:rPr>
            <w:rStyle w:val="Hyperlink"/>
            <w:b/>
            <w:bCs/>
            <w:color w:val="0000EE"/>
            <w:u w:color="0000EE"/>
            <w:lang w:val="el" w:eastAsia="el"/>
          </w:rPr>
          <w:t>Τροποποίηση 4261/2014, Άρθρο 184</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48" w:history="1">
        <w:r>
          <w:rPr>
            <w:rStyle w:val="Hyperlink"/>
            <w:b/>
            <w:bCs/>
            <w:color w:val="0000EE"/>
            <w:u w:color="0000EE"/>
            <w:lang w:val="el" w:eastAsia="el"/>
          </w:rPr>
          <w:t>Προσθήκη 4646/2019, Άρθρο 48</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48" w:history="1">
        <w:r>
          <w:rPr>
            <w:rStyle w:val="Hyperlink"/>
            <w:b/>
            <w:bCs/>
            <w:color w:val="0000EE"/>
            <w:u w:color="0000EE"/>
            <w:lang w:val="el" w:eastAsia="el"/>
          </w:rPr>
          <w:t>Αφαίρεση 4646/2019, Άρθρο 48</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48" w:history="1">
        <w:r>
          <w:rPr>
            <w:rStyle w:val="Hyperlink"/>
            <w:b/>
            <w:bCs/>
            <w:color w:val="0000EE"/>
            <w:u w:color="0000EE"/>
            <w:lang w:val="el" w:eastAsia="el"/>
          </w:rPr>
          <w:t>Αφαίρεση 4646/2019, Άρθρο 48</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48" w:history="1">
        <w:r>
          <w:rPr>
            <w:rStyle w:val="Hyperlink"/>
            <w:b/>
            <w:bCs/>
            <w:color w:val="0000EE"/>
            <w:u w:color="0000EE"/>
            <w:lang w:val="el" w:eastAsia="el"/>
          </w:rPr>
          <w:t>Προσθήκη 4646/2019, Άρθρο 48</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48" w:history="1">
        <w:r>
          <w:rPr>
            <w:rStyle w:val="Hyperlink"/>
            <w:b/>
            <w:bCs/>
            <w:color w:val="0000EE"/>
            <w:u w:color="0000EE"/>
            <w:lang w:val="el" w:eastAsia="el"/>
          </w:rPr>
          <w:t>Αφαίρεση 4646/2019, Άρθρο 48</w:t>
        </w:r>
      </w:hyperlink>
      <w:r>
        <w:rPr>
          <w:b/>
          <w:bCs/>
          <w:lang w:val="el" w:eastAsia="el"/>
        </w:rPr>
        <w:t xml:space="preserve">; </w:t>
      </w:r>
      <w:hyperlink r:id="rId211" w:anchor="art_60" w:history="1">
        <w:r>
          <w:rPr>
            <w:rStyle w:val="Hyperlink"/>
            <w:b/>
            <w:bCs/>
            <w:color w:val="0000EE"/>
            <w:u w:color="0000EE"/>
            <w:lang w:val="el" w:eastAsia="el"/>
          </w:rPr>
          <w:t>Τροποποίηση 4583/2018, Άρθρο 60</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48" w:history="1">
        <w:r>
          <w:rPr>
            <w:rStyle w:val="Hyperlink"/>
            <w:b/>
            <w:bCs/>
            <w:color w:val="0000EE"/>
            <w:u w:color="0000EE"/>
            <w:lang w:val="el" w:eastAsia="el"/>
          </w:rPr>
          <w:t>Αφαίρεση 4646/2019, Άρθρο 48</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48" w:history="1">
        <w:r>
          <w:rPr>
            <w:rStyle w:val="Hyperlink"/>
            <w:b/>
            <w:bCs/>
            <w:color w:val="0000EE"/>
            <w:u w:color="0000EE"/>
            <w:lang w:val="el" w:eastAsia="el"/>
          </w:rPr>
          <w:t>Αφαίρεση 4646/2019, Άρθρο 48</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48" w:history="1">
        <w:r>
          <w:rPr>
            <w:rStyle w:val="Hyperlink"/>
            <w:b/>
            <w:bCs/>
            <w:color w:val="0000EE"/>
            <w:u w:color="0000EE"/>
            <w:lang w:val="el" w:eastAsia="el"/>
          </w:rPr>
          <w:t>Αφαίρεση 4646/2019, Άρθρο 48</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48" w:history="1">
        <w:r>
          <w:rPr>
            <w:rStyle w:val="Hyperlink"/>
            <w:b/>
            <w:bCs/>
            <w:color w:val="0000EE"/>
            <w:u w:color="0000EE"/>
            <w:lang w:val="el" w:eastAsia="el"/>
          </w:rPr>
          <w:t>Αφαίρεση 4646/2019, Άρθρο 48</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48" w:history="1">
        <w:r>
          <w:rPr>
            <w:rStyle w:val="Hyperlink"/>
            <w:b/>
            <w:bCs/>
            <w:color w:val="0000EE"/>
            <w:u w:color="0000EE"/>
            <w:lang w:val="el" w:eastAsia="el"/>
          </w:rPr>
          <w:t>Αφαίρεση 4646/2019, Άρθρο 48</w:t>
        </w:r>
      </w:hyperlink>
      <w:r>
        <w:rPr>
          <w:b/>
          <w:bCs/>
          <w:lang w:val="el" w:eastAsia="el"/>
        </w:rPr>
        <w:t xml:space="preserve">; </w:t>
      </w:r>
      <w:hyperlink r:id="rId217" w:anchor="art_23" w:history="1">
        <w:r>
          <w:rPr>
            <w:rStyle w:val="Hyperlink"/>
            <w:b/>
            <w:bCs/>
            <w:color w:val="0000EE"/>
            <w:u w:color="0000EE"/>
            <w:lang w:val="el" w:eastAsia="el"/>
          </w:rPr>
          <w:t>Τροποποίηση 3943/2011, Άρθρο 23</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48" w:history="1">
        <w:r>
          <w:rPr>
            <w:rStyle w:val="Hyperlink"/>
            <w:b/>
            <w:bCs/>
            <w:color w:val="0000EE"/>
            <w:u w:color="0000EE"/>
            <w:lang w:val="el" w:eastAsia="el"/>
          </w:rPr>
          <w:t>Αφαίρεση 4646/2019, Άρθρο 48</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48" w:history="1">
        <w:r>
          <w:rPr>
            <w:rStyle w:val="Hyperlink"/>
            <w:b/>
            <w:bCs/>
            <w:color w:val="0000EE"/>
            <w:u w:color="0000EE"/>
            <w:lang w:val="el" w:eastAsia="el"/>
          </w:rPr>
          <w:t>Αφαίρεση 4646/2019, Άρθρο 48</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48" w:history="1">
        <w:r>
          <w:rPr>
            <w:rStyle w:val="Hyperlink"/>
            <w:b/>
            <w:bCs/>
            <w:color w:val="0000EE"/>
            <w:u w:color="0000EE"/>
            <w:lang w:val="el" w:eastAsia="el"/>
          </w:rPr>
          <w:t>Αφαίρεση 4646/2019, Άρθρο 48</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48" w:history="1">
        <w:r>
          <w:rPr>
            <w:rStyle w:val="Hyperlink"/>
            <w:b/>
            <w:bCs/>
            <w:color w:val="0000EE"/>
            <w:u w:color="0000EE"/>
            <w:lang w:val="el" w:eastAsia="el"/>
          </w:rPr>
          <w:t>Αφαίρεση 4646/2019, Άρθρο 48</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20" w:history="1">
        <w:r>
          <w:rPr>
            <w:rStyle w:val="Hyperlink"/>
            <w:b/>
            <w:bCs/>
            <w:color w:val="0000EE"/>
            <w:u w:color="0000EE"/>
            <w:lang w:val="el" w:eastAsia="el"/>
          </w:rPr>
          <w:t>Τροποποίηση 3427/2005, Άρθρο 20</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48" w:history="1">
        <w:r>
          <w:rPr>
            <w:rStyle w:val="Hyperlink"/>
            <w:b/>
            <w:bCs/>
            <w:color w:val="0000EE"/>
            <w:u w:color="0000EE"/>
            <w:lang w:val="el" w:eastAsia="el"/>
          </w:rPr>
          <w:t>Τροποποίηση 4646/2019, Άρθρο 48</w:t>
        </w:r>
      </w:hyperlink>
      <w:r>
        <w:rPr>
          <w:b/>
          <w:bCs/>
          <w:lang w:val="el" w:eastAsia="el"/>
        </w:rPr>
        <w:t xml:space="preserve">; </w:t>
      </w:r>
      <w:hyperlink r:id="rId224" w:anchor="art_60" w:history="1">
        <w:r>
          <w:rPr>
            <w:rStyle w:val="Hyperlink"/>
            <w:b/>
            <w:bCs/>
            <w:color w:val="0000EE"/>
            <w:u w:color="0000EE"/>
            <w:lang w:val="el" w:eastAsia="el"/>
          </w:rPr>
          <w:t>Αφαίρεση 4583/2018, Άρθρο 60</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60" w:history="1">
        <w:r>
          <w:rPr>
            <w:rStyle w:val="Hyperlink"/>
            <w:b/>
            <w:bCs/>
            <w:color w:val="0000EE"/>
            <w:u w:color="0000EE"/>
            <w:lang w:val="el" w:eastAsia="el"/>
          </w:rPr>
          <w:t>Τροποποίηση 4583/2018, Άρθρο 60</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60" w:history="1">
        <w:r>
          <w:rPr>
            <w:rStyle w:val="Hyperlink"/>
            <w:b/>
            <w:bCs/>
            <w:color w:val="0000EE"/>
            <w:u w:color="0000EE"/>
            <w:lang w:val="el" w:eastAsia="el"/>
          </w:rPr>
          <w:t>Τροποποίηση 4583/2018, Άρθρο 60</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23" w:history="1">
        <w:r>
          <w:rPr>
            <w:rStyle w:val="Hyperlink"/>
            <w:b/>
            <w:bCs/>
            <w:color w:val="0000EE"/>
            <w:u w:color="0000EE"/>
            <w:lang w:val="el" w:eastAsia="el"/>
          </w:rPr>
          <w:t>Τροποποίηση 3943/2011, Άρθρο 23</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48" w:history="1">
        <w:r>
          <w:rPr>
            <w:rStyle w:val="Hyperlink"/>
            <w:b/>
            <w:bCs/>
            <w:color w:val="0000EE"/>
            <w:u w:color="0000EE"/>
            <w:lang w:val="el" w:eastAsia="el"/>
          </w:rPr>
          <w:t>Αφαίρεση 4646/2019, Άρθρο 48</w:t>
        </w:r>
      </w:hyperlink>
      <w:r>
        <w:rPr>
          <w:b/>
          <w:bCs/>
          <w:lang w:val="el" w:eastAsia="el"/>
        </w:rPr>
        <w:t xml:space="preserve">; </w:t>
      </w:r>
      <w:hyperlink r:id="rId229" w:anchor="art_1" w:history="1">
        <w:r>
          <w:rPr>
            <w:rStyle w:val="Hyperlink"/>
            <w:b/>
            <w:bCs/>
            <w:color w:val="0000EE"/>
            <w:u w:color="0000EE"/>
            <w:lang w:val="el" w:eastAsia="el"/>
          </w:rPr>
          <w:t>Τροποποίηση 3634/2008, Άρθρο 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48" w:history="1">
        <w:r>
          <w:rPr>
            <w:rStyle w:val="Hyperlink"/>
            <w:b/>
            <w:bCs/>
            <w:color w:val="0000EE"/>
            <w:u w:color="0000EE"/>
            <w:lang w:val="el" w:eastAsia="el"/>
          </w:rPr>
          <w:t>Αφαίρεση 4646/2019, Άρθρο 48</w:t>
        </w:r>
      </w:hyperlink>
      <w:r>
        <w:rPr>
          <w:b/>
          <w:bCs/>
          <w:lang w:val="el" w:eastAsia="el"/>
        </w:rPr>
        <w:t xml:space="preserve">; Τροποποίηση 3815/2010, Άρθρο 1; </w:t>
      </w:r>
      <w:hyperlink r:id="rId231" w:anchor="art_1" w:history="1">
        <w:r>
          <w:rPr>
            <w:rStyle w:val="Hyperlink"/>
            <w:b/>
            <w:bCs/>
            <w:color w:val="0000EE"/>
            <w:u w:color="0000EE"/>
            <w:lang w:val="el" w:eastAsia="el"/>
          </w:rPr>
          <w:t>Τροποποίηση 3634/2008, Άρθρο 1</w:t>
        </w:r>
      </w:hyperlink>
      <w:r>
        <w:rPr>
          <w:b/>
          <w:bCs/>
          <w:lang w:val="el" w:eastAsia="el"/>
        </w:rPr>
        <w:t xml:space="preserve">; </w:t>
      </w:r>
      <w:hyperlink r:id="rId232" w:anchor="art_1" w:history="1">
        <w:r>
          <w:rPr>
            <w:rStyle w:val="Hyperlink"/>
            <w:b/>
            <w:bCs/>
            <w:color w:val="0000EE"/>
            <w:u w:color="0000EE"/>
            <w:lang w:val="el" w:eastAsia="el"/>
          </w:rPr>
          <w:t>Τροποποίηση 3634/2008, Άρθρο 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26" w:history="1">
        <w:r>
          <w:rPr>
            <w:rStyle w:val="Hyperlink"/>
            <w:b/>
            <w:bCs/>
            <w:color w:val="0000EE"/>
            <w:u w:color="0000EE"/>
            <w:lang w:val="el" w:eastAsia="el"/>
          </w:rPr>
          <w:t>Τροποποίηση 3842/2010, Άρθρο 26</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48" w:history="1">
        <w:r>
          <w:rPr>
            <w:rStyle w:val="Hyperlink"/>
            <w:b/>
            <w:bCs/>
            <w:color w:val="0000EE"/>
            <w:u w:color="0000EE"/>
            <w:lang w:val="el" w:eastAsia="el"/>
          </w:rPr>
          <w:t>Τροποποίηση 4646/2019, Άρθρο 48</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236" w:anchor="art_1" w:history="1">
        <w:r>
          <w:rPr>
            <w:rStyle w:val="Hyperlink"/>
            <w:b/>
            <w:bCs/>
            <w:color w:val="0000EE"/>
            <w:u w:color="0000EE"/>
            <w:lang w:val="el" w:eastAsia="el"/>
          </w:rPr>
          <w:t>Τροποποίηση 3775/2009, Άρθρο 1</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48" w:history="1">
        <w:r>
          <w:rPr>
            <w:rStyle w:val="Hyperlink"/>
            <w:b/>
            <w:bCs/>
            <w:color w:val="0000EE"/>
            <w:u w:color="0000EE"/>
            <w:lang w:val="el" w:eastAsia="el"/>
          </w:rPr>
          <w:t>Αφαίρεση 4646/2019, Άρθρο 48</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26" w:history="1">
        <w:r>
          <w:rPr>
            <w:rStyle w:val="Hyperlink"/>
            <w:b/>
            <w:bCs/>
            <w:color w:val="0000EE"/>
            <w:u w:color="0000EE"/>
            <w:lang w:val="el" w:eastAsia="el"/>
          </w:rPr>
          <w:t>Τροποποίηση 3842/2010, Άρθρο 26</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240" w:anchor="art_1" w:history="1">
        <w:r>
          <w:rPr>
            <w:rStyle w:val="Hyperlink"/>
            <w:b/>
            <w:bCs/>
            <w:color w:val="0000EE"/>
            <w:u w:color="0000EE"/>
            <w:lang w:val="el" w:eastAsia="el"/>
          </w:rPr>
          <w:t>Τροποποίηση 3775/2009, Άρθρο 1</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2" w:history="1">
        <w:r>
          <w:rPr>
            <w:rStyle w:val="Hyperlink"/>
            <w:b/>
            <w:bCs/>
            <w:color w:val="0000EE"/>
            <w:u w:color="0000EE"/>
            <w:lang w:val="el" w:eastAsia="el"/>
          </w:rPr>
          <w:t>Τροποποίηση 4093/2012, Άρθρο 2</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20" w:history="1">
        <w:r>
          <w:rPr>
            <w:rStyle w:val="Hyperlink"/>
            <w:b/>
            <w:bCs/>
            <w:color w:val="0000EE"/>
            <w:u w:color="0000EE"/>
            <w:lang w:val="el" w:eastAsia="el"/>
          </w:rPr>
          <w:t>Τροποποίηση 3427/2005, Άρθρο 20</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23" w:history="1">
        <w:r>
          <w:rPr>
            <w:rStyle w:val="Hyperlink"/>
            <w:b/>
            <w:bCs/>
            <w:color w:val="0000EE"/>
            <w:u w:color="0000EE"/>
            <w:lang w:val="el" w:eastAsia="el"/>
          </w:rPr>
          <w:t>Τροποποίηση 3943/2011, Άρθρο 23</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245" w:anchor="art_20" w:history="1">
        <w:r>
          <w:rPr>
            <w:rStyle w:val="Hyperlink"/>
            <w:b/>
            <w:bCs/>
            <w:color w:val="0000EE"/>
            <w:u w:color="0000EE"/>
            <w:lang w:val="el" w:eastAsia="el"/>
          </w:rPr>
          <w:t>Τροποποίηση 3427/2005, Άρθρο 20</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247" w:anchor="art_20" w:history="1">
        <w:r>
          <w:rPr>
            <w:rStyle w:val="Hyperlink"/>
            <w:b/>
            <w:bCs/>
            <w:color w:val="0000EE"/>
            <w:u w:color="0000EE"/>
            <w:lang w:val="el" w:eastAsia="el"/>
          </w:rPr>
          <w:t>Τροποποίηση 3427/2005, Άρθρο 20</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48" w:history="1">
        <w:r>
          <w:rPr>
            <w:rStyle w:val="Hyperlink"/>
            <w:b/>
            <w:bCs/>
            <w:color w:val="0000EE"/>
            <w:u w:color="0000EE"/>
            <w:lang w:val="el" w:eastAsia="el"/>
          </w:rPr>
          <w:t>Αφαίρεση 4646/2019, Άρθρο 48</w:t>
        </w:r>
      </w:hyperlink>
      <w:r>
        <w:rPr>
          <w:b/>
          <w:bCs/>
          <w:lang w:val="el" w:eastAsia="el"/>
        </w:rPr>
        <w:t xml:space="preserve">; </w:t>
      </w:r>
      <w:hyperlink r:id="rId249"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250" w:anchor="art_20" w:history="1">
        <w:r>
          <w:rPr>
            <w:rStyle w:val="Hyperlink"/>
            <w:b/>
            <w:bCs/>
            <w:color w:val="0000EE"/>
            <w:u w:color="0000EE"/>
            <w:lang w:val="el" w:eastAsia="el"/>
          </w:rPr>
          <w:t>Τροποποίηση 3427/2005, Άρθρο 20</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48" w:history="1">
        <w:r>
          <w:rPr>
            <w:rStyle w:val="Hyperlink"/>
            <w:b/>
            <w:bCs/>
            <w:color w:val="0000EE"/>
            <w:u w:color="0000EE"/>
            <w:lang w:val="el" w:eastAsia="el"/>
          </w:rPr>
          <w:t>Αφαίρεση 4646/2019, Άρθρο 48</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48" w:history="1">
        <w:r>
          <w:rPr>
            <w:rStyle w:val="Hyperlink"/>
            <w:b/>
            <w:bCs/>
            <w:color w:val="0000EE"/>
            <w:u w:color="0000EE"/>
            <w:lang w:val="el" w:eastAsia="el"/>
          </w:rPr>
          <w:t>Αφαίρεση 4646/2019, Άρθρο 48</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10" w:history="1">
        <w:r>
          <w:rPr>
            <w:rStyle w:val="Hyperlink"/>
            <w:b/>
            <w:bCs/>
            <w:color w:val="0000EE"/>
            <w:u w:color="0000EE"/>
            <w:lang w:val="el" w:eastAsia="el"/>
          </w:rPr>
          <w:t>Προσθήκη 3193/2003, Άρθρο 10</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48" w:history="1">
        <w:r>
          <w:rPr>
            <w:rStyle w:val="Hyperlink"/>
            <w:b/>
            <w:bCs/>
            <w:color w:val="0000EE"/>
            <w:u w:color="0000EE"/>
            <w:lang w:val="el" w:eastAsia="el"/>
          </w:rPr>
          <w:t>Αφαίρεση 4646/2019, Άρθρο 48</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48" w:history="1">
        <w:r>
          <w:rPr>
            <w:rStyle w:val="Hyperlink"/>
            <w:b/>
            <w:bCs/>
            <w:color w:val="0000EE"/>
            <w:u w:color="0000EE"/>
            <w:lang w:val="el" w:eastAsia="el"/>
          </w:rPr>
          <w:t>Τροποποίηση 4646/2019, Άρθρο 48</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48" w:history="1">
        <w:r>
          <w:rPr>
            <w:rStyle w:val="Hyperlink"/>
            <w:b/>
            <w:bCs/>
            <w:color w:val="0000EE"/>
            <w:u w:color="0000EE"/>
            <w:lang w:val="el" w:eastAsia="el"/>
          </w:rPr>
          <w:t>Αφαίρεση 4646/2019, Άρθρο 48</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48" w:history="1">
        <w:r>
          <w:rPr>
            <w:rStyle w:val="Hyperlink"/>
            <w:b/>
            <w:bCs/>
            <w:color w:val="0000EE"/>
            <w:u w:color="0000EE"/>
            <w:lang w:val="el" w:eastAsia="el"/>
          </w:rPr>
          <w:t>Αφαίρεση 4646/2019, Άρθρο 48</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48" w:history="1">
        <w:r>
          <w:rPr>
            <w:rStyle w:val="Hyperlink"/>
            <w:b/>
            <w:bCs/>
            <w:color w:val="0000EE"/>
            <w:u w:color="0000EE"/>
            <w:lang w:val="el" w:eastAsia="el"/>
          </w:rPr>
          <w:t>Τροποποίηση 4646/2019, Άρθρο 48</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48" w:history="1">
        <w:r>
          <w:rPr>
            <w:rStyle w:val="Hyperlink"/>
            <w:b/>
            <w:bCs/>
            <w:color w:val="0000EE"/>
            <w:u w:color="0000EE"/>
            <w:lang w:val="el" w:eastAsia="el"/>
          </w:rPr>
          <w:t>Αφαίρεση 4646/2019, Άρθρο 48</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48" w:history="1">
        <w:r>
          <w:rPr>
            <w:rStyle w:val="Hyperlink"/>
            <w:b/>
            <w:bCs/>
            <w:color w:val="0000EE"/>
            <w:u w:color="0000EE"/>
            <w:lang w:val="el" w:eastAsia="el"/>
          </w:rPr>
          <w:t>Τροποποίηση 4646/2019, Άρθρο 48</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48" w:history="1">
        <w:r>
          <w:rPr>
            <w:rStyle w:val="Hyperlink"/>
            <w:b/>
            <w:bCs/>
            <w:color w:val="0000EE"/>
            <w:u w:color="0000EE"/>
            <w:lang w:val="el" w:eastAsia="el"/>
          </w:rPr>
          <w:t>Αφαίρεση 4646/2019, Άρθρο 48</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9/12/12/4646"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02/12/24/3091" TargetMode="External" /><Relationship Id="rId101" Type="http://schemas.openxmlformats.org/officeDocument/2006/relationships/hyperlink" Target="http://data.aade.gr/eli/pri/law/2010/04/23/3842" TargetMode="External" /><Relationship Id="rId102" Type="http://schemas.openxmlformats.org/officeDocument/2006/relationships/hyperlink" Target="http://data.aade.gr/eli/pri/law/2008/01/29/3634" TargetMode="External" /><Relationship Id="rId103" Type="http://schemas.openxmlformats.org/officeDocument/2006/relationships/hyperlink" Target="http://data.aade.gr/eli/pri/law/2007/04/16/3554" TargetMode="External" /><Relationship Id="rId104" Type="http://schemas.openxmlformats.org/officeDocument/2006/relationships/hyperlink" Target="http://data.aade.gr/eli/pri/law/2005/12/27/3427" TargetMode="External" /><Relationship Id="rId105" Type="http://schemas.openxmlformats.org/officeDocument/2006/relationships/hyperlink" Target="http://data.aade.gr/eli/pri/law/2002/12/24/3091" TargetMode="External" /><Relationship Id="rId106" Type="http://schemas.openxmlformats.org/officeDocument/2006/relationships/hyperlink" Target="http://data.aade.gr/eli/pri/law/2010/04/23/3842" TargetMode="External" /><Relationship Id="rId107" Type="http://schemas.openxmlformats.org/officeDocument/2006/relationships/hyperlink" Target="http://data.aade.gr/eli/pri/law/2008/01/29/3634" TargetMode="External" /><Relationship Id="rId108" Type="http://schemas.openxmlformats.org/officeDocument/2006/relationships/hyperlink" Target="http://data.aade.gr/eli/pri/law/2007/04/16/3554" TargetMode="External" /><Relationship Id="rId109" Type="http://schemas.openxmlformats.org/officeDocument/2006/relationships/hyperlink" Target="http://data.aade.gr/eli/pri/law/2005/12/27/3427"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02/12/24/3091" TargetMode="External" /><Relationship Id="rId111" Type="http://schemas.openxmlformats.org/officeDocument/2006/relationships/hyperlink" Target="http://data.aade.gr/eli/pri/law/2010/04/23/3842" TargetMode="External" /><Relationship Id="rId112" Type="http://schemas.openxmlformats.org/officeDocument/2006/relationships/hyperlink" Target="http://data.aade.gr/eli/pri/law/2008/01/29/3634" TargetMode="External" /><Relationship Id="rId113" Type="http://schemas.openxmlformats.org/officeDocument/2006/relationships/hyperlink" Target="http://data.aade.gr/eli/pri/law/2007/04/16/3554" TargetMode="External" /><Relationship Id="rId114" Type="http://schemas.openxmlformats.org/officeDocument/2006/relationships/hyperlink" Target="http://data.aade.gr/eli/pri/law/2005/12/27/3427" TargetMode="External" /><Relationship Id="rId115" Type="http://schemas.openxmlformats.org/officeDocument/2006/relationships/hyperlink" Target="http://data.aade.gr/eli/pri/law/2002/12/24/3091"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08/01/29/3634" TargetMode="External" /><Relationship Id="rId118" Type="http://schemas.openxmlformats.org/officeDocument/2006/relationships/hyperlink" Target="http://data.aade.gr/eli/pri/law/2007/04/16/3554" TargetMode="External" /><Relationship Id="rId119" Type="http://schemas.openxmlformats.org/officeDocument/2006/relationships/hyperlink" Target="http://data.aade.gr/eli/pri/law/2005/12/27/3427" TargetMode="External" /><Relationship Id="rId12" Type="http://schemas.openxmlformats.org/officeDocument/2006/relationships/hyperlink" Target="http://data.aade.gr/eli/pri/law/2008/01/29/3634" TargetMode="External" /><Relationship Id="rId120" Type="http://schemas.openxmlformats.org/officeDocument/2006/relationships/hyperlink" Target="http://data.aade.gr/eli/pri/law/2002/12/24/3091" TargetMode="External" /><Relationship Id="rId121" Type="http://schemas.openxmlformats.org/officeDocument/2006/relationships/hyperlink" Target="http://data.aade.gr/eli/pri/law/2010/04/23/3842" TargetMode="External" /><Relationship Id="rId122" Type="http://schemas.openxmlformats.org/officeDocument/2006/relationships/hyperlink" Target="http://data.aade.gr/eli/pri/law/2010/04/23/3842"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10/04/23/3842" TargetMode="External" /><Relationship Id="rId125" Type="http://schemas.openxmlformats.org/officeDocument/2006/relationships/hyperlink" Target="http://data.aade.gr/eli/pri/law/2010/04/23/3842"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06/12/22/3522" TargetMode="External" /><Relationship Id="rId128" Type="http://schemas.openxmlformats.org/officeDocument/2006/relationships/hyperlink" Target="http://data.aade.gr/eli/pri/law/2015/06/16/4330" TargetMode="External" /><Relationship Id="rId129" Type="http://schemas.openxmlformats.org/officeDocument/2006/relationships/hyperlink" Target="http://data.aade.gr/eli/pri/law/2021/02/28/4781"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08/01/29/3634" TargetMode="External" /><Relationship Id="rId131" Type="http://schemas.openxmlformats.org/officeDocument/2006/relationships/hyperlink" Target="http://data.aade.gr/eli/pri/law/2002/12/24/3091" TargetMode="External" /><Relationship Id="rId132" Type="http://schemas.openxmlformats.org/officeDocument/2006/relationships/hyperlink" Target="http://data.aade.gr/eli/pri/law/2008/01/29/3634" TargetMode="External" /><Relationship Id="rId133" Type="http://schemas.openxmlformats.org/officeDocument/2006/relationships/hyperlink" Target="http://data.aade.gr/eli/pri/law/2020/07/31/4714" TargetMode="External" /><Relationship Id="rId134" Type="http://schemas.openxmlformats.org/officeDocument/2006/relationships/hyperlink" Target="http://data.aade.gr/eli/pri/law/2008/01/29/3634" TargetMode="External" /><Relationship Id="rId135" Type="http://schemas.openxmlformats.org/officeDocument/2006/relationships/hyperlink" Target="http://data.aade.gr/eli/pri/law/2008/01/29/3634" TargetMode="External" /><Relationship Id="rId136" Type="http://schemas.openxmlformats.org/officeDocument/2006/relationships/hyperlink" Target="http://data.aade.gr/eli/pri/law/2008/01/29/3634" TargetMode="External" /><Relationship Id="rId137" Type="http://schemas.openxmlformats.org/officeDocument/2006/relationships/hyperlink" Target="http://data.aade.gr/eli/pri/law/2019/12/12/4646" TargetMode="External" /><Relationship Id="rId138" Type="http://schemas.openxmlformats.org/officeDocument/2006/relationships/hyperlink" Target="http://data.aade.gr/eli/pri/law/2019/12/12/4646" TargetMode="External" /><Relationship Id="rId139" Type="http://schemas.openxmlformats.org/officeDocument/2006/relationships/hyperlink" Target="http://data.aade.gr/eli/pri/law/2019/12/12/4646" TargetMode="External" /><Relationship Id="rId14" Type="http://schemas.openxmlformats.org/officeDocument/2006/relationships/hyperlink" Target="http://data.aade.gr/eli/pri/law/2005/12/27/3427" TargetMode="External" /><Relationship Id="rId140" Type="http://schemas.openxmlformats.org/officeDocument/2006/relationships/hyperlink" Target="http://data.aade.gr/eli/pri/law/2019/12/12/4646" TargetMode="External" /><Relationship Id="rId141" Type="http://schemas.openxmlformats.org/officeDocument/2006/relationships/hyperlink" Target="http://data.aade.gr/eli/pri/law/2019/12/12/4646" TargetMode="External" /><Relationship Id="rId142" Type="http://schemas.openxmlformats.org/officeDocument/2006/relationships/hyperlink" Target="http://data.aade.gr/eli/pri/law/2019/12/12/4646" TargetMode="External" /><Relationship Id="rId143" Type="http://schemas.openxmlformats.org/officeDocument/2006/relationships/hyperlink" Target="http://data.aade.gr/eli/pri/law/2019/12/12/4646" TargetMode="External" /><Relationship Id="rId144" Type="http://schemas.openxmlformats.org/officeDocument/2006/relationships/hyperlink" Target="http://data.aade.gr/eli/pri/law/2019/12/12/4646" TargetMode="External" /><Relationship Id="rId145" Type="http://schemas.openxmlformats.org/officeDocument/2006/relationships/hyperlink" Target="http://data.aade.gr/eli/pri/law/2019/12/12/4646" TargetMode="External" /><Relationship Id="rId146" Type="http://schemas.openxmlformats.org/officeDocument/2006/relationships/hyperlink" Target="http://data.aade.gr/eli/pri/law/2019/12/12/4646" TargetMode="External" /><Relationship Id="rId147" Type="http://schemas.openxmlformats.org/officeDocument/2006/relationships/hyperlink" Target="http://data.aade.gr/eli/pri/law/2019/12/12/4646" TargetMode="External" /><Relationship Id="rId148" Type="http://schemas.openxmlformats.org/officeDocument/2006/relationships/hyperlink" Target="http://data.aade.gr/eli/pri/law/2019/12/12/4646" TargetMode="External" /><Relationship Id="rId149" Type="http://schemas.openxmlformats.org/officeDocument/2006/relationships/hyperlink" Target="http://data.aade.gr/eli/pri/law/2019/12/12/4646" TargetMode="External" /><Relationship Id="rId15" Type="http://schemas.openxmlformats.org/officeDocument/2006/relationships/hyperlink" Target="http://data.aade.gr/eli/pri/law/2004/01/28/3220" TargetMode="External" /><Relationship Id="rId150" Type="http://schemas.openxmlformats.org/officeDocument/2006/relationships/hyperlink" Target="http://data.aade.gr/eli/pri/law/2008/01/29/3634" TargetMode="External" /><Relationship Id="rId151" Type="http://schemas.openxmlformats.org/officeDocument/2006/relationships/hyperlink" Target="http://data.aade.gr/eli/pri/law/2019/12/12/4646" TargetMode="External" /><Relationship Id="rId152" Type="http://schemas.openxmlformats.org/officeDocument/2006/relationships/hyperlink" Target="http://data.aade.gr/eli/pri/law/2012/11/12/4093" TargetMode="External" /><Relationship Id="rId153" Type="http://schemas.openxmlformats.org/officeDocument/2006/relationships/hyperlink" Target="http://data.aade.gr/eli/pri/law/2010/04/23/3842" TargetMode="External" /><Relationship Id="rId154" Type="http://schemas.openxmlformats.org/officeDocument/2006/relationships/hyperlink" Target="http://data.aade.gr/eli/pri/law/2012/11/12/4093" TargetMode="External" /><Relationship Id="rId155" Type="http://schemas.openxmlformats.org/officeDocument/2006/relationships/hyperlink" Target="http://data.aade.gr/eli/pri/law/2010/04/23/3842" TargetMode="External" /><Relationship Id="rId156" Type="http://schemas.openxmlformats.org/officeDocument/2006/relationships/hyperlink" Target="http://data.aade.gr/eli/pri/law/2009/07/21/3775" TargetMode="External" /><Relationship Id="rId157" Type="http://schemas.openxmlformats.org/officeDocument/2006/relationships/hyperlink" Target="http://data.aade.gr/eli/pri/law/2012/11/12/4093" TargetMode="External" /><Relationship Id="rId158" Type="http://schemas.openxmlformats.org/officeDocument/2006/relationships/hyperlink" Target="http://data.aade.gr/eli/pri/law/2012/11/12/4093" TargetMode="External" /><Relationship Id="rId159" Type="http://schemas.openxmlformats.org/officeDocument/2006/relationships/hyperlink" Target="http://data.aade.gr/eli/pri/law/2012/11/12/4093" TargetMode="External" /><Relationship Id="rId16" Type="http://schemas.openxmlformats.org/officeDocument/2006/relationships/hyperlink" Target="http://data.aade.gr/eli/pri/law/2002/12/24/3091" TargetMode="External" /><Relationship Id="rId160" Type="http://schemas.openxmlformats.org/officeDocument/2006/relationships/hyperlink" Target="http://data.aade.gr/eli/pri/law/2010/04/23/3842" TargetMode="External" /><Relationship Id="rId161" Type="http://schemas.openxmlformats.org/officeDocument/2006/relationships/hyperlink" Target="http://data.aade.gr/eli/pri/law/2009/07/21/3775" TargetMode="External" /><Relationship Id="rId162" Type="http://schemas.openxmlformats.org/officeDocument/2006/relationships/hyperlink" Target="http://data.aade.gr/eli/pri/law/2010/04/23/3842" TargetMode="External" /><Relationship Id="rId163" Type="http://schemas.openxmlformats.org/officeDocument/2006/relationships/hyperlink" Target="http://data.aade.gr/eli/pri/law/2019/12/12/4646" TargetMode="External" /><Relationship Id="rId164" Type="http://schemas.openxmlformats.org/officeDocument/2006/relationships/hyperlink" Target="http://data.aade.gr/eli/pri/law/2015/10/23/4338" TargetMode="External" /><Relationship Id="rId165" Type="http://schemas.openxmlformats.org/officeDocument/2006/relationships/hyperlink" Target="http://data.aade.gr/eli/pri/law/2014/04/07/4254" TargetMode="External" /><Relationship Id="rId166" Type="http://schemas.openxmlformats.org/officeDocument/2006/relationships/hyperlink" Target="http://data.aade.gr/eli/pri/law/2017/08/01/4484" TargetMode="External" /><Relationship Id="rId167" Type="http://schemas.openxmlformats.org/officeDocument/2006/relationships/hyperlink" Target="http://data.aade.gr/eli/pri/law/2017/07/25/4482" TargetMode="External" /><Relationship Id="rId168" Type="http://schemas.openxmlformats.org/officeDocument/2006/relationships/hyperlink" Target="http://data.aade.gr/eli/pri/law/2010/04/23/3842" TargetMode="External" /><Relationship Id="rId169" Type="http://schemas.openxmlformats.org/officeDocument/2006/relationships/hyperlink" Target="http://data.aade.gr/eli/pri/law/2019/10/30/4635" TargetMode="External" /><Relationship Id="rId17" Type="http://schemas.openxmlformats.org/officeDocument/2006/relationships/hyperlink" Target="http://data.aade.gr/eli/pri/law/2002/12/24/3091" TargetMode="External" /><Relationship Id="rId170" Type="http://schemas.openxmlformats.org/officeDocument/2006/relationships/hyperlink" Target="http://data.aade.gr/eli/pri/law/2012/11/12/4093" TargetMode="External" /><Relationship Id="rId171" Type="http://schemas.openxmlformats.org/officeDocument/2006/relationships/hyperlink" Target="http://data.aade.gr/eli/pri/law/2010/04/23/3842" TargetMode="External" /><Relationship Id="rId172" Type="http://schemas.openxmlformats.org/officeDocument/2006/relationships/hyperlink" Target="http://data.aade.gr/eli/pri/law/2009/07/21/3775" TargetMode="External" /><Relationship Id="rId173" Type="http://schemas.openxmlformats.org/officeDocument/2006/relationships/hyperlink" Target="http://data.aade.gr/eli/pri/law/2020/12/23/4764" TargetMode="External" /><Relationship Id="rId174" Type="http://schemas.openxmlformats.org/officeDocument/2006/relationships/hyperlink" Target="http://data.aade.gr/eli/pri/law/2020/12/23/4764" TargetMode="External" /><Relationship Id="rId175" Type="http://schemas.openxmlformats.org/officeDocument/2006/relationships/hyperlink" Target="http://data.aade.gr/eli/pri/law/2019/10/30/4635" TargetMode="External" /><Relationship Id="rId176" Type="http://schemas.openxmlformats.org/officeDocument/2006/relationships/hyperlink" Target="http://data.aade.gr/eli/pri/law/2013/04/05/4141" TargetMode="External" /><Relationship Id="rId177" Type="http://schemas.openxmlformats.org/officeDocument/2006/relationships/hyperlink" Target="http://data.aade.gr/eli/pri/law/2012/11/12/4093" TargetMode="External" /><Relationship Id="rId178" Type="http://schemas.openxmlformats.org/officeDocument/2006/relationships/hyperlink" Target="http://data.aade.gr/eli/pri/law/2012/11/12/4093" TargetMode="External" /><Relationship Id="rId179" Type="http://schemas.openxmlformats.org/officeDocument/2006/relationships/hyperlink" Target="http://data.aade.gr/eli/pri/law/2019/12/12/4646" TargetMode="External" /><Relationship Id="rId18" Type="http://schemas.openxmlformats.org/officeDocument/2006/relationships/hyperlink" Target="http://data.aade.gr/eli/pri/law/2004/01/28/3220" TargetMode="External" /><Relationship Id="rId180" Type="http://schemas.openxmlformats.org/officeDocument/2006/relationships/hyperlink" Target="http://data.aade.gr/eli/pri/law/2019/12/12/4646" TargetMode="External" /><Relationship Id="rId181" Type="http://schemas.openxmlformats.org/officeDocument/2006/relationships/hyperlink" Target="http://data.aade.gr/eli/pri/law/2019/12/12/4646" TargetMode="External" /><Relationship Id="rId182" Type="http://schemas.openxmlformats.org/officeDocument/2006/relationships/hyperlink" Target="http://data.aade.gr/eli/pri/law/2019/12/12/4646" TargetMode="External" /><Relationship Id="rId183" Type="http://schemas.openxmlformats.org/officeDocument/2006/relationships/hyperlink" Target="http://data.aade.gr/eli/pri/law/2019/12/12/4646" TargetMode="External" /><Relationship Id="rId184" Type="http://schemas.openxmlformats.org/officeDocument/2006/relationships/hyperlink" Target="http://data.aade.gr/eli/pri/law/2019/12/12/4646" TargetMode="External" /><Relationship Id="rId185" Type="http://schemas.openxmlformats.org/officeDocument/2006/relationships/hyperlink" Target="http://data.aade.gr/eli/pri/law/2019/12/12/4646" TargetMode="External" /><Relationship Id="rId186" Type="http://schemas.openxmlformats.org/officeDocument/2006/relationships/hyperlink" Target="http://data.aade.gr/eli/pri/law/2019/12/12/4646" TargetMode="External" /><Relationship Id="rId187" Type="http://schemas.openxmlformats.org/officeDocument/2006/relationships/hyperlink" Target="http://data.aade.gr/eli/pri/law/2019/12/12/4646" TargetMode="External" /><Relationship Id="rId188" Type="http://schemas.openxmlformats.org/officeDocument/2006/relationships/hyperlink" Target="http://data.aade.gr/eli/pri/law/2019/12/12/4646" TargetMode="External" /><Relationship Id="rId189" Type="http://schemas.openxmlformats.org/officeDocument/2006/relationships/hyperlink" Target="http://data.aade.gr/eli/pri/law/2005/12/27/3427" TargetMode="External" /><Relationship Id="rId19" Type="http://schemas.openxmlformats.org/officeDocument/2006/relationships/hyperlink" Target="http://data.aade.gr/eli/pri/law/2002/12/24/3091" TargetMode="External" /><Relationship Id="rId190" Type="http://schemas.openxmlformats.org/officeDocument/2006/relationships/hyperlink" Target="http://data.aade.gr/eli/pri/law/2019/12/12/4646" TargetMode="External" /><Relationship Id="rId191" Type="http://schemas.openxmlformats.org/officeDocument/2006/relationships/hyperlink" Target="http://data.aade.gr/eli/pri/law/2011/03/31/3943" TargetMode="External" /><Relationship Id="rId192" Type="http://schemas.openxmlformats.org/officeDocument/2006/relationships/hyperlink" Target="http://data.aade.gr/eli/pri/law/2005/12/27/3427" TargetMode="External" /><Relationship Id="rId193" Type="http://schemas.openxmlformats.org/officeDocument/2006/relationships/hyperlink" Target="http://data.aade.gr/eli/pri/law/2005/12/27/3427" TargetMode="External" /><Relationship Id="rId194" Type="http://schemas.openxmlformats.org/officeDocument/2006/relationships/hyperlink" Target="http://data.aade.gr/eli/pri/law/2005/12/27/3427" TargetMode="External" /><Relationship Id="rId195" Type="http://schemas.openxmlformats.org/officeDocument/2006/relationships/hyperlink" Target="http://data.aade.gr/eli/pri/law/2008/01/29/3634" TargetMode="External" /><Relationship Id="rId196" Type="http://schemas.openxmlformats.org/officeDocument/2006/relationships/hyperlink" Target="http://data.aade.gr/eli/pri/law/2005/12/27/3427" TargetMode="External" /><Relationship Id="rId197" Type="http://schemas.openxmlformats.org/officeDocument/2006/relationships/hyperlink" Target="http://data.aade.gr/eli/pri/law/2019/12/12/4646" TargetMode="External" /><Relationship Id="rId198" Type="http://schemas.openxmlformats.org/officeDocument/2006/relationships/hyperlink" Target="http://data.aade.gr/eli/pri/law/2011/03/31/3943" TargetMode="External" /><Relationship Id="rId199" Type="http://schemas.openxmlformats.org/officeDocument/2006/relationships/hyperlink" Target="http://data.aade.gr/eli/pri/law/2008/01/29/3634" TargetMode="External" /><Relationship Id="rId2" Type="http://schemas.openxmlformats.org/officeDocument/2006/relationships/hyperlink" Target="http://data.aade.gr/eli/pri/law/2012/11/12/4093" TargetMode="External" /><Relationship Id="rId20" Type="http://schemas.openxmlformats.org/officeDocument/2006/relationships/hyperlink" Target="http://data.aade.gr/eli/pri/law/2004/01/28/3220" TargetMode="External" /><Relationship Id="rId200" Type="http://schemas.openxmlformats.org/officeDocument/2006/relationships/hyperlink" Target="http://data.aade.gr/eli/pri/law/2005/12/27/3427" TargetMode="External" /><Relationship Id="rId201" Type="http://schemas.openxmlformats.org/officeDocument/2006/relationships/hyperlink" Target="http://data.aade.gr/eli/pri/law/2002/12/24/3091" TargetMode="External" /><Relationship Id="rId202" Type="http://schemas.openxmlformats.org/officeDocument/2006/relationships/hyperlink" Target="http://data.aade.gr/eli/pri/law/2008/01/29/3634" TargetMode="External" /><Relationship Id="rId203" Type="http://schemas.openxmlformats.org/officeDocument/2006/relationships/hyperlink" Target="http://data.aade.gr/eli/pri/law/2011/03/31/3943" TargetMode="External" /><Relationship Id="rId204" Type="http://schemas.openxmlformats.org/officeDocument/2006/relationships/hyperlink" Target="http://data.aade.gr/eli/pri/law/2014/07/30/4276" TargetMode="External" /><Relationship Id="rId205" Type="http://schemas.openxmlformats.org/officeDocument/2006/relationships/hyperlink" Target="http://data.aade.gr/eli/pri/law/2014/05/05/4261" TargetMode="External" /><Relationship Id="rId206" Type="http://schemas.openxmlformats.org/officeDocument/2006/relationships/hyperlink" Target="http://data.aade.gr/eli/pri/law/2019/12/12/4646" TargetMode="External" /><Relationship Id="rId207" Type="http://schemas.openxmlformats.org/officeDocument/2006/relationships/hyperlink" Target="http://data.aade.gr/eli/pri/law/2019/12/12/4646" TargetMode="External" /><Relationship Id="rId208" Type="http://schemas.openxmlformats.org/officeDocument/2006/relationships/hyperlink" Target="http://data.aade.gr/eli/pri/law/2019/12/12/4646" TargetMode="External" /><Relationship Id="rId209" Type="http://schemas.openxmlformats.org/officeDocument/2006/relationships/hyperlink" Target="http://data.aade.gr/eli/pri/law/2019/12/12/4646" TargetMode="External" /><Relationship Id="rId21" Type="http://schemas.openxmlformats.org/officeDocument/2006/relationships/hyperlink" Target="http://data.aade.gr/eli/pri/law/2004/01/28/3220" TargetMode="External" /><Relationship Id="rId210" Type="http://schemas.openxmlformats.org/officeDocument/2006/relationships/hyperlink" Target="http://data.aade.gr/eli/pri/law/2019/12/12/4646" TargetMode="External" /><Relationship Id="rId211" Type="http://schemas.openxmlformats.org/officeDocument/2006/relationships/hyperlink" Target="http://data.aade.gr/eli/pri/law/2018/12/18/4583" TargetMode="External" /><Relationship Id="rId212" Type="http://schemas.openxmlformats.org/officeDocument/2006/relationships/hyperlink" Target="http://data.aade.gr/eli/pri/law/2019/12/12/4646" TargetMode="External" /><Relationship Id="rId213" Type="http://schemas.openxmlformats.org/officeDocument/2006/relationships/hyperlink" Target="http://data.aade.gr/eli/pri/law/2019/12/12/4646" TargetMode="External" /><Relationship Id="rId214" Type="http://schemas.openxmlformats.org/officeDocument/2006/relationships/hyperlink" Target="http://data.aade.gr/eli/pri/law/2019/12/12/4646" TargetMode="External" /><Relationship Id="rId215" Type="http://schemas.openxmlformats.org/officeDocument/2006/relationships/hyperlink" Target="http://data.aade.gr/eli/pri/law/2019/12/12/4646" TargetMode="External" /><Relationship Id="rId216" Type="http://schemas.openxmlformats.org/officeDocument/2006/relationships/hyperlink" Target="http://data.aade.gr/eli/pri/law/2019/12/12/4646" TargetMode="External" /><Relationship Id="rId217" Type="http://schemas.openxmlformats.org/officeDocument/2006/relationships/hyperlink" Target="http://data.aade.gr/eli/pri/law/2011/03/31/3943" TargetMode="External" /><Relationship Id="rId218" Type="http://schemas.openxmlformats.org/officeDocument/2006/relationships/hyperlink" Target="http://data.aade.gr/eli/pri/law/2019/12/12/4646" TargetMode="External" /><Relationship Id="rId219" Type="http://schemas.openxmlformats.org/officeDocument/2006/relationships/hyperlink" Target="http://data.aade.gr/eli/pri/law/2019/12/12/4646" TargetMode="External" /><Relationship Id="rId22" Type="http://schemas.openxmlformats.org/officeDocument/2006/relationships/hyperlink" Target="http://data.aade.gr/eli/pri/law/2004/01/28/3220" TargetMode="External" /><Relationship Id="rId220" Type="http://schemas.openxmlformats.org/officeDocument/2006/relationships/hyperlink" Target="http://data.aade.gr/eli/pri/law/2019/12/12/4646" TargetMode="External" /><Relationship Id="rId221" Type="http://schemas.openxmlformats.org/officeDocument/2006/relationships/hyperlink" Target="http://data.aade.gr/eli/pri/law/2019/12/12/4646" TargetMode="External" /><Relationship Id="rId222" Type="http://schemas.openxmlformats.org/officeDocument/2006/relationships/hyperlink" Target="http://data.aade.gr/eli/pri/law/2005/12/27/3427" TargetMode="External" /><Relationship Id="rId223" Type="http://schemas.openxmlformats.org/officeDocument/2006/relationships/hyperlink" Target="http://data.aade.gr/eli/pri/law/2019/12/12/4646" TargetMode="External" /><Relationship Id="rId224" Type="http://schemas.openxmlformats.org/officeDocument/2006/relationships/hyperlink" Target="http://data.aade.gr/eli/pri/law/2018/12/18/4583" TargetMode="External" /><Relationship Id="rId225" Type="http://schemas.openxmlformats.org/officeDocument/2006/relationships/hyperlink" Target="http://data.aade.gr/eli/pri/law/2018/12/18/4583" TargetMode="External" /><Relationship Id="rId226" Type="http://schemas.openxmlformats.org/officeDocument/2006/relationships/hyperlink" Target="http://data.aade.gr/eli/pri/law/2018/12/18/4583" TargetMode="External" /><Relationship Id="rId227" Type="http://schemas.openxmlformats.org/officeDocument/2006/relationships/hyperlink" Target="http://data.aade.gr/eli/pri/law/2011/03/31/3943" TargetMode="External" /><Relationship Id="rId228" Type="http://schemas.openxmlformats.org/officeDocument/2006/relationships/hyperlink" Target="http://data.aade.gr/eli/pri/law/2019/12/12/4646" TargetMode="External" /><Relationship Id="rId229" Type="http://schemas.openxmlformats.org/officeDocument/2006/relationships/hyperlink" Target="http://data.aade.gr/eli/pri/law/2008/01/29/3634" TargetMode="External" /><Relationship Id="rId23" Type="http://schemas.openxmlformats.org/officeDocument/2006/relationships/hyperlink" Target="http://data.aade.gr/eli/pri/law/2004/01/28/3220" TargetMode="External" /><Relationship Id="rId230" Type="http://schemas.openxmlformats.org/officeDocument/2006/relationships/hyperlink" Target="http://data.aade.gr/eli/pri/law/2019/12/12/4646" TargetMode="External" /><Relationship Id="rId231" Type="http://schemas.openxmlformats.org/officeDocument/2006/relationships/hyperlink" Target="http://data.aade.gr/eli/pri/law/2008/01/29/3634" TargetMode="External" /><Relationship Id="rId232" Type="http://schemas.openxmlformats.org/officeDocument/2006/relationships/hyperlink" Target="http://data.aade.gr/eli/pri/law/2008/01/29/3634" TargetMode="External" /><Relationship Id="rId233" Type="http://schemas.openxmlformats.org/officeDocument/2006/relationships/hyperlink" Target="http://data.aade.gr/eli/pri/law/2010/04/23/3842" TargetMode="External" /><Relationship Id="rId234" Type="http://schemas.openxmlformats.org/officeDocument/2006/relationships/hyperlink" Target="http://data.aade.gr/eli/pri/law/2019/12/12/4646" TargetMode="External" /><Relationship Id="rId235" Type="http://schemas.openxmlformats.org/officeDocument/2006/relationships/hyperlink" Target="http://data.aade.gr/eli/pri/law/2010/04/23/3842" TargetMode="External" /><Relationship Id="rId236" Type="http://schemas.openxmlformats.org/officeDocument/2006/relationships/hyperlink" Target="http://data.aade.gr/eli/pri/law/2009/07/21/3775" TargetMode="External" /><Relationship Id="rId237" Type="http://schemas.openxmlformats.org/officeDocument/2006/relationships/hyperlink" Target="http://data.aade.gr/eli/pri/law/2019/12/12/4646" TargetMode="External" /><Relationship Id="rId238" Type="http://schemas.openxmlformats.org/officeDocument/2006/relationships/hyperlink" Target="http://data.aade.gr/eli/pri/law/2010/04/23/3842" TargetMode="External" /><Relationship Id="rId239" Type="http://schemas.openxmlformats.org/officeDocument/2006/relationships/hyperlink" Target="http://data.aade.gr/eli/pri/law/2010/04/23/3842" TargetMode="External" /><Relationship Id="rId24" Type="http://schemas.openxmlformats.org/officeDocument/2006/relationships/hyperlink" Target="http://data.aade.gr/eli/pri/law/2004/01/28/3220" TargetMode="External" /><Relationship Id="rId240" Type="http://schemas.openxmlformats.org/officeDocument/2006/relationships/hyperlink" Target="http://data.aade.gr/eli/pri/law/2009/07/21/3775" TargetMode="External" /><Relationship Id="rId241" Type="http://schemas.openxmlformats.org/officeDocument/2006/relationships/hyperlink" Target="http://data.aade.gr/eli/pri/law/2012/11/12/4093" TargetMode="External" /><Relationship Id="rId242" Type="http://schemas.openxmlformats.org/officeDocument/2006/relationships/hyperlink" Target="http://data.aade.gr/eli/pri/law/2005/12/27/3427" TargetMode="External" /><Relationship Id="rId243" Type="http://schemas.openxmlformats.org/officeDocument/2006/relationships/hyperlink" Target="http://data.aade.gr/eli/pri/law/2011/03/31/3943" TargetMode="External" /><Relationship Id="rId244" Type="http://schemas.openxmlformats.org/officeDocument/2006/relationships/hyperlink" Target="http://data.aade.gr/eli/pri/law/2018/12/18/4583" TargetMode="External" /><Relationship Id="rId245" Type="http://schemas.openxmlformats.org/officeDocument/2006/relationships/hyperlink" Target="http://data.aade.gr/eli/pri/law/2005/12/27/3427" TargetMode="External" /><Relationship Id="rId246" Type="http://schemas.openxmlformats.org/officeDocument/2006/relationships/hyperlink" Target="http://data.aade.gr/eli/pri/law/2018/12/18/4583" TargetMode="External" /><Relationship Id="rId247" Type="http://schemas.openxmlformats.org/officeDocument/2006/relationships/hyperlink" Target="http://data.aade.gr/eli/pri/law/2005/12/27/3427" TargetMode="External" /><Relationship Id="rId248" Type="http://schemas.openxmlformats.org/officeDocument/2006/relationships/hyperlink" Target="http://data.aade.gr/eli/pri/law/2019/12/12/4646" TargetMode="External" /><Relationship Id="rId249" Type="http://schemas.openxmlformats.org/officeDocument/2006/relationships/hyperlink" Target="http://data.aade.gr/eli/pri/law/2018/12/18/4583" TargetMode="External" /><Relationship Id="rId25" Type="http://schemas.openxmlformats.org/officeDocument/2006/relationships/hyperlink" Target="http://data.aade.gr/eli/pri/law/2004/01/28/3220" TargetMode="External" /><Relationship Id="rId250" Type="http://schemas.openxmlformats.org/officeDocument/2006/relationships/hyperlink" Target="http://data.aade.gr/eli/pri/law/2005/12/27/3427" TargetMode="External" /><Relationship Id="rId251" Type="http://schemas.openxmlformats.org/officeDocument/2006/relationships/hyperlink" Target="http://data.aade.gr/eli/pri/law/2019/12/12/4646" TargetMode="External" /><Relationship Id="rId252" Type="http://schemas.openxmlformats.org/officeDocument/2006/relationships/hyperlink" Target="http://data.aade.gr/eli/pri/law/2019/12/12/4646" TargetMode="External" /><Relationship Id="rId253" Type="http://schemas.openxmlformats.org/officeDocument/2006/relationships/hyperlink" Target="http://data.aade.gr/eli/pri/law/2003/11/20/3193" TargetMode="External" /><Relationship Id="rId254" Type="http://schemas.openxmlformats.org/officeDocument/2006/relationships/hyperlink" Target="http://data.aade.gr/eli/pri/law/2019/12/12/4646" TargetMode="External" /><Relationship Id="rId255" Type="http://schemas.openxmlformats.org/officeDocument/2006/relationships/hyperlink" Target="http://data.aade.gr/eli/pri/law/2019/12/12/4646" TargetMode="External" /><Relationship Id="rId256" Type="http://schemas.openxmlformats.org/officeDocument/2006/relationships/hyperlink" Target="http://data.aade.gr/eli/pri/law/2019/12/12/4646" TargetMode="External" /><Relationship Id="rId257" Type="http://schemas.openxmlformats.org/officeDocument/2006/relationships/hyperlink" Target="http://data.aade.gr/eli/pri/law/2019/12/12/4646" TargetMode="External" /><Relationship Id="rId258" Type="http://schemas.openxmlformats.org/officeDocument/2006/relationships/hyperlink" Target="http://data.aade.gr/eli/pri/law/2019/12/12/4646" TargetMode="External" /><Relationship Id="rId259" Type="http://schemas.openxmlformats.org/officeDocument/2006/relationships/hyperlink" Target="http://data.aade.gr/eli/pri/law/2019/12/12/4646" TargetMode="External" /><Relationship Id="rId26" Type="http://schemas.openxmlformats.org/officeDocument/2006/relationships/hyperlink" Target="http://data.aade.gr/eli/pri/law/2004/01/28/3220" TargetMode="External" /><Relationship Id="rId260" Type="http://schemas.openxmlformats.org/officeDocument/2006/relationships/hyperlink" Target="http://data.aade.gr/eli/pri/law/2019/12/12/4646" TargetMode="External" /><Relationship Id="rId261" Type="http://schemas.openxmlformats.org/officeDocument/2006/relationships/hyperlink" Target="http://data.aade.gr/eli/pri/law/2019/12/12/4646" TargetMode="External" /><Relationship Id="rId27" Type="http://schemas.openxmlformats.org/officeDocument/2006/relationships/hyperlink" Target="http://data.aade.gr/eli/pri/law/2005/12/27/3427" TargetMode="External" /><Relationship Id="rId28" Type="http://schemas.openxmlformats.org/officeDocument/2006/relationships/hyperlink" Target="http://data.aade.gr/eli/pri/law/2008/01/29/3634" TargetMode="External" /><Relationship Id="rId29" Type="http://schemas.openxmlformats.org/officeDocument/2006/relationships/hyperlink" Target="http://data.aade.gr/eli/pri/law/2002/12/24/3091"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9/12/12/4646" TargetMode="External" /><Relationship Id="rId31" Type="http://schemas.openxmlformats.org/officeDocument/2006/relationships/hyperlink" Target="http://data.aade.gr/eli/pri/law/2008/01/29/3634" TargetMode="External" /><Relationship Id="rId32" Type="http://schemas.openxmlformats.org/officeDocument/2006/relationships/hyperlink" Target="http://data.aade.gr/eli/pri/law/2006/06/28/3470" TargetMode="External" /><Relationship Id="rId33" Type="http://schemas.openxmlformats.org/officeDocument/2006/relationships/hyperlink" Target="http://data.aade.gr/eli/pri/law/2006/12/22/3522" TargetMode="External" /><Relationship Id="rId34" Type="http://schemas.openxmlformats.org/officeDocument/2006/relationships/hyperlink" Target="http://data.aade.gr/eli/pri/law/2011/03/31/3943" TargetMode="External" /><Relationship Id="rId35" Type="http://schemas.openxmlformats.org/officeDocument/2006/relationships/hyperlink" Target="http://data.aade.gr/eli/pri/law/2002/12/24/3091" TargetMode="External" /><Relationship Id="rId36" Type="http://schemas.openxmlformats.org/officeDocument/2006/relationships/hyperlink" Target="http://data.aade.gr/eli/pri/law/2002/12/24/3091" TargetMode="External" /><Relationship Id="rId37" Type="http://schemas.openxmlformats.org/officeDocument/2006/relationships/hyperlink" Target="http://data.aade.gr/eli/pri/law/2007/11/22/3610"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7/06/07/4474" TargetMode="External" /><Relationship Id="rId4" Type="http://schemas.openxmlformats.org/officeDocument/2006/relationships/hyperlink" Target="http://data.aade.gr/eli/pri/law/2019/12/12/4646" TargetMode="External" /><Relationship Id="rId40" Type="http://schemas.openxmlformats.org/officeDocument/2006/relationships/hyperlink" Target="http://data.aade.gr/eli/pri/law/2008/01/29/3634" TargetMode="External" /><Relationship Id="rId41" Type="http://schemas.openxmlformats.org/officeDocument/2006/relationships/hyperlink" Target="http://data.aade.gr/eli/pri/law/2002/12/24/3091" TargetMode="External" /><Relationship Id="rId42" Type="http://schemas.openxmlformats.org/officeDocument/2006/relationships/hyperlink" Target="http://data.aade.gr/eli/pri/law/2002/12/24/3091" TargetMode="External" /><Relationship Id="rId43" Type="http://schemas.openxmlformats.org/officeDocument/2006/relationships/hyperlink" Target="http://data.aade.gr/eli/pri/law/2007/04/16/3554" TargetMode="External" /><Relationship Id="rId44" Type="http://schemas.openxmlformats.org/officeDocument/2006/relationships/hyperlink" Target="http://data.aade.gr/eli/pri/law/2005/12/27/3427" TargetMode="External" /><Relationship Id="rId45" Type="http://schemas.openxmlformats.org/officeDocument/2006/relationships/hyperlink" Target="http://data.aade.gr/eli/pri/law/2002/12/24/3091" TargetMode="External" /><Relationship Id="rId46" Type="http://schemas.openxmlformats.org/officeDocument/2006/relationships/hyperlink" Target="http://data.aade.gr/eli/pri/law/2007/04/16/3554" TargetMode="External" /><Relationship Id="rId47" Type="http://schemas.openxmlformats.org/officeDocument/2006/relationships/hyperlink" Target="http://data.aade.gr/eli/pri/law/2005/12/27/3427" TargetMode="External" /><Relationship Id="rId48" Type="http://schemas.openxmlformats.org/officeDocument/2006/relationships/hyperlink" Target="http://data.aade.gr/eli/pri/law/2002/12/24/3091" TargetMode="External" /><Relationship Id="rId49" Type="http://schemas.openxmlformats.org/officeDocument/2006/relationships/hyperlink" Target="http://data.aade.gr/eli/pri/law/2002/12/24/3091"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04/01/28/3220" TargetMode="External" /><Relationship Id="rId51" Type="http://schemas.openxmlformats.org/officeDocument/2006/relationships/hyperlink" Target="http://data.aade.gr/eli/pri/law/2004/01/28/3220" TargetMode="External" /><Relationship Id="rId52" Type="http://schemas.openxmlformats.org/officeDocument/2006/relationships/hyperlink" Target="http://data.aade.gr/eli/pri/law/2004/01/28/3220" TargetMode="External" /><Relationship Id="rId53" Type="http://schemas.openxmlformats.org/officeDocument/2006/relationships/hyperlink" Target="http://data.aade.gr/eli/pri/law/2004/01/28/3220" TargetMode="External" /><Relationship Id="rId54" Type="http://schemas.openxmlformats.org/officeDocument/2006/relationships/hyperlink" Target="http://data.aade.gr/eli/pri/law/2004/01/28/3220" TargetMode="External" /><Relationship Id="rId55" Type="http://schemas.openxmlformats.org/officeDocument/2006/relationships/hyperlink" Target="http://data.aade.gr/eli/pri/law/2008/01/29/3634" TargetMode="External" /><Relationship Id="rId56" Type="http://schemas.openxmlformats.org/officeDocument/2006/relationships/hyperlink" Target="http://data.aade.gr/eli/pri/law/2004/01/28/3220" TargetMode="External" /><Relationship Id="rId57" Type="http://schemas.openxmlformats.org/officeDocument/2006/relationships/hyperlink" Target="http://data.aade.gr/eli/pri/law/2004/01/28/3220" TargetMode="External" /><Relationship Id="rId58" Type="http://schemas.openxmlformats.org/officeDocument/2006/relationships/hyperlink" Target="http://data.aade.gr/eli/pri/law/2004/01/28/3220" TargetMode="External" /><Relationship Id="rId59" Type="http://schemas.openxmlformats.org/officeDocument/2006/relationships/hyperlink" Target="http://data.aade.gr/eli/pri/law/2004/01/28/3220" TargetMode="External" /><Relationship Id="rId6" Type="http://schemas.openxmlformats.org/officeDocument/2006/relationships/hyperlink" Target="http://data.aade.gr/eli/pri/law/2005/12/27/3427" TargetMode="External" /><Relationship Id="rId60" Type="http://schemas.openxmlformats.org/officeDocument/2006/relationships/hyperlink" Target="http://data.aade.gr/eli/pri/law/2004/01/28/3220" TargetMode="External" /><Relationship Id="rId61" Type="http://schemas.openxmlformats.org/officeDocument/2006/relationships/hyperlink" Target="http://data.aade.gr/eli/pri/law/2004/01/28/3220" TargetMode="External" /><Relationship Id="rId62" Type="http://schemas.openxmlformats.org/officeDocument/2006/relationships/hyperlink" Target="http://data.aade.gr/eli/pri/law/2008/01/29/3634" TargetMode="External" /><Relationship Id="rId63" Type="http://schemas.openxmlformats.org/officeDocument/2006/relationships/hyperlink" Target="http://data.aade.gr/eli/pri/law/2008/01/29/3634" TargetMode="External" /><Relationship Id="rId64" Type="http://schemas.openxmlformats.org/officeDocument/2006/relationships/hyperlink" Target="http://data.aade.gr/eli/pri/law/2007/04/16/3554" TargetMode="External" /><Relationship Id="rId65" Type="http://schemas.openxmlformats.org/officeDocument/2006/relationships/hyperlink" Target="http://data.aade.gr/eli/pri/law/2005/12/27/3427" TargetMode="External" /><Relationship Id="rId66" Type="http://schemas.openxmlformats.org/officeDocument/2006/relationships/hyperlink" Target="http://data.aade.gr/eli/pri/law/2002/12/24/3091" TargetMode="External" /><Relationship Id="rId67" Type="http://schemas.openxmlformats.org/officeDocument/2006/relationships/hyperlink" Target="http://data.aade.gr/eli/pri/law/2008/01/29/3634" TargetMode="External" /><Relationship Id="rId68" Type="http://schemas.openxmlformats.org/officeDocument/2006/relationships/hyperlink" Target="http://data.aade.gr/eli/pri/law/2007/04/16/3554" TargetMode="External" /><Relationship Id="rId69" Type="http://schemas.openxmlformats.org/officeDocument/2006/relationships/hyperlink" Target="http://data.aade.gr/eli/pri/law/2008/01/29/3634" TargetMode="External" /><Relationship Id="rId7" Type="http://schemas.openxmlformats.org/officeDocument/2006/relationships/hyperlink" Target="http://data.aade.gr/eli/pri/law/2019/12/12/4646" TargetMode="External" /><Relationship Id="rId70" Type="http://schemas.openxmlformats.org/officeDocument/2006/relationships/hyperlink" Target="http://data.aade.gr/eli/pri/law/2002/12/24/3091" TargetMode="External" /><Relationship Id="rId71" Type="http://schemas.openxmlformats.org/officeDocument/2006/relationships/hyperlink" Target="http://data.aade.gr/eli/pri/law/2008/01/29/3634" TargetMode="External" /><Relationship Id="rId72" Type="http://schemas.openxmlformats.org/officeDocument/2006/relationships/hyperlink" Target="http://data.aade.gr/eli/pri/law/2008/01/29/3634" TargetMode="External" /><Relationship Id="rId73" Type="http://schemas.openxmlformats.org/officeDocument/2006/relationships/hyperlink" Target="http://data.aade.gr/eli/pri/law/2008/01/29/3634" TargetMode="External" /><Relationship Id="rId74" Type="http://schemas.openxmlformats.org/officeDocument/2006/relationships/hyperlink" Target="http://data.aade.gr/eli/pri/law/2008/01/29/3634" TargetMode="External" /><Relationship Id="rId75" Type="http://schemas.openxmlformats.org/officeDocument/2006/relationships/hyperlink" Target="http://data.aade.gr/eli/pri/law/2002/12/24/3091" TargetMode="External" /><Relationship Id="rId76" Type="http://schemas.openxmlformats.org/officeDocument/2006/relationships/hyperlink" Target="http://data.aade.gr/eli/pri/law/2008/01/29/3634" TargetMode="External" /><Relationship Id="rId77" Type="http://schemas.openxmlformats.org/officeDocument/2006/relationships/hyperlink" Target="http://data.aade.gr/eli/pri/law/2008/01/29/3634" TargetMode="External" /><Relationship Id="rId78" Type="http://schemas.openxmlformats.org/officeDocument/2006/relationships/hyperlink" Target="http://data.aade.gr/eli/pri/law/2019/12/12/4646" TargetMode="External" /><Relationship Id="rId79" Type="http://schemas.openxmlformats.org/officeDocument/2006/relationships/hyperlink" Target="http://data.aade.gr/eli/pri/law/2019/12/12/4646" TargetMode="External" /><Relationship Id="rId8" Type="http://schemas.openxmlformats.org/officeDocument/2006/relationships/hyperlink" Target="http://data.aade.gr/eli/pri/law/2019/12/12/4646" TargetMode="External" /><Relationship Id="rId80" Type="http://schemas.openxmlformats.org/officeDocument/2006/relationships/hyperlink" Target="http://data.aade.gr/eli/pri/law/2019/12/12/4646" TargetMode="External" /><Relationship Id="rId81" Type="http://schemas.openxmlformats.org/officeDocument/2006/relationships/hyperlink" Target="http://data.aade.gr/eli/pri/law/2019/12/12/4646" TargetMode="External" /><Relationship Id="rId82" Type="http://schemas.openxmlformats.org/officeDocument/2006/relationships/hyperlink" Target="http://data.aade.gr/eli/pri/law/2008/01/29/3634" TargetMode="External" /><Relationship Id="rId83" Type="http://schemas.openxmlformats.org/officeDocument/2006/relationships/hyperlink" Target="http://data.aade.gr/eli/pri/law/2008/01/29/3634" TargetMode="External" /><Relationship Id="rId84" Type="http://schemas.openxmlformats.org/officeDocument/2006/relationships/hyperlink" Target="http://data.aade.gr/eli/pri/law/2005/12/27/3427"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08/01/29/3634" TargetMode="External" /><Relationship Id="rId87" Type="http://schemas.openxmlformats.org/officeDocument/2006/relationships/hyperlink" Target="http://data.aade.gr/eli/pri/law/2007/04/16/3554" TargetMode="External" /><Relationship Id="rId88" Type="http://schemas.openxmlformats.org/officeDocument/2006/relationships/hyperlink" Target="http://data.aade.gr/eli/pri/law/2005/12/27/3427" TargetMode="External" /><Relationship Id="rId89" Type="http://schemas.openxmlformats.org/officeDocument/2006/relationships/hyperlink" Target="http://data.aade.gr/eli/pri/law/2002/12/24/3091" TargetMode="External" /><Relationship Id="rId9" Type="http://schemas.openxmlformats.org/officeDocument/2006/relationships/hyperlink" Target="http://data.aade.gr/eli/pri/law/2018/05/15/4537" TargetMode="External" /><Relationship Id="rId90" Type="http://schemas.openxmlformats.org/officeDocument/2006/relationships/hyperlink" Target="http://data.aade.gr/eli/pri/law/2019/12/12/4646" TargetMode="External" /><Relationship Id="rId91" Type="http://schemas.openxmlformats.org/officeDocument/2006/relationships/hyperlink" Target="http://data.aade.gr/eli/pri/law/2019/12/12/4646" TargetMode="External" /><Relationship Id="rId92" Type="http://schemas.openxmlformats.org/officeDocument/2006/relationships/hyperlink" Target="http://data.aade.gr/eli/pri/law/2018/05/15/4537" TargetMode="External" /><Relationship Id="rId93" Type="http://schemas.openxmlformats.org/officeDocument/2006/relationships/hyperlink" Target="http://data.aade.gr/eli/pri/law/2019/12/12/4646" TargetMode="External" /><Relationship Id="rId94" Type="http://schemas.openxmlformats.org/officeDocument/2006/relationships/hyperlink" Target="http://data.aade.gr/eli/pri/law/2019/12/12/4646" TargetMode="External" /><Relationship Id="rId95" Type="http://schemas.openxmlformats.org/officeDocument/2006/relationships/hyperlink" Target="http://data.aade.gr/eli/pri/law/2005/12/27/3427" TargetMode="External" /><Relationship Id="rId96" Type="http://schemas.openxmlformats.org/officeDocument/2006/relationships/hyperlink" Target="http://data.aade.gr/eli/pri/law/2010/04/23/3842" TargetMode="External" /><Relationship Id="rId97" Type="http://schemas.openxmlformats.org/officeDocument/2006/relationships/hyperlink" Target="http://data.aade.gr/eli/pri/law/2008/01/29/3634" TargetMode="External" /><Relationship Id="rId98" Type="http://schemas.openxmlformats.org/officeDocument/2006/relationships/hyperlink" Target="http://data.aade.gr/eli/pri/law/2007/04/16/3554" TargetMode="External" /><Relationship Id="rId99" Type="http://schemas.openxmlformats.org/officeDocument/2006/relationships/hyperlink" Target="http://data.aade.gr/eli/pri/law/2005/12/27/342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