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Ειδικά για τους οινοπνευματοποιούς Β' Κατηγορίας η άδεια χορηγείται μόνον εφόσον η ημερήσια παραγωγική τους ικανότητα σε καθαρή αιθυλική αλκοόλη είναι πάνω από 15.000 λίτρα άνυδρα. </w:t>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 xml:space="preserve">Ε. Μικροί Αποσταγματοποιοί (διήμεροι) </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Η διάθεση στην κατανάλωση του παραγόμενου έτοιμου προϊόντος πραγματοποιείται από τους ίδιους τους παραγωγούς ή από τους αγοραστές με τα φορολογικά στοιχεία που προβλέπονται από τον Κώδικα Βιβλίων και Στοιχείων, χύμα, σε γυάλινα δοχεία χωρίς οποιασδήποτε μορφής τυποποίηση. Αν ο ίδιος ο παραγωγός διακινεί το προϊόν, αυτό συνοδεύεται από αντίγραφο της άδειας απόσταξης και του αποδεικτικού είσπραξης του ειδικού φόρου κατανάλωσης. </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 xml:space="preserve">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 </w:t>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Οι μικροί αποσταγματοποιοί (διήμεροι) που κατά παράβαση των διατάξεων της παραγράφου Ε8 του άρθρου 7 εμφιαλώνουν και τυποποιούν το προϊόν τους, καθώς και αυτοί που χρησιμοποιούν για την παρασκευή αλκοολούχων ποτών προϊόν απόσταξης μικρών αποσταγματοποιών (διημέρων).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4336/2015, Άρθρο 2</w:t>
        </w:r>
      </w:hyperlink>
      <w:r>
        <w:rPr>
          <w:lang w:val="el" w:eastAsia="el"/>
        </w:rPr>
        <w:t xml:space="preserve">; </w:t>
      </w:r>
      <w:hyperlink r:id="rId13"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4336/2015, Άρθρο 2</w:t>
        </w:r>
      </w:hyperlink>
      <w:r>
        <w:rPr>
          <w:lang w:val="el" w:eastAsia="el"/>
        </w:rPr>
        <w:t xml:space="preserve">; </w:t>
      </w:r>
      <w:hyperlink r:id="rId16" w:anchor="art_2" w:history="1">
        <w:r>
          <w:rPr>
            <w:rStyle w:val="Hyperlink"/>
            <w:color w:val="0000EE"/>
            <w:u w:color="0000EE"/>
            <w:lang w:val="el" w:eastAsia="el"/>
          </w:rPr>
          <w:t>Τροποποίηση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4303/2014,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4303/2014,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4303/2014,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4303/2014,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4303/2014,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4303/2014,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4303/2014,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Τροποποίηση 4303/2014,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3583/2007,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4/10/17/4303" TargetMode="External" /><Relationship Id="rId12" Type="http://schemas.openxmlformats.org/officeDocument/2006/relationships/hyperlink" Target="http://data.aade.gr/eli/pri/law/2015/08/14/4336"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5/08/14/4336" TargetMode="External" /><Relationship Id="rId16" Type="http://schemas.openxmlformats.org/officeDocument/2006/relationships/hyperlink" Target="http://data.aade.gr/eli/pri/law/2014/10/17/4303" TargetMode="External" /><Relationship Id="rId17" Type="http://schemas.openxmlformats.org/officeDocument/2006/relationships/hyperlink" Target="http://data.aade.gr/eli/pri/law/2014/10/17/4303" TargetMode="External" /><Relationship Id="rId18" Type="http://schemas.openxmlformats.org/officeDocument/2006/relationships/hyperlink" Target="http://data.aade.gr/eli/pri/law/2014/10/17/4303" TargetMode="External" /><Relationship Id="rId19" Type="http://schemas.openxmlformats.org/officeDocument/2006/relationships/hyperlink" Target="http://data.aade.gr/eli/pri/law/2014/10/17/4303"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4/10/17/4303" TargetMode="External" /><Relationship Id="rId22" Type="http://schemas.openxmlformats.org/officeDocument/2006/relationships/hyperlink" Target="http://data.aade.gr/eli/pri/law/2014/10/17/4303" TargetMode="External" /><Relationship Id="rId23" Type="http://schemas.openxmlformats.org/officeDocument/2006/relationships/hyperlink" Target="http://data.aade.gr/eli/pri/law/2014/10/17/4303" TargetMode="External" /><Relationship Id="rId24" Type="http://schemas.openxmlformats.org/officeDocument/2006/relationships/hyperlink" Target="http://data.aade.gr/eli/pri/law/2014/10/17/4303" TargetMode="External" /><Relationship Id="rId25" Type="http://schemas.openxmlformats.org/officeDocument/2006/relationships/hyperlink" Target="http://data.aade.gr/eli/pri/law/2014/10/17/430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14/10/17/4303" TargetMode="External" /><Relationship Id="rId3"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