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Για την εφαρμογή της περίπτωσης αυτής νοείται ως κατεστραμμένος ο άμβικας που, συνεπεία τυχαίου γεγονότος ή ανωτέρας βίας ή μακρόχρονης χρήσης, έχει υποστεί φθορά ή βλάβη που καθιστά αδύνατη τη χρήση του, ως και ο άμβικας που καταστρέφεται με την άδεια της αρμόδιας τελωνειακής αρχής, διότι κρίνεται ακατάλληλος για χρήση για λόγους ποιότητας των παραγομένων προϊόντων. Για την ολική καταστροφή του άμβικα συντάσσεται πρωτόκολλο ολικής καταστροφής από την αρμόδια αρχή.</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δημοτικών ή κοινοτικών ενοτήτων ορεινών ή νησιωτικών δήμων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της δημοτικής ή κοινοτικής ενότητας δεν μπορούν να εξυπηρετηθούν από τους άμβικες που λειτουργούν μέσα στα όρια αυτών. Ο άμβικας αυτός θα χρησιμοποιείται μόνο για την απόσταξη των στεμφύλων των αμπελοκτημόνων της δημοτικής ή κοινοτικής ενότητας, όπου εδρεύει ο αγροτικός συνεταιρισμός. Μεταβίβαση του παραπάνω άμβικα επιτρέπεται, κατόπιν απόφασης του Υπουργού Οικονομικών, μόνον:</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σε περίπτωση λύσης του συνεταιρισμού, οπότε ο άμβικας μεταβιβάζεται σε άλλο συνεταιρισμό που πληροί τις ίδιες προϋποθέσεις,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σε περίπτωση λύσης του συνεταιρισμού μετά την εφαρμογή του ν. 4015/2011 (Α΄210), οπότε ο άμβικας μεταβιβάζεται στον Αγροτικό συνεταιρισμό που προέκυψε από την μετατροπή της Ένωσης Αγροτικών Συνεταιρισμών, σύμφωνα με την παράγραφο 2 του άρθρου 19 του νόμου αυτού, μέλος της οποίας ήταν ο συνεταιρισμός που λύθηκε,</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σε περίπτωση συγχώνευσης ή απορρόφησης του συνεταιρισμού από άλλο συνεταιρισμό, οπότε ο άμβικας μεταβιβάζεται, κατά περίπτωση, στον νέο ή τον απορροφώντα συνεταιρισμό.</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Για τις περιπτώσεις β΄ και γ΄ του προηγούμενου εδαφίου, η μεταβίβαση τελεί υπό την αποκλειστική προϋπόθεση ότι, ο μεταβιβαζόμενος άμβικας εξακολουθεί και μετά από τη μεταβίβασή του να παραμένει εγκατεστημένος και να λειτουργεί μέσα στα όρια της ίδιας κοινοτικής ή δημοτικής, κατά περίπτωση, ενότητας, σύμφωνα με τη χορηγηθείσα άδεια βάσει του πρώτου εδαφίου της παρούσας παραγράφου.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Στις περιπτώσεις μεταβίβασης σε άλλο συνεταιρισμό, εκτός της περίπτωσης που αυτός πληροί τις ίδιες ως άνω προϋποθέσεις, ο μεταβιβαζόμενος άμβικας χρησιμοποιείται αποκλειστικά για την απόσταξη των στεμφύλων των αμπελοκτημόνων της δημοτικής ή της κοινοτικής ενότητας, όπου έδρευε ο αγροτικός συνεταιρισμός στον οποίο είχε χορηγηθεί η άδεια κατασκευής και κατοχής που προβλέπεται στο πρώτο εδάφιο της παρούσας παραγράφου.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Σε κάθε άλλη περίπτωση, εκτός των ανωτέρω, ο άμβικας καταστρέφεται υπό τον έλεγχο των αρμοδίων αρχών.</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Μικροί Αποσταγματοποιοί (διήμεροι)</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spacing w:before="240" w:after="240"/>
        <w:rPr>
          <w:lang w:val="el" w:eastAsia="el"/>
        </w:rPr>
      </w:pPr>
      <w:r>
        <w:rPr>
          <w:lang w:val="el" w:eastAsia="el"/>
        </w:rPr>
        <w:t>Το αρμόδιο Τελωνείο μπορεί να αρνηθεί τη χορήγηση ή να ανακαλέσει χορηγηθείσα κατά τα ανωτέρω άδεια απόσταξης είτε αυτεπάγγελτα είτε κατόπιν σχετικής εισήγησης της αρμόδιας Χημικής Υπηρεσίας του Γενικού Χημείου του Κράτους, στην περίπτωση που ο μικρός αποσταγματοποιός (διήμερος) είτε έχει υποπέσει καθ’ υποτροπή, κατά την έννοια της παραγράφου 4 του άρθρου 11 του παρόντος, στις παραβάσεις που προβλέπονται στις διατάξεις των παραγράφων 2 και 3 του άρθρου 11, ως και του άρθρου 12 είτε έχει υποπέσει σε παραβάσεις που τιμωρούνται με τις περί λαθρεμπορίας διατάξεις του Εθνικού Τελωνειακού Κώδικα (ν. 2960/2001, Α΄265).</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α) Κατά παρέκκλιση των διατάξεων της παρ. 1α) του άρθρου 39 του ν. 4308/2014 (Α'251) καθώς και κάθε άλλης διάταξης που ρυθμίζει κατά διάφορο τρόπο την έκδοση λογιστικών στοιχείων και την τήρηση λογιστικών αρχείων, η διάθεση του παραγόμενου έτοιμου προϊόντος απόσταξης από τα δικαιούχα παραγωγής πρόσωπα της παραγράφου 1 της παρούσας περίπτωσης πραγματοποιείται με την έκδοση λογιστικών στοιχείων, κατά τα ειδικότερα οριζόμενα στις σχετικές διατάξεις του ν. 4308/2014. Τα ως άνω αναφερόμενα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στις διατάξεις της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Από τις διατάξεις της υποπαραγράφου α' της παρούσας εξαιρούνται τα δικαιούχα παραγωγής φυσικά πρόσωπα, τα οποία παράγουν το προϊόν αυτό, μέχρι το ανώτατο όριο των 120 κιλών ανά αποστακτική περίοδο και ανά πρόσωπο, αποκλειστικά για κατανάλωση από τα ίδια, τα μέλη της οικογενείας τους ή τους προσκεκλημένους τους, απαγορευομένης της εμπορίας. Σε περίπτωση διακίνησης του ως άνω προϊόντος από τα πρόσωπα αυτά ή για λογαριασμό τους, αυτό συνοδεύεται από αντίγραφο της αδείας απόσταξης καθώς και του αποδεικτικού είσπραξης των φορολογικών επιβαρύνσεων.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Το εν λόγω προϊόν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τη μετανάστευση στα αλκοολούχα ποτά.</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κατά τα ανωτέρω διάθεση του εν λόγω προϊόντος διενεργείται αποκλειστικά από τα δικαιούχα της παραγωγής του πρόσωπα είτε απ’ ευθείας με λιανική πώληση είτε στις επιχειρήσεις ομαδικής εστίασης, καθώς και σε επιχειρήσεις διάθεσης αλκοολούχων ποτών προς λιανική πώληση και κατανάλωση. Η διάθεση του εν λόγω προϊόντος με άλλο τρόπο απαγορεύεται.</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Οι κατά τα ανωτέρω επιχειρήσεις που διαθέτουν προς λιανική πώληση και κατανάλωση προϊόν απόσταξης μικρών αποσταγματοποιών (διημέρων) οφείλουν να έχουν σε εμφανές σημείο στο κατάστημά τους αναρτημένη πινακίδα, στην οποία αναγράφονται με ευκρινείς χαρακτήρες, τo ονοματεπώνυμο του παραγωγού ή των παραγωγών των οποίων το προϊόν διαθέτουν, καθώς και το σχετικό λογιστικό στοιχείο</w:t>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11.</w:t>
      </w:r>
      <w:r>
        <w:rPr>
          <w:lang w:val="el" w:eastAsia="el"/>
        </w:rPr>
        <w:t xml:space="preserve"> Α. α) Επιτρέπεται, κατόπιν ειδικής άδειας του αρμόδιου Τελωνείου, η μεταφορά, η αποσφράγιση και λειτουργία άμβικα μικρού αποσταγματοποιού (διήμερου) για χρονικό διάστημα κατ’ ανώτατο όριο οκτώ (8) ωρών κατά τη διάρκεια ενός 24ωρου, στο πλαίσιο πραγματοποιούμενων πολιτιστικών εκδηλώσεων Ο.Τ.Α., Κοινοτήτων, Πολιτιστικών Συλλόγων ή επαγγελματικών φορέων με σκοπό την αναπαράσταση και προβολή του παραδοσιακού τρόπου απόσταξης. Η απόσταξη για τους σκοπούς αυτούς δύναται να διενεργείται και εκτός του καθοριζομένου από τις διατάξεις της υποπαραγράφου 1 της παρούσας παραγράφου Ε΄ δίμηνου χρονικού διαστήματος με τη χρησιμοποίηση αποκλειστικά των καθοριζομένων από την υποπαράγραφο 2 της παρούσας παραγράφου Ε΄ πρώτων υλών και με την έκδοση σχετικής άδειας απόσταξης. Επί του παραγόμενου προϊόντος, προοριζόμενου αποκλειστικά για δωρεάν επιτόπια κατανάλωση, επιβάλλεται ο προβλεπόμενος Ε.Φ.Κ. κατά τα ειδικότερα οριζόμενα από τις διατάξεις του άρθρου 82 του ν. 2960/2001 (Α΄ 265). Για τις ως άνω παραδόσεις αγαθών εκδίδονται τα προβλεπόμενα από τη φορολογική νομοθεσία παραστατικά.</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β. Ομοίως επιτρέπεται, κατόπιν ειδικής άδειας του αρμόδιου Τελωνείου, η μεταφορά σφραγισμένου άμβικα μικρού αποσταγματοποιού (διήμερου), τηρουμένων των προβλεπομένων διατυπώσεων και διαδικασίας, για χρονικό διάστημα, κατ’ ανώτατο όριο, ενός 24ωρου, αποκλειστικά και μόνο προς έκθεση αυτού στο πλαίσιο πραγματοποιούμενων πολιτιστικών εκδηλώσεων.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StructureList1"/>
        <w:spacing w:before="120" w:after="0"/>
        <w:rPr>
          <w:lang w:val="el" w:eastAsia="el"/>
        </w:rPr>
      </w:pPr>
      <w:r>
        <w:rPr>
          <w:lang w:val="el" w:eastAsia="el"/>
        </w:rPr>
        <w:t>ζ)</w:t>
      </w:r>
      <w:r>
        <w:rPr>
          <w:lang w:val="en" w:eastAsia="en"/>
        </w:rPr>
        <w:tab/>
      </w:r>
      <w:r>
        <w:rPr>
          <w:lang w:val="el" w:eastAsia="el"/>
        </w:rPr>
        <w:t>Οι μικροί αποσταγματοποιοί (διήμεροι) οι οποίοι διαθέτουν ή διακινούν το προϊόν τους χωρίς τα προβλεπόμενα λογιστικά στοιχεία ή συνοδευτικά παραστατικά, κατά περίπτωση καθώς και οι μικροί αποσταγματοποιοί, οι οποίοι δεν τηρούν λογιστικά αρχεία, κατά παράβαση των διατάξεων των υποπαραγράφων α' και β' της παραγράφου Ε8 του άρθρου 7.</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οι οποίοι διαθέτουν το προϊόν τους στην κατανάλωση, κατά παράβαση των διατάξεων της υποπαραγράφου β' της παραγράφου Ε8 του άρθρου 7.</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ιγ)</w:t>
      </w:r>
      <w:r>
        <w:rPr>
          <w:lang w:val="en" w:eastAsia="en"/>
        </w:rPr>
        <w:tab/>
      </w:r>
      <w:r>
        <w:rPr>
          <w:lang w:val="el" w:eastAsia="el"/>
        </w:rPr>
        <w:t>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StructureList1"/>
        <w:spacing w:before="120" w:after="0"/>
        <w:rPr>
          <w:lang w:val="el" w:eastAsia="el"/>
        </w:rPr>
      </w:pPr>
      <w:r>
        <w:rPr>
          <w:lang w:val="el" w:eastAsia="el"/>
        </w:rPr>
        <w:t>ιβ)</w:t>
      </w:r>
      <w:r>
        <w:rPr>
          <w:lang w:val="en" w:eastAsia="en"/>
        </w:rPr>
        <w:tab/>
      </w:r>
      <w:r>
        <w:rPr>
          <w:lang w:val="el" w:eastAsia="el"/>
        </w:rPr>
        <w:t>Όποιοι, χωρίς άδεια ή με άδεια της οποίας η ισχύς έχει λήξει, αγοράζουν, εισάγουν από τρίτες χώρες, παραλαμβάνουν από κράτος-μέλος της ΕΕ,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ιγ)</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ασφαλή-ακατάλληλα για ανθρώπινη κατανάλωση.</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ιδ)</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ασφαλές-ακατάλληλο για ανθρώπινη κατανάλωση.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τού πρόστιμα πενταπλασιάζονται. Ως υποτροπή νοείται, η διάπραξη από τον ίδιο επιτηδευματία περισσοτέρων της μιας παραβάσεων του παρόντος νόμου εντός χρονικού διαστήματος δέκα (10) ετών από της βεβαιώσεως της πρώτης παραβάσεως.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Όποιοι εμφιαλώνουν και τυποποιούν προϊόν απόσταξης μικρών αποσταγματοποιών (διημέρων) κατά παράβαση των διατάξεων της υποπαραγράφου γ' της παραγράφου Ε8 του άρθρου 7, καθώς και αυτοί που χρησιμοποιούν για την παρασκευή αλκοολούχων ποτών το εν λόγω προϊόν.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ασφαλή-επιβλαβή για την υγεία.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ασφαλές-επιβλαβές για την υγεία.</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υπάλληλο της αρμόδιας , κατά περίπτωση, για την επιβολή του προστίμου Τελωνειακής ή Χημικής Υπηρεσίας.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4303/2014,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4303/2014,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4303/2014,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4303/2014,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9" w:history="1">
        <w:r>
          <w:rPr>
            <w:rStyle w:val="Hyperlink"/>
            <w:color w:val="0000EE"/>
            <w:u w:color="0000EE"/>
            <w:lang w:val="el" w:eastAsia="el"/>
          </w:rPr>
          <w:t>Προσθήκη 4583/2018, Άρθρο 69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9" w:history="1">
        <w:r>
          <w:rPr>
            <w:rStyle w:val="Hyperlink"/>
            <w:color w:val="0000EE"/>
            <w:u w:color="0000EE"/>
            <w:lang w:val="el" w:eastAsia="el"/>
          </w:rPr>
          <w:t>Τροποποίηση 4583/2018, Άρθρο 69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9" w:history="1">
        <w:r>
          <w:rPr>
            <w:rStyle w:val="Hyperlink"/>
            <w:color w:val="0000EE"/>
            <w:u w:color="0000EE"/>
            <w:lang w:val="el" w:eastAsia="el"/>
          </w:rPr>
          <w:t>Τροποποίηση 4583/2018, Άρθρο 69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9" w:history="1">
        <w:r>
          <w:rPr>
            <w:rStyle w:val="Hyperlink"/>
            <w:color w:val="0000EE"/>
            <w:u w:color="0000EE"/>
            <w:lang w:val="el" w:eastAsia="el"/>
          </w:rPr>
          <w:t>Τροποποίηση 4583/2018, Άρθρο 69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9" w:history="1">
        <w:r>
          <w:rPr>
            <w:rStyle w:val="Hyperlink"/>
            <w:color w:val="0000EE"/>
            <w:u w:color="0000EE"/>
            <w:lang w:val="el" w:eastAsia="el"/>
          </w:rPr>
          <w:t>Τροποποίηση 4583/2018, Άρθρο 69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9" w:history="1">
        <w:r>
          <w:rPr>
            <w:rStyle w:val="Hyperlink"/>
            <w:color w:val="0000EE"/>
            <w:u w:color="0000EE"/>
            <w:lang w:val="el" w:eastAsia="el"/>
          </w:rPr>
          <w:t>Τροποποίηση 4583/2018,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9" w:history="1">
        <w:r>
          <w:rPr>
            <w:rStyle w:val="Hyperlink"/>
            <w:color w:val="0000EE"/>
            <w:u w:color="0000EE"/>
            <w:lang w:val="el" w:eastAsia="el"/>
          </w:rPr>
          <w:t>Τροποποίηση 4583/2018, Άρθρο 69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9" w:history="1">
        <w:r>
          <w:rPr>
            <w:rStyle w:val="Hyperlink"/>
            <w:color w:val="0000EE"/>
            <w:u w:color="0000EE"/>
            <w:lang w:val="el" w:eastAsia="el"/>
          </w:rPr>
          <w:t>Τροποποίηση 4583/2018,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6" w:history="1">
        <w:r>
          <w:rPr>
            <w:rStyle w:val="Hyperlink"/>
            <w:color w:val="0000EE"/>
            <w:u w:color="0000EE"/>
            <w:lang w:val="el" w:eastAsia="el"/>
          </w:rPr>
          <w:t>Τροποποίηση 4389/2016, Άρθρο 66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4303/2014,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4336/2015, Άρθρο 2</w:t>
        </w:r>
      </w:hyperlink>
      <w:r>
        <w:rPr>
          <w:lang w:val="el" w:eastAsia="el"/>
        </w:rPr>
        <w:t xml:space="preserve">; </w:t>
      </w:r>
      <w:hyperlink r:id="rId22" w:anchor="art_2" w:history="1">
        <w:r>
          <w:rPr>
            <w:rStyle w:val="Hyperlink"/>
            <w:color w:val="0000EE"/>
            <w:u w:color="0000EE"/>
            <w:lang w:val="el" w:eastAsia="el"/>
          </w:rPr>
          <w:t>Τροποποίηση 4303/2014,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Προσθήκη 4303/2014,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4336/2015, Άρθρο 2</w:t>
        </w:r>
      </w:hyperlink>
      <w:r>
        <w:rPr>
          <w:lang w:val="el" w:eastAsia="el"/>
        </w:rPr>
        <w:t xml:space="preserve">; </w:t>
      </w:r>
      <w:hyperlink r:id="rId25" w:anchor="art_2" w:history="1">
        <w:r>
          <w:rPr>
            <w:rStyle w:val="Hyperlink"/>
            <w:color w:val="0000EE"/>
            <w:u w:color="0000EE"/>
            <w:lang w:val="el" w:eastAsia="el"/>
          </w:rPr>
          <w:t>Τροποποίηση 4303/2014,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Τροποποίηση 4303/2014,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Τροποποίηση 4303/2014,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Τροποποίηση 4303/2014,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69" w:history="1">
        <w:r>
          <w:rPr>
            <w:rStyle w:val="Hyperlink"/>
            <w:color w:val="0000EE"/>
            <w:u w:color="0000EE"/>
            <w:lang w:val="el" w:eastAsia="el"/>
          </w:rPr>
          <w:t>Προσθήκη 4583/2018, Άρθρο 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7" w:history="1">
        <w:r>
          <w:rPr>
            <w:rStyle w:val="Hyperlink"/>
            <w:color w:val="0000EE"/>
            <w:u w:color="0000EE"/>
            <w:lang w:val="el" w:eastAsia="el"/>
          </w:rPr>
          <w:t>Τροποποίηση 4446/2016, Άρθρο 107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7" w:history="1">
        <w:r>
          <w:rPr>
            <w:rStyle w:val="Hyperlink"/>
            <w:color w:val="0000EE"/>
            <w:u w:color="0000EE"/>
            <w:lang w:val="el" w:eastAsia="el"/>
          </w:rPr>
          <w:t>Τροποποίηση 4446/2016, Άρθρο 107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7" w:history="1">
        <w:r>
          <w:rPr>
            <w:rStyle w:val="Hyperlink"/>
            <w:color w:val="0000EE"/>
            <w:u w:color="0000EE"/>
            <w:lang w:val="el" w:eastAsia="el"/>
          </w:rPr>
          <w:t>Τροποποίηση 4446/2016, Άρθρο 107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69" w:history="1">
        <w:r>
          <w:rPr>
            <w:rStyle w:val="Hyperlink"/>
            <w:color w:val="0000EE"/>
            <w:u w:color="0000EE"/>
            <w:lang w:val="el" w:eastAsia="el"/>
          </w:rPr>
          <w:t>Προσθήκη 4583/2018, Άρθρο 69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21" w:history="1">
        <w:r>
          <w:rPr>
            <w:rStyle w:val="Hyperlink"/>
            <w:color w:val="0000EE"/>
            <w:u w:color="0000EE"/>
            <w:lang w:val="el" w:eastAsia="el"/>
          </w:rPr>
          <w:t>Τροποποίηση 4537/2018, Άρθρο 121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1" w:history="1">
        <w:r>
          <w:rPr>
            <w:rStyle w:val="Hyperlink"/>
            <w:color w:val="0000EE"/>
            <w:u w:color="0000EE"/>
            <w:lang w:val="el" w:eastAsia="el"/>
          </w:rPr>
          <w:t>Τροποποίηση 4537/2018, Άρθρο 121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Τροποποίηση 4303/2014,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4303/2014,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4303/2014,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 w:history="1">
        <w:r>
          <w:rPr>
            <w:rStyle w:val="Hyperlink"/>
            <w:color w:val="0000EE"/>
            <w:u w:color="0000EE"/>
            <w:lang w:val="el" w:eastAsia="el"/>
          </w:rPr>
          <w:t>Τροποποίηση 4303/2014,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Τροποποίηση 4303/2014,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 w:history="1">
        <w:r>
          <w:rPr>
            <w:rStyle w:val="Hyperlink"/>
            <w:color w:val="0000EE"/>
            <w:u w:color="0000EE"/>
            <w:lang w:val="el" w:eastAsia="el"/>
          </w:rPr>
          <w:t>Τροποποίηση 4303/2014,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Τροποποίηση 3583/2007,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9" w:history="1">
        <w:r>
          <w:rPr>
            <w:rStyle w:val="Hyperlink"/>
            <w:color w:val="0000EE"/>
            <w:u w:color="0000EE"/>
            <w:lang w:val="el" w:eastAsia="el"/>
          </w:rPr>
          <w:t>Αφαίρεση 4583/2018, Άρθρο 69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6" w:history="1">
        <w:r>
          <w:rPr>
            <w:rStyle w:val="Hyperlink"/>
            <w:color w:val="0000EE"/>
            <w:u w:color="0000EE"/>
            <w:lang w:val="el" w:eastAsia="el"/>
          </w:rPr>
          <w:t>Προσθήκη 4446/2016, Άρθρο 66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6" w:history="1">
        <w:r>
          <w:rPr>
            <w:rStyle w:val="Hyperlink"/>
            <w:color w:val="0000EE"/>
            <w:u w:color="0000EE"/>
            <w:lang w:val="el" w:eastAsia="el"/>
          </w:rPr>
          <w:t>Προσθήκη 4446/2016, Άρθρο 66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6" w:history="1">
        <w:r>
          <w:rPr>
            <w:rStyle w:val="Hyperlink"/>
            <w:color w:val="0000EE"/>
            <w:u w:color="0000EE"/>
            <w:lang w:val="el" w:eastAsia="el"/>
          </w:rPr>
          <w:t>Τροποποίηση 4446/2016, Άρθρο 66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6" w:history="1">
        <w:r>
          <w:rPr>
            <w:rStyle w:val="Hyperlink"/>
            <w:color w:val="0000EE"/>
            <w:u w:color="0000EE"/>
            <w:lang w:val="el" w:eastAsia="el"/>
          </w:rPr>
          <w:t>Προσθήκη 4446/2016, Άρθρο 66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6" w:history="1">
        <w:r>
          <w:rPr>
            <w:rStyle w:val="Hyperlink"/>
            <w:color w:val="0000EE"/>
            <w:u w:color="0000EE"/>
            <w:lang w:val="el" w:eastAsia="el"/>
          </w:rPr>
          <w:t>Προσθήκη 4446/2016, Άρθρο 66</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6" w:history="1">
        <w:r>
          <w:rPr>
            <w:rStyle w:val="Hyperlink"/>
            <w:color w:val="0000EE"/>
            <w:u w:color="0000EE"/>
            <w:lang w:val="el" w:eastAsia="el"/>
          </w:rPr>
          <w:t>Προσθήκη 4446/2016, Άρθρο 66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6" w:history="1">
        <w:r>
          <w:rPr>
            <w:rStyle w:val="Hyperlink"/>
            <w:color w:val="0000EE"/>
            <w:u w:color="0000EE"/>
            <w:lang w:val="el" w:eastAsia="el"/>
          </w:rPr>
          <w:t>Προσθήκη 4583/2018, Άρθρο 66</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6" w:history="1">
        <w:r>
          <w:rPr>
            <w:rStyle w:val="Hyperlink"/>
            <w:color w:val="0000EE"/>
            <w:u w:color="0000EE"/>
            <w:lang w:val="el" w:eastAsia="el"/>
          </w:rPr>
          <w:t>Τροποποίηση 4446/2016, Άρθρο 66</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9" w:history="1">
        <w:r>
          <w:rPr>
            <w:rStyle w:val="Hyperlink"/>
            <w:color w:val="0000EE"/>
            <w:u w:color="0000EE"/>
            <w:lang w:val="el" w:eastAsia="el"/>
          </w:rPr>
          <w:t>Προσθήκη 4583/2018, Άρθρο 69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9" w:history="1">
        <w:r>
          <w:rPr>
            <w:rStyle w:val="Hyperlink"/>
            <w:color w:val="0000EE"/>
            <w:u w:color="0000EE"/>
            <w:lang w:val="el" w:eastAsia="el"/>
          </w:rPr>
          <w:t>Προσθήκη 4583/2018, Άρθρο 69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9" w:history="1">
        <w:r>
          <w:rPr>
            <w:rStyle w:val="Hyperlink"/>
            <w:color w:val="0000EE"/>
            <w:u w:color="0000EE"/>
            <w:lang w:val="el" w:eastAsia="el"/>
          </w:rPr>
          <w:t>Τροποποίηση 4583/2018, Άρθρο 69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0/17/4303" TargetMode="External" /><Relationship Id="rId10" Type="http://schemas.openxmlformats.org/officeDocument/2006/relationships/hyperlink" Target="http://data.aade.gr/eli/pri/law/2014/10/17/4303" TargetMode="External" /><Relationship Id="rId11" Type="http://schemas.openxmlformats.org/officeDocument/2006/relationships/hyperlink" Target="http://data.aade.gr/eli/pri/law/2018/12/18/4583" TargetMode="External" /><Relationship Id="rId12" Type="http://schemas.openxmlformats.org/officeDocument/2006/relationships/hyperlink" Target="http://data.aade.gr/eli/pri/law/2018/12/18/4583" TargetMode="External" /><Relationship Id="rId13" Type="http://schemas.openxmlformats.org/officeDocument/2006/relationships/hyperlink" Target="http://data.aade.gr/eli/pri/law/2018/12/18/4583" TargetMode="External" /><Relationship Id="rId14" Type="http://schemas.openxmlformats.org/officeDocument/2006/relationships/hyperlink" Target="http://data.aade.gr/eli/pri/law/2018/12/18/4583" TargetMode="External" /><Relationship Id="rId15" Type="http://schemas.openxmlformats.org/officeDocument/2006/relationships/hyperlink" Target="http://data.aade.gr/eli/pri/law/2018/12/18/4583" TargetMode="External" /><Relationship Id="rId16" Type="http://schemas.openxmlformats.org/officeDocument/2006/relationships/hyperlink" Target="http://data.aade.gr/eli/pri/law/2018/12/18/4583" TargetMode="External" /><Relationship Id="rId17"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9" Type="http://schemas.openxmlformats.org/officeDocument/2006/relationships/hyperlink" Target="http://data.aade.gr/eli/pri/law/2016/05/27/4389" TargetMode="External" /><Relationship Id="rId2" Type="http://schemas.openxmlformats.org/officeDocument/2006/relationships/hyperlink" Target="http://data.aade.gr/eli/pri/law/2014/10/17/4303" TargetMode="External" /><Relationship Id="rId20" Type="http://schemas.openxmlformats.org/officeDocument/2006/relationships/hyperlink" Target="http://data.aade.gr/eli/pri/law/2014/10/17/4303" TargetMode="External" /><Relationship Id="rId21" Type="http://schemas.openxmlformats.org/officeDocument/2006/relationships/hyperlink" Target="http://data.aade.gr/eli/pri/law/2015/08/14/4336" TargetMode="External" /><Relationship Id="rId22" Type="http://schemas.openxmlformats.org/officeDocument/2006/relationships/hyperlink" Target="http://data.aade.gr/eli/pri/law/2014/10/17/4303" TargetMode="External" /><Relationship Id="rId23" Type="http://schemas.openxmlformats.org/officeDocument/2006/relationships/hyperlink" Target="http://data.aade.gr/eli/pri/law/2014/10/17/4303" TargetMode="External" /><Relationship Id="rId24" Type="http://schemas.openxmlformats.org/officeDocument/2006/relationships/hyperlink" Target="http://data.aade.gr/eli/pri/law/2015/08/14/4336" TargetMode="External" /><Relationship Id="rId25" Type="http://schemas.openxmlformats.org/officeDocument/2006/relationships/hyperlink" Target="http://data.aade.gr/eli/pri/law/2014/10/17/4303" TargetMode="External" /><Relationship Id="rId26" Type="http://schemas.openxmlformats.org/officeDocument/2006/relationships/hyperlink" Target="http://data.aade.gr/eli/pri/law/2014/10/17/4303" TargetMode="External" /><Relationship Id="rId27" Type="http://schemas.openxmlformats.org/officeDocument/2006/relationships/hyperlink" Target="http://data.aade.gr/eli/pri/law/2014/10/17/4303" TargetMode="External" /><Relationship Id="rId28" Type="http://schemas.openxmlformats.org/officeDocument/2006/relationships/hyperlink" Target="http://data.aade.gr/eli/pri/law/2014/10/17/4303" TargetMode="External" /><Relationship Id="rId29" Type="http://schemas.openxmlformats.org/officeDocument/2006/relationships/hyperlink" Target="http://data.aade.gr/eli/pri/law/2018/12/18/4583" TargetMode="External" /><Relationship Id="rId3" Type="http://schemas.openxmlformats.org/officeDocument/2006/relationships/hyperlink" Target="http://data.aade.gr/eli/pri/law/2014/10/17/4303" TargetMode="External" /><Relationship Id="rId30" Type="http://schemas.openxmlformats.org/officeDocument/2006/relationships/hyperlink" Target="http://data.aade.gr/eli/pri/law/2016/12/22/4446" TargetMode="External" /><Relationship Id="rId31" Type="http://schemas.openxmlformats.org/officeDocument/2006/relationships/hyperlink" Target="http://data.aade.gr/eli/pri/law/2016/12/22/4446" TargetMode="External" /><Relationship Id="rId32" Type="http://schemas.openxmlformats.org/officeDocument/2006/relationships/hyperlink" Target="http://data.aade.gr/eli/pri/law/2016/12/22/4446" TargetMode="External" /><Relationship Id="rId33" Type="http://schemas.openxmlformats.org/officeDocument/2006/relationships/hyperlink" Target="http://data.aade.gr/eli/pri/law/2018/12/18/4583" TargetMode="External" /><Relationship Id="rId34" Type="http://schemas.openxmlformats.org/officeDocument/2006/relationships/hyperlink" Target="http://data.aade.gr/eli/pri/law/2018/05/15/4537" TargetMode="External" /><Relationship Id="rId35" Type="http://schemas.openxmlformats.org/officeDocument/2006/relationships/hyperlink" Target="http://data.aade.gr/eli/pri/law/2018/05/15/4537" TargetMode="External" /><Relationship Id="rId36" Type="http://schemas.openxmlformats.org/officeDocument/2006/relationships/hyperlink" Target="http://data.aade.gr/eli/pri/law/2014/10/17/4303" TargetMode="External" /><Relationship Id="rId37" Type="http://schemas.openxmlformats.org/officeDocument/2006/relationships/hyperlink" Target="http://data.aade.gr/eli/pri/law/2014/10/17/4303" TargetMode="External" /><Relationship Id="rId38" Type="http://schemas.openxmlformats.org/officeDocument/2006/relationships/hyperlink" Target="http://data.aade.gr/eli/pri/law/2014/10/17/4303" TargetMode="External" /><Relationship Id="rId39" Type="http://schemas.openxmlformats.org/officeDocument/2006/relationships/hyperlink" Target="http://data.aade.gr/eli/pri/law/2014/10/17/4303" TargetMode="External" /><Relationship Id="rId4" Type="http://schemas.openxmlformats.org/officeDocument/2006/relationships/hyperlink" Target="http://data.aade.gr/eli/pri/law/2014/10/17/4303" TargetMode="External" /><Relationship Id="rId40" Type="http://schemas.openxmlformats.org/officeDocument/2006/relationships/hyperlink" Target="http://data.aade.gr/eli/pri/law/2014/10/17/4303" TargetMode="External" /><Relationship Id="rId41" Type="http://schemas.openxmlformats.org/officeDocument/2006/relationships/hyperlink" Target="http://data.aade.gr/eli/pri/law/2014/10/17/430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18/12/18/4583" TargetMode="External" /><Relationship Id="rId44" Type="http://schemas.openxmlformats.org/officeDocument/2006/relationships/hyperlink" Target="http://data.aade.gr/eli/pri/law/2016/12/22/4446" TargetMode="External" /><Relationship Id="rId45" Type="http://schemas.openxmlformats.org/officeDocument/2006/relationships/hyperlink" Target="http://data.aade.gr/eli/pri/law/2016/12/22/4446" TargetMode="External" /><Relationship Id="rId46" Type="http://schemas.openxmlformats.org/officeDocument/2006/relationships/hyperlink" Target="http://data.aade.gr/eli/pri/law/2016/12/22/4446"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4/10/17/4303" TargetMode="External" /><Relationship Id="rId50" Type="http://schemas.openxmlformats.org/officeDocument/2006/relationships/hyperlink" Target="http://data.aade.gr/eli/pri/law/2018/12/18/4583" TargetMode="External" /><Relationship Id="rId51" Type="http://schemas.openxmlformats.org/officeDocument/2006/relationships/hyperlink" Target="http://data.aade.gr/eli/pri/law/2016/12/22/4446" TargetMode="External" /><Relationship Id="rId52" Type="http://schemas.openxmlformats.org/officeDocument/2006/relationships/hyperlink" Target="http://data.aade.gr/eli/pri/law/2018/12/18/4583"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18/12/18/4583" TargetMode="External" /><Relationship Id="rId55" Type="http://schemas.openxmlformats.org/officeDocument/2006/relationships/hyperlink" Target="http://data.aade.gr/eli/pri/law/2014/10/17/4303" TargetMode="External" /><Relationship Id="rId6"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8" Type="http://schemas.openxmlformats.org/officeDocument/2006/relationships/hyperlink" Target="http://data.aade.gr/eli/pri/law/2014/10/17/4303" TargetMode="External" /><Relationship Id="rId9" Type="http://schemas.openxmlformats.org/officeDocument/2006/relationships/hyperlink" Target="http://data.aade.gr/eli/pri/law/2014/10/17/43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