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pStyle w:val="MainText"/>
        <w:spacing w:before="120" w:after="0"/>
        <w:rPr>
          <w:lang w:val="el" w:eastAsia="el"/>
        </w:rPr>
      </w:pPr>
      <w:r>
        <w:rPr>
          <w:b/>
          <w:bCs/>
          <w:lang w:val="el" w:eastAsia="el"/>
        </w:rPr>
        <w:t>8.</w:t>
      </w:r>
      <w:r>
        <w:rPr>
          <w:lang w:val="el" w:eastAsia="el"/>
        </w:rPr>
        <w:t xml:space="preserve"> α. Δεν επιτρέπεται η διακίνηση πετρελαιοειδών προϊόντων με μεταφορικό μέσο βυτιοφόρο (Φ.Ι.Χ. ή Φ.Δ.Χ.) ή πλωτό (σλέπια), εφόσον δεν φέρει σε εμφανές σημείο το εμπορικό σήμα του κατόχου της Άδειας Εμπορίας, σύμφωνα με την παράγραφο 5γ του άρθρου 6 ή, κατά περίπτωση, της Άδειας Διύλισης, όταν η διακίνηση γίνεται άμεσα από τα διυλιστήρια. Ομοίως, δεν επιτρέπεται διακίνηση πετρελαιοειδών προϊόντων με μεταφορικό μέσο βυτιοφόρο (Φ.Ι.Χ. ή Φ.Δ.Χ.) ή πλωτό (σλέπια) που δεν έχει σήμα ηλεκτρονικού εντοπισμού (GPS). Με κοινή απόφαση των Υπουργών Οικονομικών, Ανάπτυξης, Ανταγωνιστικότητας και Ναυτιλίας και Υποδομών, Μεταφορών και Δικτύων καθορίζεται ο χρόνος και οι λεπτομέρειες εφαρμογής της ανωτέρω διάταξης.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ραδιοϊσότοπα ή μοριακής τεχνολογίας ιχνηθέτες. Υγρά καύσιμα που καταναλώθηκαν, διακινήθηκαν ή αποθηκεύτηκαν και δεν ανιχνεύεται η σήμανση τους με ραδιοϊσότοπα ή μοριακής τεχνολογίας ιχνηθέτες, θεωρούνται παράνομα, έστω κι αν διαθέτουν σχετικά παραστατικά. Με κοινή υπουργική απόφαση των Υπουργών Οικονομικών, Ανάπτυξης, Ανταγωνιστικότητας και Ναυτιλίας και Περιβάλλοντος, Ενέργειας και Κλιματικής Αλλαγής ρυθμίζονται τεχνικά ζητήματα για την εφαρμογή της παρούσας παραγράφου ανά είδος καυσίμου και κάθε αναγκαία λεπτομέρεια.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20" w:history="1">
        <w:r>
          <w:rPr>
            <w:rStyle w:val="Hyperlink"/>
            <w:color w:val="0000EE"/>
            <w:u w:color="0000EE"/>
            <w:lang w:val="el" w:eastAsia="el"/>
          </w:rPr>
          <w:t>Προσθήκη 4072/2012, Άρθρο 320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2" Type="http://schemas.openxmlformats.org/officeDocument/2006/relationships/hyperlink" Target="http://data.aade.gr/eli/pri/law/2012/04/11/4072" TargetMode="External" /><Relationship Id="rId3" Type="http://schemas.openxmlformats.org/officeDocument/2006/relationships/hyperlink" Target="http://data.aade.gr/eli/pri/law/2012/04/11/4072" TargetMode="External" /><Relationship Id="rId4" Type="http://schemas.openxmlformats.org/officeDocument/2006/relationships/hyperlink" Target="http://data.aade.gr/eli/pri/law/2012/04/11/40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