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 εφαρμοζομένων σε κάθε περίπτωση των διατάξεων της παραγράφου 8α του παρόντος άρθρου σε όλη τη διάρκεια της διακίνησης εντός της Ελληνικής Επικράτειας.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8α.</w:t>
      </w:r>
      <w:r>
        <w:rPr>
          <w:lang w:val="el" w:eastAsia="el"/>
        </w:rPr>
        <w:t xml:space="preserve">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βυτιοφόρο (Φ.Ι.Χ. ή Φ.Δ.Χ.) ή πλωτά εφοδιαστικα (όπως δεξαμενόπλοια και σλέπια), ιδιόκτητα ή μισθωμένα, τα οποία δεν φέρουν: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αα)</w:t>
      </w:r>
      <w:r>
        <w:rPr>
          <w:lang w:val="en" w:eastAsia="en"/>
        </w:rPr>
        <w:tab/>
      </w:r>
      <w:r>
        <w:rPr>
          <w:lang w:val="el" w:eastAsia="el"/>
        </w:rPr>
        <w:t>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ββ)</w:t>
      </w:r>
      <w:r>
        <w:rPr>
          <w:lang w:val="en" w:eastAsia="en"/>
        </w:rPr>
        <w:tab/>
      </w:r>
      <w:r>
        <w:rPr>
          <w:lang w:val="el" w:eastAsia="el"/>
        </w:rPr>
        <w:t>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 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Δεν επιτρέπεται η διακίνηση πετρελαιοειδών προϊόντων με βυτιοφόρο (Φ.Ι.Χ. ή Φ.Δ.Χ.), ιδιόκτητα ή μισθωμένα, τα οποία δεν φέρουν: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αα)</w:t>
      </w:r>
      <w:r>
        <w:rPr>
          <w:lang w:val="en" w:eastAsia="en"/>
        </w:rPr>
        <w:tab/>
      </w:r>
      <w:r>
        <w:rPr>
          <w:lang w:val="el" w:eastAsia="el"/>
        </w:rPr>
        <w:t>πιστοποιητικό ADR του βυτιοφόρου και του οδηγού αυτού, σύμφωνα με τις διατάξεις της Υ.Α. 35043/2524/1.9.2010 (Β` 1385) όπως ισχύει, καθώς και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Στα μεταφορικά μέσα, βυτιοφόρο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pStyle w:val="MainText"/>
        <w:spacing w:before="120" w:after="0"/>
        <w:rPr>
          <w:lang w:val="el" w:eastAsia="el"/>
        </w:rPr>
      </w:pPr>
      <w:r>
        <w:rPr>
          <w:b/>
          <w:bCs/>
          <w:lang w:val="el" w:eastAsia="el"/>
        </w:rPr>
        <w:t>11.</w:t>
      </w:r>
      <w:r>
        <w:rPr>
          <w:lang w:val="el" w:eastAsia="el"/>
        </w:rPr>
        <w:t xml:space="preserve">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12.</w:t>
      </w:r>
      <w:r>
        <w:rPr>
          <w:lang w:val="el" w:eastAsia="el"/>
        </w:rPr>
        <w:t xml:space="preserve">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 Υγρά καύσιμα που καταναλώθηκαν, διακινήθηκαν ή αποθηκεύτηκαν κατά τα ανωτέρω και δεν ανιχνεύεται η σήμανση τους με μοριακής τεχνολογίας ιχνηθέτες, θεωρούνται παράνομα, έστω κι αν διαθέτουν σχετικά παραστατικά.</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20" w:history="1">
        <w:r>
          <w:rPr>
            <w:rStyle w:val="Hyperlink"/>
            <w:color w:val="0000EE"/>
            <w:u w:color="0000EE"/>
            <w:lang w:val="el" w:eastAsia="el"/>
          </w:rPr>
          <w:t>Προσθήκη 4072/2012, Άρθρο 320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Αφαίρεση 4203/2013,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9" w:history="1">
        <w:r>
          <w:rPr>
            <w:rStyle w:val="Hyperlink"/>
            <w:color w:val="0000EE"/>
            <w:u w:color="0000EE"/>
            <w:lang w:val="el" w:eastAsia="el"/>
          </w:rPr>
          <w:t>Τροποποίηση 4111/2013, Άρθρο 19</w:t>
        </w:r>
      </w:hyperlink>
      <w:r>
        <w:rPr>
          <w:lang w:val="el" w:eastAsia="el"/>
        </w:rPr>
        <w:t xml:space="preserve">; </w:t>
      </w:r>
      <w:hyperlink r:id="rId5" w:anchor="art_1" w:history="1">
        <w:r>
          <w:rPr>
            <w:rStyle w:val="Hyperlink"/>
            <w:color w:val="0000EE"/>
            <w:u w:color="0000EE"/>
            <w:lang w:val="el" w:eastAsia="el"/>
          </w:rPr>
          <w:t>Τροποποίηση 4093/2012,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9" w:history="1">
        <w:r>
          <w:rPr>
            <w:rStyle w:val="Hyperlink"/>
            <w:color w:val="0000EE"/>
            <w:u w:color="0000EE"/>
            <w:lang w:val="el" w:eastAsia="el"/>
          </w:rPr>
          <w:t>Τροποποίηση 4111/2013, Άρθρο 19</w:t>
        </w:r>
      </w:hyperlink>
      <w:r>
        <w:rPr>
          <w:lang w:val="el" w:eastAsia="el"/>
        </w:rPr>
        <w:t xml:space="preserve">; </w:t>
      </w:r>
      <w:hyperlink r:id="rId7" w:anchor="art_1" w:history="1">
        <w:r>
          <w:rPr>
            <w:rStyle w:val="Hyperlink"/>
            <w:color w:val="0000EE"/>
            <w:u w:color="0000EE"/>
            <w:lang w:val="el" w:eastAsia="el"/>
          </w:rPr>
          <w:t>Τροποποίηση 4093/2012,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20" w:history="1">
        <w:r>
          <w:rPr>
            <w:rStyle w:val="Hyperlink"/>
            <w:color w:val="0000EE"/>
            <w:u w:color="0000EE"/>
            <w:lang w:val="el" w:eastAsia="el"/>
          </w:rPr>
          <w:t>Τροποποίηση 4072/2012, Άρθρο 320</w:t>
        </w:r>
      </w:hyperlink>
      <w:r>
        <w:rPr>
          <w:lang w:val="el" w:eastAsia="el"/>
        </w:rPr>
        <w:t xml:space="preserve">; </w:t>
      </w:r>
      <w:hyperlink r:id="rId9" w:anchor="art_1" w:history="1">
        <w:r>
          <w:rPr>
            <w:rStyle w:val="Hyperlink"/>
            <w:color w:val="0000EE"/>
            <w:u w:color="0000EE"/>
            <w:lang w:val="el" w:eastAsia="el"/>
          </w:rPr>
          <w:t>Τροποποίηση 4093/2012,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4093/2012,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4093/2012,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4093/2012,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Τροποποίηση 4093/2012,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4093/2012,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4093/2012,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4093/2012,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4062/2012, Άρθρο 34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4093/2012, Άρθρο 1</w:t>
        </w:r>
      </w:hyperlink>
      <w:r>
        <w:rPr>
          <w:lang w:val="el" w:eastAsia="el"/>
        </w:rPr>
        <w:t xml:space="preserve">; </w:t>
      </w:r>
      <w:hyperlink r:id="rId18" w:anchor="art_320" w:history="1">
        <w:r>
          <w:rPr>
            <w:rStyle w:val="Hyperlink"/>
            <w:color w:val="0000EE"/>
            <w:u w:color="0000EE"/>
            <w:lang w:val="el" w:eastAsia="el"/>
          </w:rPr>
          <w:t>Προσθήκη 4072/2012, Άρθρο 320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 Id="rId10" Type="http://schemas.openxmlformats.org/officeDocument/2006/relationships/hyperlink" Target="http://data.aade.gr/eli/pri/law/2012/11/12/4093" TargetMode="External" /><Relationship Id="rId11" Type="http://schemas.openxmlformats.org/officeDocument/2006/relationships/hyperlink" Target="http://data.aade.gr/eli/pri/law/2012/11/12/4093" TargetMode="External" /><Relationship Id="rId12" Type="http://schemas.openxmlformats.org/officeDocument/2006/relationships/hyperlink" Target="http://data.aade.gr/eli/pri/law/2012/11/12/4093" TargetMode="External" /><Relationship Id="rId13" Type="http://schemas.openxmlformats.org/officeDocument/2006/relationships/hyperlink" Target="http://data.aade.gr/eli/pri/law/2012/11/12/4093" TargetMode="External" /><Relationship Id="rId14" Type="http://schemas.openxmlformats.org/officeDocument/2006/relationships/hyperlink" Target="http://data.aade.gr/eli/pri/law/2012/11/12/4093" TargetMode="External" /><Relationship Id="rId15" Type="http://schemas.openxmlformats.org/officeDocument/2006/relationships/hyperlink" Target="http://data.aade.gr/eli/pri/law/2012/11/12/4093" TargetMode="External" /><Relationship Id="rId16" Type="http://schemas.openxmlformats.org/officeDocument/2006/relationships/hyperlink" Target="http://data.aade.gr/eli/pri/law/2012/11/12/4093" TargetMode="External" /><Relationship Id="rId17" Type="http://schemas.openxmlformats.org/officeDocument/2006/relationships/hyperlink" Target="http://data.aade.gr/eli/pri/law/2012/11/12/4093" TargetMode="External" /><Relationship Id="rId18" Type="http://schemas.openxmlformats.org/officeDocument/2006/relationships/hyperlink" Target="http://data.aade.gr/eli/pri/law/2012/04/11/4072" TargetMode="External" /><Relationship Id="rId2" Type="http://schemas.openxmlformats.org/officeDocument/2006/relationships/hyperlink" Target="http://data.aade.gr/eli/pri/law/2012/04/11/4072" TargetMode="External" /><Relationship Id="rId3" Type="http://schemas.openxmlformats.org/officeDocument/2006/relationships/hyperlink" Target="http://data.aade.gr/eli/pri/law/2013/11/01/4203" TargetMode="External" /><Relationship Id="rId4" Type="http://schemas.openxmlformats.org/officeDocument/2006/relationships/hyperlink" Target="http://data.aade.gr/eli/pri/law/2013/01/25/4111" TargetMode="External" /><Relationship Id="rId5" Type="http://schemas.openxmlformats.org/officeDocument/2006/relationships/hyperlink" Target="http://data.aade.gr/eli/pri/law/2012/11/12/4093" TargetMode="External" /><Relationship Id="rId6" Type="http://schemas.openxmlformats.org/officeDocument/2006/relationships/hyperlink" Target="http://data.aade.gr/eli/pri/law/2013/01/25/4111" TargetMode="External" /><Relationship Id="rId7" Type="http://schemas.openxmlformats.org/officeDocument/2006/relationships/hyperlink" Target="http://data.aade.gr/eli/pri/law/2012/11/12/4093" TargetMode="External" /><Relationship Id="rId8" Type="http://schemas.openxmlformats.org/officeDocument/2006/relationships/hyperlink" Target="http://data.aade.gr/eli/pri/law/2012/04/11/4072"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