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3054/2002</w:t>
      </w:r>
    </w:p>
    <w:p>
      <w:pPr>
        <w:pStyle w:val="PreambelText"/>
        <w:spacing w:before="240" w:after="240"/>
        <w:rPr>
          <w:lang w:val="el" w:eastAsia="el"/>
        </w:rPr>
      </w:pPr>
      <w:r>
        <w:rPr>
          <w:lang w:val="el" w:eastAsia="el"/>
        </w:rPr>
        <w:t>ΝΟΜΟΣ ΥΠ’ ΑΡΙΘΜ. 3054/2002</w:t>
      </w:r>
    </w:p>
    <w:p>
      <w:pPr>
        <w:pStyle w:val="PreambelText"/>
        <w:spacing w:before="240" w:after="240"/>
        <w:rPr>
          <w:lang w:val="el" w:eastAsia="el"/>
        </w:rPr>
      </w:pPr>
      <w:r>
        <w:rPr>
          <w:lang w:val="el" w:eastAsia="el"/>
        </w:rPr>
        <w:t>(ΦΕΚ Α' 230/02.10.2002)</w:t>
      </w:r>
    </w:p>
    <w:p>
      <w:pPr>
        <w:pStyle w:val="PreambelText"/>
        <w:spacing w:before="240" w:after="240"/>
        <w:rPr>
          <w:lang w:val="el" w:eastAsia="el"/>
        </w:rPr>
      </w:pPr>
      <w:r>
        <w:rPr>
          <w:lang w:val="el" w:eastAsia="el"/>
        </w:rPr>
        <w:t>Οργάνωση της αγοράς πετρελαιοειδών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Γενικές διατάξεις</w:t>
      </w:r>
    </w:p>
    <w:p>
      <w:pPr>
        <w:pStyle w:val="MainText"/>
        <w:spacing w:before="120" w:after="0"/>
        <w:rPr>
          <w:lang w:val="el" w:eastAsia="el"/>
        </w:rPr>
      </w:pPr>
      <w:r>
        <w:rPr>
          <w:b/>
          <w:bCs/>
          <w:lang w:val="el" w:eastAsia="el"/>
        </w:rPr>
        <w:t>1.</w:t>
      </w:r>
      <w:r>
        <w:rPr>
          <w:lang w:val="el" w:eastAsia="el"/>
        </w:rPr>
        <w:t xml:space="preserve"> Τα λειτουργικά αποθέματα του κατόχου Άδειας Διύλισης, τα ναυτιλιακά και αεροπορικά καύσιμα, τα πετρελαιοειδή Προϊόντα που θεωρούνται αποθέματα ασφαλείας, σύμφωνα με το άρθρο 12, εκτός από τα αποθέματα ασφαλείας που τηρούν οι Μεγάλοι Τελικοί Καταναλωτές ή τα πετρελαιοειδή προϊόντα που προορίζονται για εξαγωγή ή που διακινούνται μεταξύ κατόχων Άδειας Διύλισης ή μεταξύ κατόχου Άδειας Διύλισης και κατόχου Άδειας Εμπορίας παραμένουν σε καθεστώς αναστολής φορολογικών υποχρεώσεων.</w:t>
      </w:r>
    </w:p>
    <w:p>
      <w:pPr>
        <w:pStyle w:val="MainText"/>
        <w:spacing w:before="120" w:after="0"/>
        <w:rPr>
          <w:lang w:val="el" w:eastAsia="el"/>
        </w:rPr>
      </w:pPr>
      <w:r>
        <w:rPr>
          <w:b/>
          <w:bCs/>
          <w:lang w:val="el" w:eastAsia="el"/>
        </w:rPr>
        <w:t>2.</w:t>
      </w:r>
      <w:r>
        <w:rPr>
          <w:lang w:val="el" w:eastAsia="el"/>
        </w:rPr>
        <w:t xml:space="preserve"> Η διάθεση προϊόντων στον κάτοχο Άδειας Λιανικής Εμπορίας, στους Προμηθευτικούς Συνεταιρισμούς ή Κοινοπραξίες της παρ. 10 του άρθρου 7 ή στον Τελικό Καταναλωτή συνεπάγεται την άρση του καθεστώτος αναστολής φορολογικών υποχρεώσεων για τα προϊόντα. Η έξοδος των πετρελαιοειδών προϊόντων από το καθεστώς αναστολής φορολογικών υποχρεώσεων από φορολογικές αποθήκες των κατόχων άδειας διύλισης γίνεται με επιμέλεια, δαπάνες και ευθύνη του αγοραστή.</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3.</w:t>
      </w:r>
      <w:r>
        <w:rPr>
          <w:lang w:val="el" w:eastAsia="el"/>
        </w:rPr>
        <w:t xml:space="preserve"> Οι εισαγωγές και εξαγωγές Πετρελαίου και Προϊόντων πραγματοποιούνται ελεύθερα σύμφωνα με τις κείμενες διατάξεις και τις διατάξεις του άρθρου 12 χωρίς να απαιτείται άδεια του νόμου αυτού, εφαρμοζομένων σε κάθε περίπτωση των διατάξεων της παραγράφου 8α του παρόντος άρθρου σε όλη τη διάρκεια της διακίνησης εντός της Ελληνικής Επικράτειας.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lang w:val="el" w:eastAsia="el"/>
        </w:rPr>
        <w:t xml:space="preserve"> Οι Μεγάλοι Τελικοί Καταναλωτές επιτρέπεται να πραγματοποιούν εισαγωγές πετρελαιοειδών προϊόντων, εφόσον αυτά προορίζονται αποκλειστικά για δική τους χρήση και αποθηκεύονται σε δικούς τους αποθηκευτικούς χώρους ή σε χώρους που χρησιμοποιούνται από μεγάλους καταναλωτές.</w:t>
      </w:r>
    </w:p>
    <w:p>
      <w:pPr>
        <w:pStyle w:val="MainText"/>
        <w:spacing w:before="120" w:after="0"/>
        <w:rPr>
          <w:lang w:val="el" w:eastAsia="el"/>
        </w:rPr>
      </w:pPr>
      <w:r>
        <w:rPr>
          <w:b/>
          <w:bCs/>
          <w:lang w:val="el" w:eastAsia="el"/>
        </w:rPr>
        <w:t>5.</w:t>
      </w:r>
      <w:r>
        <w:rPr>
          <w:lang w:val="el" w:eastAsia="el"/>
        </w:rPr>
        <w:t xml:space="preserve"> α. Οι Ένοπλες Δυνάμεις μπορούν να καλύπτουν τις ανάγκες τους σε Προϊόντα με απευθείας εισαγωγές ή απευθείας αγορές από τα Διυλιστήρια ή/και κατόχους Αδειών Εμπορίας ή Λιανικής Εμπορίας.</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β. Οι πάσης φύσεως εγκαταστάσεις αποθήκευσης πετρελαιοειδών προϊόντων, καθώς και οι πάσης φύσεως αγωγοί μεταφοράς καυσίμων των Ενόπλων Δυνάμεων της Χώρας εξαιρούνται των ρυθμίσεων του παρόντος νόμου.</w:t>
      </w:r>
    </w:p>
    <w:p>
      <w:pPr>
        <w:pStyle w:val="MainText"/>
        <w:spacing w:before="120" w:after="0"/>
        <w:rPr>
          <w:lang w:val="el" w:eastAsia="el"/>
        </w:rPr>
      </w:pPr>
      <w:r>
        <w:rPr>
          <w:b/>
          <w:bCs/>
          <w:lang w:val="el" w:eastAsia="el"/>
        </w:rPr>
        <w:t>6.</w:t>
      </w:r>
      <w:r>
        <w:rPr>
          <w:lang w:val="el" w:eastAsia="el"/>
        </w:rPr>
        <w:t xml:space="preserve"> Το Ελληνικό Δημόσιο μπορεί να έχει στην κυριότητά του αποθηκευτικούς χώρους και αγωγούς μεταφοράς.</w:t>
      </w:r>
    </w:p>
    <w:p>
      <w:pPr>
        <w:pStyle w:val="MainText"/>
        <w:spacing w:before="120" w:after="0"/>
        <w:rPr>
          <w:lang w:val="el" w:eastAsia="el"/>
        </w:rPr>
      </w:pPr>
      <w:r>
        <w:rPr>
          <w:b/>
          <w:bCs/>
          <w:lang w:val="el" w:eastAsia="el"/>
        </w:rPr>
        <w:t>7.</w:t>
      </w:r>
      <w:r>
        <w:rPr>
          <w:lang w:val="el" w:eastAsia="el"/>
        </w:rPr>
        <w:t xml:space="preserve"> Το Ελληνικό Δημόσιο μπορεί να παραχωρεί τη χρήση αποθηκευτικών χώρων ή αγωγών μεταφοράς της κυριότητάς του σε τρίτους με κοινή απόφαση των Υπουργών Οικονομίας και Οικονομικών και Ανάπτυξης. Με όμοια απόφαση ορίζονται οι όροι και οι προϋποθέσεις της παραχώρησης.</w:t>
      </w:r>
    </w:p>
    <w:p>
      <w:pPr>
        <w:pStyle w:val="MainText"/>
        <w:spacing w:before="120" w:after="0"/>
        <w:rPr>
          <w:lang w:val="el" w:eastAsia="el"/>
        </w:rPr>
      </w:pPr>
      <w:r>
        <w:rPr>
          <w:b/>
          <w:bCs/>
          <w:lang w:val="el" w:eastAsia="el"/>
        </w:rPr>
        <w:t>8.</w:t>
      </w:r>
      <w:r>
        <w:rPr>
          <w:lang w:val="el" w:eastAsia="el"/>
        </w:rPr>
        <w:t xml:space="preserve">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8α.</w:t>
      </w:r>
      <w:r>
        <w:rPr>
          <w:lang w:val="el" w:eastAsia="el"/>
        </w:rPr>
        <w:t xml:space="preserve">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βυτιοφόρο (Φ.Ι.Χ. ή Φ.Δ.Χ.) ή πλωτά εφοδιαστικα (όπως δεξαμενόπλοια και σλέπια), ιδιόκτητα ή μισθωμένα, τα οποία δεν φέρουν: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αα)</w:t>
      </w:r>
      <w:r>
        <w:rPr>
          <w:lang w:val="en" w:eastAsia="en"/>
        </w:rPr>
        <w:tab/>
      </w:r>
      <w:r>
        <w:rPr>
          <w:lang w:val="el" w:eastAsia="el"/>
        </w:rPr>
        <w:t>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ββ ηλεκτρονικό σύστημα γεωγραφικού εντοπισμού (GPS). Με κοινή απόφαση των Υπουργών Οικονομίας και Ανάπτυξης, Υποδομών και Μεταφορών και Οικονομικών, καθώς και Ναυτιλίας και Νησιωτικής Πολιτικής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 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β. Δεν επιτρέπεται η διακίνηση πετρελαιοειδών προϊόντων με βυτιοφόρο (Φ.Ι.Χ. ή Φ.Δ.Χ.), ιδιόκτητα ή μισθωμένα, τα οποία δεν φέρουν:</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αα)</w:t>
      </w:r>
      <w:r>
        <w:rPr>
          <w:lang w:val="en" w:eastAsia="en"/>
        </w:rPr>
        <w:tab/>
      </w:r>
      <w:r>
        <w:rPr>
          <w:lang w:val="el" w:eastAsia="el"/>
        </w:rPr>
        <w:t>πιστοποιητικό ADR του βυτιοφόρου και του οδηγού αυτού, σύμφωνα με τις διατάξεις της Υ.Α. 35043/2524/1.9.2010 (Β` 1385) όπως ισχύει, καθώς και</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ββ)</w:t>
      </w:r>
      <w:r>
        <w:rPr>
          <w:lang w:val="en" w:eastAsia="en"/>
        </w:rPr>
        <w:tab/>
      </w:r>
      <w:r>
        <w:rPr>
          <w:lang w:val="el" w:eastAsia="el"/>
        </w:rPr>
        <w:t>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γ. Στα μεταφορικά μέσα, βυτιοφόρο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Με κοινή απόφαση των Υπουργών Οικονομικών, Οικονομίας και Ανάπτυξης, και Υποδομών και Μεταφορών, καθώς και Ναυτιλίας και Νησιωτικής Πολιτικής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9.</w:t>
      </w:r>
      <w:r>
        <w:rPr>
          <w:lang w:val="el" w:eastAsia="el"/>
        </w:rPr>
        <w:t xml:space="preserve"> Οι αποθηκευτικοί χώροι των κατόχων Άδειας Λιανικής Εμπορίας πετρελαίου θέρμανσης χρησιμοποιούνται αποκλειστικά για τις λειτουργικές ανάγκες της Λιανικής Εμπορίας. Με κοινή απόφαση των Υπουργών Οικονομίας και Οικονομικών και Ανάπτυξης καθορίζεται το σύστημα καταμέτρησης που πρέπει να διαθέτουν οι χώροι αυτοί.</w:t>
      </w:r>
    </w:p>
    <w:p>
      <w:pPr>
        <w:pStyle w:val="MainText"/>
        <w:spacing w:before="120" w:after="0"/>
        <w:rPr>
          <w:lang w:val="el" w:eastAsia="el"/>
        </w:rPr>
      </w:pPr>
      <w:r>
        <w:rPr>
          <w:b/>
          <w:bCs/>
          <w:lang w:val="el" w:eastAsia="el"/>
        </w:rPr>
        <w:t>10.</w:t>
      </w:r>
      <w:r>
        <w:rPr>
          <w:lang w:val="el" w:eastAsia="el"/>
        </w:rPr>
        <w:t xml:space="preserve"> Οι αποθηκευτικοί χώροι του πρατηρίου δεν υπολογίζονται ως προϋπόθεση για τη χορήγηση Άδειας Πωλητή πετρελαίου θέρμανσης.</w:t>
      </w:r>
    </w:p>
    <w:p>
      <w:pPr>
        <w:pStyle w:val="MainText"/>
        <w:spacing w:before="120" w:after="0"/>
        <w:rPr>
          <w:lang w:val="el" w:eastAsia="el"/>
        </w:rPr>
      </w:pPr>
      <w:r>
        <w:rPr>
          <w:b/>
          <w:bCs/>
          <w:lang w:val="el" w:eastAsia="el"/>
        </w:rPr>
        <w:t>11.</w:t>
      </w:r>
      <w:r>
        <w:rPr>
          <w:lang w:val="el" w:eastAsia="el"/>
        </w:rPr>
        <w:t xml:space="preserve"> Τα Ανώτατα Εκπαιδευτικά Ιδρύματα και οι ερευνητικοί ή τεχνολογικοί φορείς της ημεδαπής μπορούν να προμηθεύονται τελικά και ημικατεργασμένα πετρελαιοειδή προϊόντα από κατόχους άδειας διύλισης και τελικά πετρελαιοειδή προϊόντα από κατόχους άδειας εμπορίας, τα οποία χρησιμοποιούν αποκλειστικά για ερευνητικούς σκοπούς, με την προϋπόθεση ότι τηρούνται οι διατάξεις του Εθνικού Τελωνειακού Κώδικα (ν.2960/2001, Α` 265).</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12.</w:t>
      </w:r>
      <w:r>
        <w:rPr>
          <w:lang w:val="el" w:eastAsia="el"/>
        </w:rPr>
        <w:t xml:space="preserve">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Οικονομίας, Ανάπτυξης και Τουρισμού, Οικονομικών, Περιβάλλοντος και Ενέργειας και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άλλο σχετικό θέμα. 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25 Σεπτεμβρίου 2002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ΚΩΝΣΤΑΝΤΙΝΟΣ ΣΤΕΦΑΝΟΠΟΥΛΟΣ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Ν. ΧΡΙΣΤΟΔΟΥΛΑΚΗΣ</w:t>
      </w:r>
    </w:p>
    <w:p>
      <w:pPr>
        <w:spacing w:before="240" w:after="240"/>
        <w:rPr>
          <w:lang w:val="el" w:eastAsia="el"/>
        </w:rPr>
      </w:pPr>
      <w:r>
        <w:rPr>
          <w:lang w:val="el" w:eastAsia="el"/>
        </w:rPr>
        <w:t>ΠΕΡΙΒΑΛΛΟΝΤΟΣ, ΧΩΡΟΤΑΞΙΑΣ ΚΑΙ ΔΗΜΟΣΙΩΝ ΕΡΓΩΝ</w:t>
      </w:r>
    </w:p>
    <w:p>
      <w:pPr>
        <w:spacing w:before="240" w:after="240"/>
        <w:rPr>
          <w:lang w:val="el" w:eastAsia="el"/>
        </w:rPr>
      </w:pPr>
      <w:r>
        <w:rPr>
          <w:lang w:val="el" w:eastAsia="el"/>
        </w:rPr>
        <w:t>Β. ΠΑΠΑΝΔΡΕΟΥ</w:t>
      </w:r>
    </w:p>
    <w:p>
      <w:pPr>
        <w:spacing w:before="240" w:after="240"/>
        <w:rPr>
          <w:lang w:val="el" w:eastAsia="el"/>
        </w:rPr>
      </w:pPr>
      <w:r>
        <w:rPr>
          <w:lang w:val="el" w:eastAsia="el"/>
        </w:rPr>
        <w:t>ΔΙΚΑΙΟΣΥΝΗΣ</w:t>
      </w:r>
    </w:p>
    <w:p>
      <w:pPr>
        <w:spacing w:before="240" w:after="240"/>
        <w:rPr>
          <w:lang w:val="el" w:eastAsia="el"/>
        </w:rPr>
      </w:pPr>
      <w:r>
        <w:rPr>
          <w:lang w:val="el" w:eastAsia="el"/>
        </w:rPr>
        <w:t>Φ. ΠΕΤΣΑΛΝΙΚΟΣ</w:t>
      </w:r>
    </w:p>
    <w:p>
      <w:pPr>
        <w:spacing w:before="240" w:after="240"/>
        <w:rPr>
          <w:lang w:val="el" w:eastAsia="el"/>
        </w:rPr>
      </w:pPr>
      <w:r>
        <w:rPr>
          <w:lang w:val="el" w:eastAsia="el"/>
        </w:rPr>
        <w:t>ΕΘΝΙΚΗΣ ΠΑΙΔΕΙΑΣ ΚΑΙ ΘΡΗΣΚΕΥΜΑΤΩΝ</w:t>
      </w:r>
    </w:p>
    <w:p>
      <w:pPr>
        <w:spacing w:before="240" w:after="240"/>
        <w:rPr>
          <w:lang w:val="el" w:eastAsia="el"/>
        </w:rPr>
      </w:pPr>
      <w:r>
        <w:rPr>
          <w:lang w:val="el" w:eastAsia="el"/>
        </w:rPr>
        <w:t>Π. ΕΥΘΥΜΙΟΥ</w:t>
      </w:r>
    </w:p>
    <w:p>
      <w:pPr>
        <w:spacing w:before="240" w:after="240"/>
        <w:rPr>
          <w:lang w:val="el" w:eastAsia="el"/>
        </w:rPr>
      </w:pPr>
      <w:r>
        <w:rPr>
          <w:lang w:val="el" w:eastAsia="el"/>
        </w:rPr>
        <w:t>ΜΕΤΑΦΟΡΩΝ ΚΑΙ ΕΠΙΚΟΙΝΩΝΙΩΝ</w:t>
      </w:r>
    </w:p>
    <w:p>
      <w:pPr>
        <w:spacing w:before="240" w:after="240"/>
        <w:rPr>
          <w:lang w:val="el" w:eastAsia="el"/>
        </w:rPr>
      </w:pPr>
      <w:r>
        <w:rPr>
          <w:lang w:val="el" w:eastAsia="el"/>
        </w:rPr>
        <w:t>Χ. ΒΕΡΕΛΗΣ</w:t>
      </w:r>
    </w:p>
    <w:p>
      <w:pPr>
        <w:spacing w:before="240" w:after="240"/>
        <w:rPr>
          <w:lang w:val="el" w:eastAsia="el"/>
        </w:rPr>
      </w:pPr>
      <w:r>
        <w:rPr>
          <w:lang w:val="el" w:eastAsia="el"/>
        </w:rPr>
        <w:t>ΕΡΓΑΣΙΑΣ ΚΑΙ ΚΟΙΝΩΝΙΚΩΝ ΑΣΦΑΛΙΣΕΩΝ</w:t>
      </w:r>
    </w:p>
    <w:p>
      <w:pPr>
        <w:spacing w:before="240" w:after="240"/>
        <w:rPr>
          <w:lang w:val="el" w:eastAsia="el"/>
        </w:rPr>
      </w:pPr>
      <w:r>
        <w:rPr>
          <w:lang w:val="el" w:eastAsia="el"/>
        </w:rPr>
        <w:t>Δ. ΡΕΠΠΑΣ</w:t>
      </w:r>
    </w:p>
    <w:p>
      <w:pPr>
        <w:spacing w:before="240" w:after="240"/>
        <w:rPr>
          <w:lang w:val="el" w:eastAsia="el"/>
        </w:rPr>
      </w:pPr>
      <w:r>
        <w:rPr>
          <w:lang w:val="el" w:eastAsia="el"/>
        </w:rPr>
        <w:t>ΕΣΩΤΕΡΙΚΩΝ, ΔΗΜΟΣΙΑΣ ΔΙΟΙΚΗΣΗΣ ΚΑΙ ΑΠΟΚΕΝΤΡΩΣΗΣ</w:t>
      </w:r>
    </w:p>
    <w:p>
      <w:pPr>
        <w:spacing w:before="240" w:after="240"/>
        <w:rPr>
          <w:lang w:val="el" w:eastAsia="el"/>
        </w:rPr>
      </w:pPr>
      <w:r>
        <w:rPr>
          <w:lang w:val="el" w:eastAsia="el"/>
        </w:rPr>
        <w:t>Κ. ΣΚΑΝΔΑΛΙΔΗΣ</w:t>
      </w:r>
    </w:p>
    <w:p>
      <w:pPr>
        <w:spacing w:before="240" w:after="240"/>
        <w:rPr>
          <w:lang w:val="el" w:eastAsia="el"/>
        </w:rPr>
      </w:pPr>
      <w:r>
        <w:rPr>
          <w:lang w:val="el" w:eastAsia="el"/>
        </w:rPr>
        <w:t>ΕΘΝΙΚΗΣ ΑΜΥΝΑΣ</w:t>
      </w:r>
    </w:p>
    <w:p>
      <w:pPr>
        <w:spacing w:before="240" w:after="240"/>
        <w:rPr>
          <w:lang w:val="el" w:eastAsia="el"/>
        </w:rPr>
      </w:pPr>
      <w:r>
        <w:rPr>
          <w:lang w:val="el" w:eastAsia="el"/>
        </w:rPr>
        <w:t>Γ. ΠΑΠΑΝΤΩΝΙΟΥ</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Μ. ΧΡΥΣΟΧΟΪΔΗΣ</w:t>
      </w:r>
    </w:p>
    <w:p>
      <w:pPr>
        <w:spacing w:before="240" w:after="240"/>
        <w:rPr>
          <w:lang w:val="el" w:eastAsia="el"/>
        </w:rPr>
      </w:pPr>
      <w:r>
        <w:rPr>
          <w:lang w:val="el" w:eastAsia="el"/>
        </w:rPr>
        <w:t>ΑΝΑΠΤΥΞΗΣ</w:t>
      </w:r>
    </w:p>
    <w:p>
      <w:pPr>
        <w:spacing w:before="240" w:after="240"/>
        <w:rPr>
          <w:lang w:val="el" w:eastAsia="el"/>
        </w:rPr>
      </w:pPr>
      <w:r>
        <w:rPr>
          <w:lang w:val="el" w:eastAsia="el"/>
        </w:rPr>
        <w:t>Α.ΤΣΟΧΑΤΖΟΠΟΥΛΟΣ</w:t>
      </w:r>
    </w:p>
    <w:p>
      <w:pPr>
        <w:spacing w:before="240" w:after="240"/>
        <w:rPr>
          <w:lang w:val="el" w:eastAsia="el"/>
        </w:rPr>
      </w:pPr>
      <w:r>
        <w:rPr>
          <w:lang w:val="el" w:eastAsia="el"/>
        </w:rPr>
        <w:t>ΥΓΕΙΑΣ ΚΑΙ ΠΡΟΝΟΙΑΣ</w:t>
      </w:r>
    </w:p>
    <w:p>
      <w:pPr>
        <w:spacing w:before="240" w:after="240"/>
        <w:rPr>
          <w:lang w:val="el" w:eastAsia="el"/>
        </w:rPr>
      </w:pPr>
      <w:r>
        <w:rPr>
          <w:lang w:val="el" w:eastAsia="el"/>
        </w:rPr>
        <w:t>Κ. ΣΤΕΦΑΝΗΣ</w:t>
      </w:r>
    </w:p>
    <w:p>
      <w:pPr>
        <w:spacing w:before="240" w:after="240"/>
        <w:rPr>
          <w:lang w:val="el" w:eastAsia="el"/>
        </w:rPr>
      </w:pPr>
      <w:r>
        <w:rPr>
          <w:lang w:val="el" w:eastAsia="el"/>
        </w:rPr>
        <w:t>ΕΜΠΟΡΙΚΗΣ ΝΑΥΤΙΛΙΑΣ</w:t>
      </w:r>
    </w:p>
    <w:p>
      <w:pPr>
        <w:spacing w:before="240" w:after="240"/>
        <w:rPr>
          <w:lang w:val="el" w:eastAsia="el"/>
        </w:rPr>
      </w:pPr>
      <w:r>
        <w:rPr>
          <w:lang w:val="el" w:eastAsia="el"/>
        </w:rPr>
        <w:t>Γ. ΑΝΩΜΕΡΊΤΗΣ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 Οκτωβρίου 2002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9" w:history="1">
        <w:r>
          <w:rPr>
            <w:rStyle w:val="Hyperlink"/>
            <w:color w:val="0000EE"/>
            <w:u w:color="0000EE"/>
            <w:lang w:val="el" w:eastAsia="el"/>
          </w:rPr>
          <w:t>Τροποποίηση 3335/2005, Άρθρο 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20" w:history="1">
        <w:r>
          <w:rPr>
            <w:rStyle w:val="Hyperlink"/>
            <w:color w:val="0000EE"/>
            <w:u w:color="0000EE"/>
            <w:lang w:val="el" w:eastAsia="el"/>
          </w:rPr>
          <w:t>Προσθήκη 4072/2012, Άρθρο 320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Αφαίρεση 4203/2013,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9" w:history="1">
        <w:r>
          <w:rPr>
            <w:rStyle w:val="Hyperlink"/>
            <w:color w:val="0000EE"/>
            <w:u w:color="0000EE"/>
            <w:lang w:val="el" w:eastAsia="el"/>
          </w:rPr>
          <w:t>Τροποποίηση 4111/2013, Άρθρο 19</w:t>
        </w:r>
      </w:hyperlink>
      <w:r>
        <w:rPr>
          <w:lang w:val="el" w:eastAsia="el"/>
        </w:rPr>
        <w:t xml:space="preserve">; </w:t>
      </w:r>
      <w:hyperlink r:id="rId5" w:anchor="art_1" w:history="1">
        <w:r>
          <w:rPr>
            <w:rStyle w:val="Hyperlink"/>
            <w:color w:val="0000EE"/>
            <w:u w:color="0000EE"/>
            <w:lang w:val="el" w:eastAsia="el"/>
          </w:rPr>
          <w:t>Τροποποίηση 4093/2012,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9" w:history="1">
        <w:r>
          <w:rPr>
            <w:rStyle w:val="Hyperlink"/>
            <w:color w:val="0000EE"/>
            <w:u w:color="0000EE"/>
            <w:lang w:val="el" w:eastAsia="el"/>
          </w:rPr>
          <w:t>Τροποποίηση 4111/2013, Άρθρο 19</w:t>
        </w:r>
      </w:hyperlink>
      <w:r>
        <w:rPr>
          <w:lang w:val="el" w:eastAsia="el"/>
        </w:rPr>
        <w:t xml:space="preserve">; </w:t>
      </w:r>
      <w:hyperlink r:id="rId7" w:anchor="art_1" w:history="1">
        <w:r>
          <w:rPr>
            <w:rStyle w:val="Hyperlink"/>
            <w:color w:val="0000EE"/>
            <w:u w:color="0000EE"/>
            <w:lang w:val="el" w:eastAsia="el"/>
          </w:rPr>
          <w:t>Τροποποίηση 4093/2012,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20" w:history="1">
        <w:r>
          <w:rPr>
            <w:rStyle w:val="Hyperlink"/>
            <w:color w:val="0000EE"/>
            <w:u w:color="0000EE"/>
            <w:lang w:val="el" w:eastAsia="el"/>
          </w:rPr>
          <w:t>Τροποποίηση 4072/2012, Άρθρο 320</w:t>
        </w:r>
      </w:hyperlink>
      <w:r>
        <w:rPr>
          <w:lang w:val="el" w:eastAsia="el"/>
        </w:rPr>
        <w:t xml:space="preserve">; </w:t>
      </w:r>
      <w:hyperlink r:id="rId9" w:anchor="art_1" w:history="1">
        <w:r>
          <w:rPr>
            <w:rStyle w:val="Hyperlink"/>
            <w:color w:val="0000EE"/>
            <w:u w:color="0000EE"/>
            <w:lang w:val="el" w:eastAsia="el"/>
          </w:rPr>
          <w:t>Τροποποίηση 4093/2012, Άρθρο 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4093/2012,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5" w:history="1">
        <w:r>
          <w:rPr>
            <w:rStyle w:val="Hyperlink"/>
            <w:color w:val="0000EE"/>
            <w:u w:color="0000EE"/>
            <w:lang w:val="el" w:eastAsia="el"/>
          </w:rPr>
          <w:t>Τροποποίηση 4441/2016, Άρθρο 15</w:t>
        </w:r>
      </w:hyperlink>
      <w:r>
        <w:rPr>
          <w:lang w:val="el" w:eastAsia="el"/>
        </w:rPr>
        <w:t xml:space="preserve">; </w:t>
      </w:r>
      <w:hyperlink r:id="rId12" w:anchor="art_1" w:history="1">
        <w:r>
          <w:rPr>
            <w:rStyle w:val="Hyperlink"/>
            <w:color w:val="0000EE"/>
            <w:u w:color="0000EE"/>
            <w:lang w:val="el" w:eastAsia="el"/>
          </w:rPr>
          <w:t>Τροποποίηση 4093/2012,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 w:history="1">
        <w:r>
          <w:rPr>
            <w:rStyle w:val="Hyperlink"/>
            <w:color w:val="0000EE"/>
            <w:u w:color="0000EE"/>
            <w:lang w:val="el" w:eastAsia="el"/>
          </w:rPr>
          <w:t>Τροποποίηση 4093/2012, Άρθρο 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Τροποποίηση 4093/2012,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4093/2012,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5" w:history="1">
        <w:r>
          <w:rPr>
            <w:rStyle w:val="Hyperlink"/>
            <w:color w:val="0000EE"/>
            <w:u w:color="0000EE"/>
            <w:lang w:val="el" w:eastAsia="el"/>
          </w:rPr>
          <w:t>Τροποποίηση 4441/2016, Άρθρο 15</w:t>
        </w:r>
      </w:hyperlink>
      <w:r>
        <w:rPr>
          <w:lang w:val="el" w:eastAsia="el"/>
        </w:rPr>
        <w:t xml:space="preserve">; </w:t>
      </w:r>
      <w:hyperlink r:id="rId17" w:anchor="art_1" w:history="1">
        <w:r>
          <w:rPr>
            <w:rStyle w:val="Hyperlink"/>
            <w:color w:val="0000EE"/>
            <w:u w:color="0000EE"/>
            <w:lang w:val="el" w:eastAsia="el"/>
          </w:rPr>
          <w:t>Τροποποίηση 4093/2012,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4093/2012,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4062/2012, Άρθρο 34</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Τροποποίηση 4409/2016, Άρθρο 1</w:t>
        </w:r>
      </w:hyperlink>
      <w:r>
        <w:rPr>
          <w:lang w:val="el" w:eastAsia="el"/>
        </w:rPr>
        <w:t xml:space="preserve">; </w:t>
      </w:r>
      <w:hyperlink r:id="rId20" w:anchor="art_1" w:history="1">
        <w:r>
          <w:rPr>
            <w:rStyle w:val="Hyperlink"/>
            <w:color w:val="0000EE"/>
            <w:u w:color="0000EE"/>
            <w:lang w:val="el" w:eastAsia="el"/>
          </w:rPr>
          <w:t>Τροποποίηση 4093/2012, Άρθρο 1</w:t>
        </w:r>
      </w:hyperlink>
      <w:r>
        <w:rPr>
          <w:lang w:val="el" w:eastAsia="el"/>
        </w:rPr>
        <w:t xml:space="preserve">; </w:t>
      </w:r>
      <w:hyperlink r:id="rId21" w:anchor="art_320" w:history="1">
        <w:r>
          <w:rPr>
            <w:rStyle w:val="Hyperlink"/>
            <w:color w:val="0000EE"/>
            <w:u w:color="0000EE"/>
            <w:lang w:val="el" w:eastAsia="el"/>
          </w:rPr>
          <w:t>Προσθήκη 4072/2012, Άρθρο 320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4/20/3335" TargetMode="External" /><Relationship Id="rId10" Type="http://schemas.openxmlformats.org/officeDocument/2006/relationships/hyperlink" Target="http://data.aade.gr/eli/pri/law/2012/11/12/4093" TargetMode="External" /><Relationship Id="rId11" Type="http://schemas.openxmlformats.org/officeDocument/2006/relationships/hyperlink" Target="http://data.aade.gr/eli/pri/law/2016/12/06/4441" TargetMode="External" /><Relationship Id="rId12" Type="http://schemas.openxmlformats.org/officeDocument/2006/relationships/hyperlink" Target="http://data.aade.gr/eli/pri/law/2012/11/12/4093" TargetMode="External" /><Relationship Id="rId13" Type="http://schemas.openxmlformats.org/officeDocument/2006/relationships/hyperlink" Target="http://data.aade.gr/eli/pri/law/2012/11/12/4093" TargetMode="External" /><Relationship Id="rId14" Type="http://schemas.openxmlformats.org/officeDocument/2006/relationships/hyperlink" Target="http://data.aade.gr/eli/pri/law/2012/11/12/4093" TargetMode="External" /><Relationship Id="rId15" Type="http://schemas.openxmlformats.org/officeDocument/2006/relationships/hyperlink" Target="http://data.aade.gr/eli/pri/law/2012/11/12/4093" TargetMode="External" /><Relationship Id="rId16" Type="http://schemas.openxmlformats.org/officeDocument/2006/relationships/hyperlink" Target="http://data.aade.gr/eli/pri/law/2016/12/06/4441" TargetMode="External" /><Relationship Id="rId17" Type="http://schemas.openxmlformats.org/officeDocument/2006/relationships/hyperlink" Target="http://data.aade.gr/eli/pri/law/2012/11/12/4093" TargetMode="External" /><Relationship Id="rId18" Type="http://schemas.openxmlformats.org/officeDocument/2006/relationships/hyperlink" Target="http://data.aade.gr/eli/pri/law/2012/11/12/4093" TargetMode="External" /><Relationship Id="rId19" Type="http://schemas.openxmlformats.org/officeDocument/2006/relationships/hyperlink" Target="http://data.aade.gr/eli/pri/law/2016/07/28/4409" TargetMode="External" /><Relationship Id="rId2" Type="http://schemas.openxmlformats.org/officeDocument/2006/relationships/hyperlink" Target="http://data.aade.gr/eli/pri/law/2012/04/11/4072" TargetMode="External" /><Relationship Id="rId20" Type="http://schemas.openxmlformats.org/officeDocument/2006/relationships/hyperlink" Target="http://data.aade.gr/eli/pri/law/2012/11/12/4093" TargetMode="External" /><Relationship Id="rId21" Type="http://schemas.openxmlformats.org/officeDocument/2006/relationships/hyperlink" Target="http://data.aade.gr/eli/pri/law/2012/04/11/4072" TargetMode="External" /><Relationship Id="rId3" Type="http://schemas.openxmlformats.org/officeDocument/2006/relationships/hyperlink" Target="http://data.aade.gr/eli/pri/law/2013/11/01/4203" TargetMode="External" /><Relationship Id="rId4" Type="http://schemas.openxmlformats.org/officeDocument/2006/relationships/hyperlink" Target="http://data.aade.gr/eli/pri/law/2013/01/25/4111" TargetMode="External" /><Relationship Id="rId5" Type="http://schemas.openxmlformats.org/officeDocument/2006/relationships/hyperlink" Target="http://data.aade.gr/eli/pri/law/2012/11/12/4093" TargetMode="External" /><Relationship Id="rId6" Type="http://schemas.openxmlformats.org/officeDocument/2006/relationships/hyperlink" Target="http://data.aade.gr/eli/pri/law/2013/01/25/4111" TargetMode="External" /><Relationship Id="rId7" Type="http://schemas.openxmlformats.org/officeDocument/2006/relationships/hyperlink" Target="http://data.aade.gr/eli/pri/law/2012/11/12/4093" TargetMode="External" /><Relationship Id="rId8" Type="http://schemas.openxmlformats.org/officeDocument/2006/relationships/hyperlink" Target="http://data.aade.gr/eli/pri/law/2012/04/11/4072" TargetMode="External" /><Relationship Id="rId9" Type="http://schemas.openxmlformats.org/officeDocument/2006/relationships/hyperlink" Target="http://data.aade.gr/eli/pri/law/2012/11/12/409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