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ββ ηλεκτρονικό σύστημα γεωγραφικού εντοπισμού (GPS). Με κοινή απόφαση των Υπουργών Οικονομικών, Ψηφιακής Διακυβέρνησης, του Διοικητή της Ανεξάρτητης Αρχής Δημοσίων Εσόδων (Α.Α.Δ.Ε.) και των κατά περίπτωση αρμόδιων Υπουργών Υποδομών και Μεταφορών και Ναυτιλίας και Νησιωτικής Πολιτικής, καθορίζονται οι προδιαγραφές, η διαδικασία και οι όροι εγκατάστασης του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υποπερίπτωση, καθώς και κάθε άλλο σχετικό θέμα. Με όμοια απόφαση καθορίζονται οι προδιαγραφές, η διαδικασία και κάθε άλλο σχετικό θέμα με την υλοποίηση του συστήματος, με το οποίο αντλούνται και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εγκαθίστανται υποχρεωτικά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Με κοινή απόφαση των Υπουργών Οικονομίας και Ανάπτυξης, Οικονομικών, Υποδομών και Μεταφορών, καθώς και Ναυτιλίας και Νησιωτικής Πολιτικής όπου απαιτείται και του Διοικητή της Ανεξάρτητης Αρχής Δημοσίων Εσόδων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12.</w:t>
      </w:r>
      <w:r>
        <w:rPr>
          <w:lang w:val="el" w:eastAsia="el"/>
        </w:rPr>
        <w:t xml:space="preserve"> Τα υγρά καύσιμα και τα υγραέρια που διατίθενται στην κατανάλωση ή διακινούνται ή αποθηκεύονται εντός της ελληνικής Επικράτειας, σημαίνονται με κατάλληλα μόρια, τα οποία χρησιμοποιούνται ως δείκτες φορολογικής σήμανσης, εφεξής “ιχνηθέτες”. Η έλλειψη φορολογικής σήμανσης ή η παραβίαση της κατάλληλης φορολογικής σήμανσης των υγρών καυσίμων και των υγραερίων, σύμφωνα με τα ανωτέρω οριζόμενα, συνιστά τελωνειακή παράβαση της παρ. 1 του άρθρου 119 Α του ν. 2960/2001 (Α` 265), με την επιφύλαξη των περί λαθρεμπορίας διατάξεων της παρ. 2 του ίδιου άρθρου, έστω και αν διαθέτουν τα προβλεπόμενα παραστατικά, και επιπροσθέτως συνεπάγεται την απαγόρευση διάθεσής τους στην εσωτερική αγορά από τη διαπίστωση της τέλεσης της παράβασης. Με κοινή απόφαση των Υπουργών Οικονομικών, Περιβάλλοντος και Ενέργειας και του Διοικητή της Ανεξάρτητης Αρχής Δημοσίων Εσόδων (Α.Α.Δ.Ε.) καθορίζονται τα συγκεκριμένα είδη που υπάγονται στη ρύθμιση της παρούσας και διευκρινίζονται τεχνικά ζητήματα για την εφαρμογή της ανά είδος υγρών καυσίμων και υγραερίων και τις διαδικασίες των κυρώσεων, καθώς και κάθε άλλο σχετικό θέμα.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Αφαίρεση 4203/2013,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9" w:history="1">
        <w:r>
          <w:rPr>
            <w:rStyle w:val="Hyperlink"/>
            <w:color w:val="0000EE"/>
            <w:u w:color="0000EE"/>
            <w:lang w:val="el" w:eastAsia="el"/>
          </w:rPr>
          <w:t>Τροποποίηση 4111/2013, Άρθρο 19</w:t>
        </w:r>
      </w:hyperlink>
      <w:r>
        <w:rPr>
          <w:lang w:val="el" w:eastAsia="el"/>
        </w:rPr>
        <w:t xml:space="preserve">; </w:t>
      </w:r>
      <w:hyperlink r:id="rId5"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9" w:history="1">
        <w:r>
          <w:rPr>
            <w:rStyle w:val="Hyperlink"/>
            <w:color w:val="0000EE"/>
            <w:u w:color="0000EE"/>
            <w:lang w:val="el" w:eastAsia="el"/>
          </w:rPr>
          <w:t>Τροποποίηση 4111/2013, Άρθρο 19</w:t>
        </w:r>
      </w:hyperlink>
      <w:r>
        <w:rPr>
          <w:lang w:val="el" w:eastAsia="el"/>
        </w:rPr>
        <w:t xml:space="preserve">; </w:t>
      </w:r>
      <w:hyperlink r:id="rId7"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20" w:history="1">
        <w:r>
          <w:rPr>
            <w:rStyle w:val="Hyperlink"/>
            <w:color w:val="0000EE"/>
            <w:u w:color="0000EE"/>
            <w:lang w:val="el" w:eastAsia="el"/>
          </w:rPr>
          <w:t>Τροποποίηση 4072/2012, Άρθρο 320</w:t>
        </w:r>
      </w:hyperlink>
      <w:r>
        <w:rPr>
          <w:lang w:val="el" w:eastAsia="el"/>
        </w:rPr>
        <w:t xml:space="preserve">; </w:t>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4758/2020, Άρθρο 10</w:t>
        </w:r>
      </w:hyperlink>
      <w:r>
        <w:rPr>
          <w:lang w:val="el" w:eastAsia="el"/>
        </w:rPr>
        <w:t xml:space="preserve">; </w:t>
      </w:r>
      <w:hyperlink r:id="rId12" w:anchor="art_15" w:history="1">
        <w:r>
          <w:rPr>
            <w:rStyle w:val="Hyperlink"/>
            <w:color w:val="0000EE"/>
            <w:u w:color="0000EE"/>
            <w:lang w:val="el" w:eastAsia="el"/>
          </w:rPr>
          <w:t>Τροποποίηση 4441/2016, Άρθρο 15</w:t>
        </w:r>
      </w:hyperlink>
      <w:r>
        <w:rPr>
          <w:lang w:val="el" w:eastAsia="el"/>
        </w:rPr>
        <w:t xml:space="preserve">; </w:t>
      </w:r>
      <w:hyperlink r:id="rId13"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1" w:history="1">
        <w:r>
          <w:rPr>
            <w:rStyle w:val="Hyperlink"/>
            <w:color w:val="0000EE"/>
            <w:u w:color="0000EE"/>
            <w:lang w:val="el" w:eastAsia="el"/>
          </w:rPr>
          <w:t>Τροποποίηση 4583/2018, Άρθρο 71</w:t>
        </w:r>
      </w:hyperlink>
      <w:r>
        <w:rPr>
          <w:lang w:val="el" w:eastAsia="el"/>
        </w:rPr>
        <w:t xml:space="preserve">; </w:t>
      </w:r>
      <w:hyperlink r:id="rId18" w:anchor="art_15" w:history="1">
        <w:r>
          <w:rPr>
            <w:rStyle w:val="Hyperlink"/>
            <w:color w:val="0000EE"/>
            <w:u w:color="0000EE"/>
            <w:lang w:val="el" w:eastAsia="el"/>
          </w:rPr>
          <w:t>Τροποποίηση 4441/2016, Άρθρο 15</w:t>
        </w:r>
      </w:hyperlink>
      <w:r>
        <w:rPr>
          <w:lang w:val="el" w:eastAsia="el"/>
        </w:rPr>
        <w:t xml:space="preserve">; </w:t>
      </w:r>
      <w:hyperlink r:id="rId19"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4093/2012,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 w:history="1">
        <w:r>
          <w:rPr>
            <w:rStyle w:val="Hyperlink"/>
            <w:color w:val="0000EE"/>
            <w:u w:color="0000EE"/>
            <w:lang w:val="el" w:eastAsia="el"/>
          </w:rPr>
          <w:t>Τροποποίηση 4758/2020, Άρθρο 11</w:t>
        </w:r>
      </w:hyperlink>
      <w:r>
        <w:rPr>
          <w:lang w:val="el" w:eastAsia="el"/>
        </w:rPr>
        <w:t xml:space="preserve">; </w:t>
      </w:r>
      <w:hyperlink r:id="rId22" w:anchor="art_1" w:history="1">
        <w:r>
          <w:rPr>
            <w:rStyle w:val="Hyperlink"/>
            <w:color w:val="0000EE"/>
            <w:u w:color="0000EE"/>
            <w:lang w:val="el" w:eastAsia="el"/>
          </w:rPr>
          <w:t>Τροποποίηση 4409/2016, Άρθρο 1</w:t>
        </w:r>
      </w:hyperlink>
      <w:r>
        <w:rPr>
          <w:lang w:val="el" w:eastAsia="el"/>
        </w:rPr>
        <w:t xml:space="preserve">; </w:t>
      </w:r>
      <w:hyperlink r:id="rId23" w:anchor="art_1" w:history="1">
        <w:r>
          <w:rPr>
            <w:rStyle w:val="Hyperlink"/>
            <w:color w:val="0000EE"/>
            <w:u w:color="0000EE"/>
            <w:lang w:val="el" w:eastAsia="el"/>
          </w:rPr>
          <w:t>Τροποποίηση 4093/2012, Άρθρο 1</w:t>
        </w:r>
      </w:hyperlink>
      <w:r>
        <w:rPr>
          <w:lang w:val="el" w:eastAsia="el"/>
        </w:rPr>
        <w:t xml:space="preserve">; </w:t>
      </w:r>
      <w:hyperlink r:id="rId24"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20/12/04/4758" TargetMode="External" /><Relationship Id="rId12" Type="http://schemas.openxmlformats.org/officeDocument/2006/relationships/hyperlink" Target="http://data.aade.gr/eli/pri/law/2016/12/06/4441"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2/11/12/409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6/12/06/4441" TargetMode="External" /><Relationship Id="rId19" Type="http://schemas.openxmlformats.org/officeDocument/2006/relationships/hyperlink" Target="http://data.aade.gr/eli/pri/law/2012/11/12/4093" TargetMode="External" /><Relationship Id="rId2" Type="http://schemas.openxmlformats.org/officeDocument/2006/relationships/hyperlink" Target="http://data.aade.gr/eli/pri/law/2012/04/11/4072" TargetMode="External" /><Relationship Id="rId20" Type="http://schemas.openxmlformats.org/officeDocument/2006/relationships/hyperlink" Target="http://data.aade.gr/eli/pri/law/2012/11/12/4093" TargetMode="External" /><Relationship Id="rId21" Type="http://schemas.openxmlformats.org/officeDocument/2006/relationships/hyperlink" Target="http://data.aade.gr/eli/pri/law/2020/12/04/4758" TargetMode="External" /><Relationship Id="rId22" Type="http://schemas.openxmlformats.org/officeDocument/2006/relationships/hyperlink" Target="http://data.aade.gr/eli/pri/law/2016/07/28/4409" TargetMode="External" /><Relationship Id="rId23" Type="http://schemas.openxmlformats.org/officeDocument/2006/relationships/hyperlink" Target="http://data.aade.gr/eli/pri/law/2012/11/12/4093" TargetMode="External" /><Relationship Id="rId24" Type="http://schemas.openxmlformats.org/officeDocument/2006/relationships/hyperlink" Target="http://data.aade.gr/eli/pri/law/2012/04/11/4072" TargetMode="External" /><Relationship Id="rId3" Type="http://schemas.openxmlformats.org/officeDocument/2006/relationships/hyperlink" Target="http://data.aade.gr/eli/pri/law/2013/11/01/4203" TargetMode="External" /><Relationship Id="rId4" Type="http://schemas.openxmlformats.org/officeDocument/2006/relationships/hyperlink" Target="http://data.aade.gr/eli/pri/law/2013/01/25/4111"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3/01/25/4111"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04/11/4072"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