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Εταιρείες οι οποίες έχουν εμπράγματα δικαιώματα πλήρους ή ψιλής κυριότητας ή επικαρπίας σε ακίνητα που βρίσκονται στην Ελλάδα, καταβάλλουν ειδικό ετήσιο φόρο τρία τοις εκατό (3%) επί της αξίας αυτών, όπως προσδιορίζεται με το άρθρο 17 του νόμου αυτού. </w:t>
      </w:r>
    </w:p>
    <w:p>
      <w:pPr>
        <w:pStyle w:val="MainText"/>
        <w:spacing w:before="120" w:after="0"/>
        <w:rPr>
          <w:lang w:val="el" w:eastAsia="el"/>
        </w:rPr>
      </w:pPr>
      <w:r>
        <w:rPr>
          <w:b/>
          <w:bCs/>
          <w:lang w:val="el" w:eastAsia="el"/>
        </w:rPr>
        <w:t>2.</w:t>
      </w:r>
      <w:r>
        <w:rPr>
          <w:lang w:val="el" w:eastAsia="el"/>
        </w:rPr>
        <w:t xml:space="preserve"> Από υποχρέωση της προηγούμενης παραγράφου εξαιρούνται, ανεξάρτητα από τη χώρα στην οποία έχουν την έδρα τους σύμφωνα με το καταστατικό τους:</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έχουν και άλλα ακαθάριστα έσοδα στην Ελλάδα τα οποία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αυτή υπάγονται, ανεξάρτητα από το ύψος των ακαθάριστων εσόδων τους στην Ελλάδα και για διάστημα επτά ετών από την έκδοση της αρχικής οικοδομικής άδειας και εταιρείες οι οποίες ανεγείρουν κτίρια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έτη από την έκδοση της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132/Α΄), όπως τροποποιήθηκε και συμπληρώθηκε με τον Α.Ν. 378/1968 (ΦΕΚ 82/Α΄), το Ν. 27/1975 (ΦΕΚ 77/Α΄), το Ν. 814/1978(ΦΕΚ144/Α΄) και το Ν. 2234/1994 (ΦΕΚ 142/Α΄)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Επίσης εταιρείες για τα ακίνητα που εκμισθώνουν σε ναυτιλιακές εταιρείες του Α.Ν. 89/1967 όπως ισχύει, αποκλειστικά για την εγκατάσταση των γραφείων ή των αποθηκών τους. Επίσης εταιρείες που μέχρι την έναρξη ισχύος του νόμου αυτού ανήκουν σε ναυτιλιακά συμφέροντα για τα ακίνητα που αποκτήθηκαν μέχρι την 1η Ιανουαρίου 2003, εφόσον τα χρήματα που έχουν εισαχθεί στην Ελλάδα για την απόκτηση των ακινήτων αυτών προέρχονται από ναυτιλιακή δραστηριότητα.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εταιρείες οι οποίες ανήκουν στο Ελληνικό Δημόσιο ή σε οργανισμούς δημοσίου δίκαιου, όπως αυτοί νοούνται σύμφωνα με την παράγραφο 2 του άρθρου 2 του Π.Δ. 346/1998 (ΦΕΚ 230/Α΄), όπως ισχύει.</w:t>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οι εξής κατηγορίες επιχειρήσεων,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που έχει συσταθεί με διάταξη τελευταίας βουλήσεως και επιδιώκει στην Ελλάδα κοινωφελείς σκοπούς.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Αν το σύνολο ή μέρος των ονομαστικών μετοχών, μεριδίων ή μερίδων των εταιρειών των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 Αν το σύνολο ή μέρος των ονομαστικών μετοχών, μεριδίων ή μερίδων των εταιρειών των περιπτώσεων α΄, β΄, γ΄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εφόσον όλα τα ανωτέρω λειτουργούν σε χώρα της Ευρωπαϊκής Ένωσης και εποπτεύονται από αρχή κράτους μέλους της Ευρωπαϊκής Ένωσης, καθώς και "θεσμικοί επενδυτές" που λειτουργούν σε οργανωμένη αγορά χώρας της Ευρωπαϊκής Ένωσης, όπως αυτή νοείται σύμφωνα με την παράγραφο 1 του άρθρου 23 του Ν.2778/1999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παρόντος τα νομικά πρόσωπα που αναφέρονται στην παράγραφο 1 θεωρούνται κύριοι ή επικαρπωτές από το χρόνο σύνταξης των οριστικών συμβολαίων ανεξάρτητα από τη μεταγραφή τους.</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 </w:t>
      </w:r>
    </w:p>
    <w:p>
      <w:pPr>
        <w:pStyle w:val="MainText"/>
        <w:spacing w:before="120" w:after="0"/>
        <w:rPr>
          <w:lang w:val="el" w:eastAsia="el"/>
        </w:rPr>
      </w:pPr>
      <w:r>
        <w:rPr>
          <w:b/>
          <w:bCs/>
          <w:lang w:val="el" w:eastAsia="el"/>
        </w:rPr>
        <w:t>4.</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 </w:t>
      </w:r>
    </w:p>
    <w:p>
      <w:pPr>
        <w:pStyle w:val="MainText"/>
        <w:spacing w:before="120" w:after="0"/>
        <w:rPr>
          <w:lang w:val="el" w:eastAsia="el"/>
        </w:rPr>
      </w:pPr>
      <w:r>
        <w:rPr>
          <w:b/>
          <w:bCs/>
          <w:lang w:val="el" w:eastAsia="el"/>
        </w:rPr>
        <w:t>5.</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 </w:t>
      </w:r>
    </w:p>
    <w:p>
      <w:pPr>
        <w:pStyle w:val="MainText"/>
        <w:spacing w:before="120" w:after="0"/>
        <w:rPr>
          <w:lang w:val="el" w:eastAsia="el"/>
        </w:rPr>
      </w:pPr>
      <w:r>
        <w:rPr>
          <w:b/>
          <w:bCs/>
          <w:lang w:val="el" w:eastAsia="el"/>
        </w:rPr>
        <w:t>6.</w:t>
      </w:r>
      <w:r>
        <w:rPr>
          <w:lang w:val="el" w:eastAsia="el"/>
        </w:rPr>
        <w:t xml:space="preserve"> Για την επιβολή των πρόσθετων φόρων και προστίμων εφαρμόζονται οι διατάξεις των παραγράφων 1 , 4 , 5 , 6 , 7 και 8 του άρθρου 1 , καθώς και των άρθρων 2 , 4 , 9 , 15 , 22 , 23 και 24 του Ν. 2523/1997 (ΦΕΚ 179/Α΄), όπως ισχύουν.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5" w:history="1">
        <w:r>
          <w:rPr>
            <w:rStyle w:val="Hyperlink"/>
            <w:color w:val="0000EE"/>
            <w:u w:color="0000EE"/>
            <w:lang w:val="el" w:eastAsia="el"/>
          </w:rPr>
          <w:t>Προσθήκη 3193/2003, Άρθρο 15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5" w:history="1">
        <w:r>
          <w:rPr>
            <w:rStyle w:val="Hyperlink"/>
            <w:color w:val="0000EE"/>
            <w:u w:color="0000EE"/>
            <w:lang w:val="el" w:eastAsia="el"/>
          </w:rPr>
          <w:t>Προσθήκη 3193/2003, Άρθρο 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5" w:history="1">
        <w:r>
          <w:rPr>
            <w:rStyle w:val="Hyperlink"/>
            <w:color w:val="0000EE"/>
            <w:u w:color="0000EE"/>
            <w:lang w:val="el" w:eastAsia="el"/>
          </w:rPr>
          <w:t>Προσθήκη 3193/2003, Άρθρο 15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5" w:history="1">
        <w:r>
          <w:rPr>
            <w:rStyle w:val="Hyperlink"/>
            <w:color w:val="0000EE"/>
            <w:u w:color="0000EE"/>
            <w:lang w:val="el" w:eastAsia="el"/>
          </w:rPr>
          <w:t>Προσθήκη 3193/2003, Άρθρο 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3/11/20/3193" TargetMode="External" /><Relationship Id="rId2" Type="http://schemas.openxmlformats.org/officeDocument/2006/relationships/hyperlink" Target="http://data.aade.gr/eli/pri/law/2003/11/20/3193" TargetMode="External" /><Relationship Id="rId3" Type="http://schemas.openxmlformats.org/officeDocument/2006/relationships/hyperlink" Target="http://data.aade.gr/eli/pri/law/2003/11/20/3193" TargetMode="External" /><Relationship Id="rId4" Type="http://schemas.openxmlformats.org/officeDocument/2006/relationships/hyperlink" Target="http://data.aade.gr/eli/pri/law/2003/11/20/3193" TargetMode="External" /><Relationship Id="rId5"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