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3091/2002</w:t>
      </w:r>
    </w:p>
    <w:p>
      <w:pPr>
        <w:pStyle w:val="PreambelText"/>
        <w:spacing w:before="240" w:after="240"/>
        <w:rPr>
          <w:lang w:val="el" w:eastAsia="el"/>
        </w:rPr>
      </w:pPr>
      <w:r>
        <w:rPr>
          <w:lang w:val="el" w:eastAsia="el"/>
        </w:rPr>
        <w:t>ΝΟΜΟΣ ΥΠ’ ΑΡΙΘΜ. 3091</w:t>
      </w:r>
    </w:p>
    <w:p>
      <w:pPr>
        <w:pStyle w:val="PreambelText"/>
        <w:spacing w:before="240" w:after="240"/>
        <w:rPr>
          <w:lang w:val="el" w:eastAsia="el"/>
        </w:rPr>
      </w:pPr>
      <w:r>
        <w:rPr>
          <w:lang w:val="el" w:eastAsia="el"/>
        </w:rPr>
        <w:t>(ΦΕΚ Α' 330/24-12-2002)</w:t>
      </w:r>
    </w:p>
    <w:p>
      <w:pPr>
        <w:pStyle w:val="PreambelText"/>
        <w:spacing w:before="240" w:after="240"/>
        <w:rPr>
          <w:lang w:val="el" w:eastAsia="el"/>
        </w:rPr>
      </w:pPr>
      <w:r>
        <w:rPr>
          <w:lang w:val="el" w:eastAsia="el"/>
        </w:rPr>
        <w:t>Απλουστεύσεις και βελτιώσεις στη φορολογία εισοδήματος και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Ειδικός φόρος επί των ακινήτων</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της παρ. 3 του άρθρου 51Α του Κ.Φ.Ε., που έχουν 1. Νομικά πρόσωπα και νομικές οντότητες της παρ.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Από την υποχρέωση της προηγούμενης παραγράφου εξαιρούνται, ανεξάρτητα από τη χώρα στην οποία έχουν την έδρα τους σύμφωνα με το καταστατικό τους: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τη συμπλήρωση δεκαετίας από την έκδοση της αρχικής οικοδομικής άδειας.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τις διατάξεις του α.ν. 89/1967 (ΦΕΚ 132 Α΄), όπως τροποποιήθηκε και συμπληρώθηκε με τον α.ν. 378/1968 (ΦΕΚ 82 Α΄), το Ν. 27/1975 (ΦΕΚ 77 Α΄), το Ν. 814/1978 (ΦΕΚ 144 Α΄) και το Ν. 2234/1994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 `Αγιο Όρος, το Πατριαρχείο Κωνσταντινουπόλεως, το Πατριαρχείο Αλεξανδρείας, το Πατριαρχείο Ιεροσολύμων και η Ορθόδοξη Εκκλησία της Αλβανίας.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διατίθεται αποδεδειγμένα για την εκπλήρωση αυτών των σκοπών, καθώς και για τα ακίνητα που αποδεδειγμένα είναι κενά ή δεν αποφέρουν κανένα εισόδημα.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Ανώνυμες εταιρείες,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στις διατάξεις του Ν. 3647/2008 (ΦΕΚ 37 Α΄), καθώς και τα ημεδαπά κληροδοτήματα με κοινωφελή σκοπό, τα ημεδαπά κοινωφελή ιδρύματα που εποπτεύονται από δημόσια αρχή και τα ημεδαπά σωματεία.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διαχείρισης ή/και παροχής συμβουλευτικών υπηρεσιών επί κεφαλαίων και αμοιβαίων κεφαλαίων, εταιρείες συλλογικών επενδύσεων σε ακίνητη περιουσία κλειστού τύπου, η καταστατική έδρα των οποίων δεν βρίσκεται σε μη συνεργάσιμο κράτος, όπως αυτό ορίζεται με τις διατάξεις του άρθρου 65 του Ν. 4172/2013 , 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περιπτώσεων α΄, β΄,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παραγράφου 4 του ίδιου άρθρου.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Η απόδειξη των νόμιμων προϋποθέσεων για την υπαγωγή του στις εξαιρέσεις των παραγράφων 2, 3 και 4 βαρύνει το πρόσωπο που τις επικαλείται.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επιβολής του ειδικού φόρου</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 2961/2001 . </w:t>
      </w:r>
    </w:p>
    <w:p>
      <w:pPr>
        <w:pStyle w:val="MainText"/>
        <w:spacing w:before="120" w:after="0"/>
        <w:rPr>
          <w:lang w:val="el" w:eastAsia="el"/>
        </w:rPr>
      </w:pPr>
      <w:r>
        <w:rPr>
          <w:b/>
          <w:bCs/>
          <w:lang w:val="el" w:eastAsia="el"/>
        </w:rPr>
        <w:t>3.</w:t>
      </w:r>
      <w:r>
        <w:rPr>
          <w:lang w:val="el" w:eastAsia="el"/>
        </w:rPr>
        <w:t xml:space="preserve"> Υποχρέωση υποβολής δήλωσης ειδικού φόρου επί των ακινήτων έχουν: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και τα νομικά πρόσωπα που είναι υπόχρεα στο φόρο σύμφωνα με το άρθρο 15 του νόμου αυτού.</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ίδιου νόμου.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 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 απόφαση του Υπουργού Οικονομίας και Οικονομικών μπορεί κάθε φορά να τροποποιείται η αρμοδιότητα που ορίζεται από το προηγούμενο εδάφιο.</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Η δήλωση υποβάλλεται μέχρι την 20ή Μαΐου του έτους φορολογίας. Για τον τρόπο υποβολής της δήλωσης εφαρμόζονται οι διατάξεις του άρθρου 68 του Ν. 2961/2001. Ο φόρος που αναλογεί καταβάλλεται εφάπαξ με την υποβολή της δήλωσης. Η δήλωση που υποβάλλεται χωρίς την καταβολή του φόρου θεωρείται απαράδεκτη και δεν παράγει έννομα αποτελέσματα.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Για την καταχώρηση των δηλώσεων που 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Για την επιβολή των πρόσθετων φόρων και προστίμων εφαρμόζονται οι διατάξεις των παραγράφων 1, 4, 5, 6, 7 και 8 του άρθρου 1, καθώς και των άρθρων 2, 4, 9, 15, 22, 23 και 24 του Ν. 2523/1997 (ΦΕΚ 179/Α΄), όπως ισχύουν.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καθορίζεται ο τύπος και το περιεχόμενο της δήλωσης, καθώς και κάθε άλλο θέμα που αφορά την εφαρμογή του άρθρου αυτού.</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ΑΠ.-ΑΘ. ΤΣΟΧΑΤΖΟΠΟΥΛΟΣ</w:t>
      </w:r>
    </w:p>
    <w:p>
      <w:pPr>
        <w:spacing w:before="240" w:after="240"/>
        <w:rPr>
          <w:lang w:val="el" w:eastAsia="el"/>
        </w:rPr>
      </w:pPr>
      <w:r>
        <w:rPr>
          <w:lang w:val="el" w:eastAsia="el"/>
        </w:rPr>
        <w:t>ΠΟΛΙΤΙΣΜΟΥ</w:t>
      </w:r>
    </w:p>
    <w:p>
      <w:pPr>
        <w:spacing w:before="240" w:after="240"/>
        <w:rPr>
          <w:lang w:val="el" w:eastAsia="el"/>
        </w:rPr>
      </w:pPr>
      <w:r>
        <w:rPr>
          <w:lang w:val="el" w:eastAsia="el"/>
        </w:rPr>
        <w:t>ΕΥΑΓΓ. ΒΕΝΙΖΕΛΟΣ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ΑΝΩΜΕΡΙΤΗΣ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7" w:history="1">
        <w:r>
          <w:rPr>
            <w:rStyle w:val="Hyperlink"/>
            <w:color w:val="0000EE"/>
            <w:u w:color="0000EE"/>
            <w:lang w:val="el" w:eastAsia="el"/>
          </w:rPr>
          <w:t>Τροποποίηση 3842/2010, Άρθρο 57</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7" w:history="1">
        <w:r>
          <w:rPr>
            <w:rStyle w:val="Hyperlink"/>
            <w:color w:val="0000EE"/>
            <w:u w:color="0000EE"/>
            <w:lang w:val="el" w:eastAsia="el"/>
          </w:rPr>
          <w:t>Τροποποίηση 3842/2010, Άρθρο 57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7" w:history="1">
        <w:r>
          <w:rPr>
            <w:rStyle w:val="Hyperlink"/>
            <w:color w:val="0000EE"/>
            <w:u w:color="0000EE"/>
            <w:lang w:val="el" w:eastAsia="el"/>
          </w:rPr>
          <w:t>Τροποποίηση 3842/2010, Άρθρο 57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7" w:history="1">
        <w:r>
          <w:rPr>
            <w:rStyle w:val="Hyperlink"/>
            <w:color w:val="0000EE"/>
            <w:u w:color="0000EE"/>
            <w:lang w:val="el" w:eastAsia="el"/>
          </w:rPr>
          <w:t>Τροποποίηση 3842/2010, Άρθρο 57</w:t>
        </w:r>
      </w:hyperlink>
      <w:r>
        <w:rPr>
          <w:lang w:val="el" w:eastAsia="el"/>
        </w:rPr>
        <w:t xml:space="preserve">; </w:t>
      </w:r>
      <w:hyperlink r:id="rId5" w:anchor="art_15" w:history="1">
        <w:r>
          <w:rPr>
            <w:rStyle w:val="Hyperlink"/>
            <w:color w:val="0000EE"/>
            <w:u w:color="0000EE"/>
            <w:lang w:val="el" w:eastAsia="el"/>
          </w:rPr>
          <w:t>Προσθήκη 3193/2003, Άρθρο 15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3943/2011, Άρθρο 24</w:t>
        </w:r>
      </w:hyperlink>
      <w:r>
        <w:rPr>
          <w:lang w:val="el" w:eastAsia="el"/>
        </w:rPr>
        <w:t xml:space="preserve">; </w:t>
      </w:r>
      <w:hyperlink r:id="rId7" w:anchor="art_57" w:history="1">
        <w:r>
          <w:rPr>
            <w:rStyle w:val="Hyperlink"/>
            <w:color w:val="0000EE"/>
            <w:u w:color="0000EE"/>
            <w:lang w:val="el" w:eastAsia="el"/>
          </w:rPr>
          <w:t>Τροποποίηση 3842/2010, Άρθρο 57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Τροποποίηση 3943/2011, Άρθρο 24</w:t>
        </w:r>
      </w:hyperlink>
      <w:r>
        <w:rPr>
          <w:lang w:val="el" w:eastAsia="el"/>
        </w:rPr>
        <w:t xml:space="preserve">; </w:t>
      </w:r>
      <w:hyperlink r:id="rId9" w:anchor="art_57" w:history="1">
        <w:r>
          <w:rPr>
            <w:rStyle w:val="Hyperlink"/>
            <w:color w:val="0000EE"/>
            <w:u w:color="0000EE"/>
            <w:lang w:val="el" w:eastAsia="el"/>
          </w:rPr>
          <w:t>Τροποποίηση 3842/2010, Άρθρο 57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7" w:history="1">
        <w:r>
          <w:rPr>
            <w:rStyle w:val="Hyperlink"/>
            <w:color w:val="0000EE"/>
            <w:u w:color="0000EE"/>
            <w:lang w:val="el" w:eastAsia="el"/>
          </w:rPr>
          <w:t>Τροποποίηση 3842/2010, Άρθρο 57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7" w:history="1">
        <w:r>
          <w:rPr>
            <w:rStyle w:val="Hyperlink"/>
            <w:color w:val="0000EE"/>
            <w:u w:color="0000EE"/>
            <w:lang w:val="el" w:eastAsia="el"/>
          </w:rPr>
          <w:t>Τροποποίηση 3842/2010, Άρθρο 57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7" w:history="1">
        <w:r>
          <w:rPr>
            <w:rStyle w:val="Hyperlink"/>
            <w:color w:val="0000EE"/>
            <w:u w:color="0000EE"/>
            <w:lang w:val="el" w:eastAsia="el"/>
          </w:rPr>
          <w:t>Τροποποίηση 3842/2010, Άρθρο 57</w:t>
        </w:r>
      </w:hyperlink>
      <w:r>
        <w:rPr>
          <w:lang w:val="el" w:eastAsia="el"/>
        </w:rPr>
        <w:t xml:space="preserve">; </w:t>
      </w:r>
      <w:hyperlink r:id="rId13" w:anchor="art_15" w:history="1">
        <w:r>
          <w:rPr>
            <w:rStyle w:val="Hyperlink"/>
            <w:color w:val="0000EE"/>
            <w:u w:color="0000EE"/>
            <w:lang w:val="el" w:eastAsia="el"/>
          </w:rPr>
          <w:t>Προσθήκη 3193/2003, Άρθρο 15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3" w:history="1">
        <w:r>
          <w:rPr>
            <w:rStyle w:val="Hyperlink"/>
            <w:color w:val="0000EE"/>
            <w:u w:color="0000EE"/>
            <w:lang w:val="el" w:eastAsia="el"/>
          </w:rPr>
          <w:t>Τροποποίηση 4223/2013,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Προσθήκη 4254/2014, Άρθρο 3</w:t>
        </w:r>
      </w:hyperlink>
      <w:r>
        <w:rPr>
          <w:lang w:val="el" w:eastAsia="el"/>
        </w:rPr>
        <w:t xml:space="preserve">; </w:t>
      </w:r>
      <w:hyperlink r:id="rId16" w:anchor="art_57" w:history="1">
        <w:r>
          <w:rPr>
            <w:rStyle w:val="Hyperlink"/>
            <w:color w:val="0000EE"/>
            <w:u w:color="0000EE"/>
            <w:lang w:val="el" w:eastAsia="el"/>
          </w:rPr>
          <w:t>Τροποποίηση 3842/2010, Άρθρο 57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7" w:history="1">
        <w:r>
          <w:rPr>
            <w:rStyle w:val="Hyperlink"/>
            <w:color w:val="0000EE"/>
            <w:u w:color="0000EE"/>
            <w:lang w:val="el" w:eastAsia="el"/>
          </w:rPr>
          <w:t>Τροποποίηση 3842/2010, Άρθρο 57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7" w:history="1">
        <w:r>
          <w:rPr>
            <w:rStyle w:val="Hyperlink"/>
            <w:color w:val="0000EE"/>
            <w:u w:color="0000EE"/>
            <w:lang w:val="el" w:eastAsia="el"/>
          </w:rPr>
          <w:t>Τροποποίηση 3842/2010, Άρθρο 57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7" w:history="1">
        <w:r>
          <w:rPr>
            <w:rStyle w:val="Hyperlink"/>
            <w:color w:val="0000EE"/>
            <w:u w:color="0000EE"/>
            <w:lang w:val="el" w:eastAsia="el"/>
          </w:rPr>
          <w:t>Τροποποίηση 3842/2010, Άρθρο 57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7" w:history="1">
        <w:r>
          <w:rPr>
            <w:rStyle w:val="Hyperlink"/>
            <w:color w:val="0000EE"/>
            <w:u w:color="0000EE"/>
            <w:lang w:val="el" w:eastAsia="el"/>
          </w:rPr>
          <w:t>Τροποποίηση 3842/2010, Άρθρο 57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7" w:history="1">
        <w:r>
          <w:rPr>
            <w:rStyle w:val="Hyperlink"/>
            <w:color w:val="0000EE"/>
            <w:u w:color="0000EE"/>
            <w:lang w:val="el" w:eastAsia="el"/>
          </w:rPr>
          <w:t>Τροποποίηση 3842/2010, Άρθρο 57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3" w:history="1">
        <w:r>
          <w:rPr>
            <w:rStyle w:val="Hyperlink"/>
            <w:color w:val="0000EE"/>
            <w:u w:color="0000EE"/>
            <w:lang w:val="el" w:eastAsia="el"/>
          </w:rPr>
          <w:t>Τροποποίηση 4223/2013, Άρθρο 33</w:t>
        </w:r>
      </w:hyperlink>
      <w:r>
        <w:rPr>
          <w:lang w:val="el" w:eastAsia="el"/>
        </w:rPr>
        <w:t xml:space="preserve">; </w:t>
      </w:r>
      <w:hyperlink r:id="rId23" w:anchor="art_24" w:history="1">
        <w:r>
          <w:rPr>
            <w:rStyle w:val="Hyperlink"/>
            <w:color w:val="0000EE"/>
            <w:u w:color="0000EE"/>
            <w:lang w:val="el" w:eastAsia="el"/>
          </w:rPr>
          <w:t>Προσθήκη 3943/2011, Άρθρο 24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7" w:history="1">
        <w:r>
          <w:rPr>
            <w:rStyle w:val="Hyperlink"/>
            <w:color w:val="0000EE"/>
            <w:u w:color="0000EE"/>
            <w:lang w:val="el" w:eastAsia="el"/>
          </w:rPr>
          <w:t>Τροποποίηση 3842/2010,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3" w:history="1">
        <w:r>
          <w:rPr>
            <w:rStyle w:val="Hyperlink"/>
            <w:color w:val="0000EE"/>
            <w:u w:color="0000EE"/>
            <w:lang w:val="el" w:eastAsia="el"/>
          </w:rPr>
          <w:t>Τροποποίηση 4223/2013, Άρθρο 33</w:t>
        </w:r>
      </w:hyperlink>
      <w:r>
        <w:rPr>
          <w:lang w:val="el" w:eastAsia="el"/>
        </w:rPr>
        <w:t xml:space="preserve">; </w:t>
      </w:r>
      <w:hyperlink r:id="rId26" w:anchor="art_33" w:history="1">
        <w:r>
          <w:rPr>
            <w:rStyle w:val="Hyperlink"/>
            <w:color w:val="0000EE"/>
            <w:u w:color="0000EE"/>
            <w:lang w:val="el" w:eastAsia="el"/>
          </w:rPr>
          <w:t>Τροποποίηση 4223/2013, Άρθρο 33</w:t>
        </w:r>
      </w:hyperlink>
      <w:r>
        <w:rPr>
          <w:lang w:val="el" w:eastAsia="el"/>
        </w:rPr>
        <w:t xml:space="preserve">; </w:t>
      </w:r>
      <w:hyperlink r:id="rId27" w:anchor="art_24" w:history="1">
        <w:r>
          <w:rPr>
            <w:rStyle w:val="Hyperlink"/>
            <w:color w:val="0000EE"/>
            <w:u w:color="0000EE"/>
            <w:lang w:val="el" w:eastAsia="el"/>
          </w:rPr>
          <w:t>Τροποποίηση 3943/2011, Άρθρο 24</w:t>
        </w:r>
      </w:hyperlink>
      <w:r>
        <w:rPr>
          <w:lang w:val="el" w:eastAsia="el"/>
        </w:rPr>
        <w:t xml:space="preserve">; </w:t>
      </w:r>
      <w:hyperlink r:id="rId28" w:anchor="art_57" w:history="1">
        <w:r>
          <w:rPr>
            <w:rStyle w:val="Hyperlink"/>
            <w:color w:val="0000EE"/>
            <w:u w:color="0000EE"/>
            <w:lang w:val="el" w:eastAsia="el"/>
          </w:rPr>
          <w:t>Τροποποίηση 3842/2010, Άρθρο 57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3" w:history="1">
        <w:r>
          <w:rPr>
            <w:rStyle w:val="Hyperlink"/>
            <w:color w:val="0000EE"/>
            <w:u w:color="0000EE"/>
            <w:lang w:val="el" w:eastAsia="el"/>
          </w:rPr>
          <w:t>Τροποποίηση 4223/2013, Άρθρο 33</w:t>
        </w:r>
      </w:hyperlink>
      <w:r>
        <w:rPr>
          <w:lang w:val="el" w:eastAsia="el"/>
        </w:rPr>
        <w:t xml:space="preserve">; </w:t>
      </w:r>
      <w:hyperlink r:id="rId30" w:anchor="art_57" w:history="1">
        <w:r>
          <w:rPr>
            <w:rStyle w:val="Hyperlink"/>
            <w:color w:val="0000EE"/>
            <w:u w:color="0000EE"/>
            <w:lang w:val="el" w:eastAsia="el"/>
          </w:rPr>
          <w:t>Τροποποίηση 3842/2010,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7" w:history="1">
        <w:r>
          <w:rPr>
            <w:rStyle w:val="Hyperlink"/>
            <w:color w:val="0000EE"/>
            <w:u w:color="0000EE"/>
            <w:lang w:val="el" w:eastAsia="el"/>
          </w:rPr>
          <w:t>Τροποποίηση 3842/2010, Άρθρο 57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5" w:history="1">
        <w:r>
          <w:rPr>
            <w:rStyle w:val="Hyperlink"/>
            <w:color w:val="0000EE"/>
            <w:u w:color="0000EE"/>
            <w:lang w:val="el" w:eastAsia="el"/>
          </w:rPr>
          <w:t>Τροποποίηση 3610/2007, Άρθρο 25</w:t>
        </w:r>
      </w:hyperlink>
      <w:r>
        <w:rPr>
          <w:lang w:val="el" w:eastAsia="el"/>
        </w:rPr>
        <w:t xml:space="preserve">; </w:t>
      </w:r>
      <w:hyperlink r:id="rId33" w:anchor="art_15" w:history="1">
        <w:r>
          <w:rPr>
            <w:rStyle w:val="Hyperlink"/>
            <w:color w:val="0000EE"/>
            <w:u w:color="0000EE"/>
            <w:lang w:val="el" w:eastAsia="el"/>
          </w:rPr>
          <w:t>Προσθήκη 3193/2003, Άρθρο 15</w:t>
        </w:r>
      </w:hyperlink>
      <w:r>
        <w:rPr>
          <w:lang w:val="el" w:eastAsia="el"/>
        </w:rPr>
        <w:t xml:space="preserve">; </w:t>
      </w:r>
      <w:hyperlink r:id="rId34" w:anchor="art_15" w:history="1">
        <w:r>
          <w:rPr>
            <w:rStyle w:val="Hyperlink"/>
            <w:color w:val="0000EE"/>
            <w:u w:color="0000EE"/>
            <w:lang w:val="el" w:eastAsia="el"/>
          </w:rPr>
          <w:t>Προσθήκη 3193/2003, Άρθρο 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3" w:history="1">
        <w:r>
          <w:rPr>
            <w:rStyle w:val="Hyperlink"/>
            <w:color w:val="0000EE"/>
            <w:u w:color="0000EE"/>
            <w:lang w:val="el" w:eastAsia="el"/>
          </w:rPr>
          <w:t>Τροποποίηση 4223/2013, Άρθρο 33</w:t>
        </w:r>
      </w:hyperlink>
      <w:r>
        <w:rPr>
          <w:lang w:val="el" w:eastAsia="el"/>
        </w:rPr>
        <w:t xml:space="preserve">; </w:t>
      </w:r>
      <w:hyperlink r:id="rId36" w:anchor="art_57" w:history="1">
        <w:r>
          <w:rPr>
            <w:rStyle w:val="Hyperlink"/>
            <w:color w:val="0000EE"/>
            <w:u w:color="0000EE"/>
            <w:lang w:val="el" w:eastAsia="el"/>
          </w:rPr>
          <w:t>Τροποποίηση 3842/2010, Άρθρο 57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7" w:history="1">
        <w:r>
          <w:rPr>
            <w:rStyle w:val="Hyperlink"/>
            <w:color w:val="0000EE"/>
            <w:u w:color="0000EE"/>
            <w:lang w:val="el" w:eastAsia="el"/>
          </w:rPr>
          <w:t>Τροποποίηση 3842/2010,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7" w:history="1">
        <w:r>
          <w:rPr>
            <w:rStyle w:val="Hyperlink"/>
            <w:color w:val="0000EE"/>
            <w:u w:color="0000EE"/>
            <w:lang w:val="el" w:eastAsia="el"/>
          </w:rPr>
          <w:t>Τροποποίηση 3842/2010, Άρθρο 57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7" w:history="1">
        <w:r>
          <w:rPr>
            <w:rStyle w:val="Hyperlink"/>
            <w:color w:val="0000EE"/>
            <w:u w:color="0000EE"/>
            <w:lang w:val="el" w:eastAsia="el"/>
          </w:rPr>
          <w:t>Τροποποίηση 3842/2010, Άρθρο 57</w:t>
        </w:r>
      </w:hyperlink>
      <w:r>
        <w:rPr>
          <w:lang w:val="el" w:eastAsia="el"/>
        </w:rPr>
        <w:t xml:space="preserve">; </w:t>
      </w:r>
      <w:hyperlink r:id="rId40" w:anchor="art_15" w:history="1">
        <w:r>
          <w:rPr>
            <w:rStyle w:val="Hyperlink"/>
            <w:color w:val="0000EE"/>
            <w:u w:color="0000EE"/>
            <w:lang w:val="el" w:eastAsia="el"/>
          </w:rPr>
          <w:t>Προσθήκη 3193/2003, Άρθρο 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Τροποποίηση 3842/2010, Άρθρο 57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Προσθήκη 3842/2010,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7" w:history="1">
        <w:r>
          <w:rPr>
            <w:rStyle w:val="Hyperlink"/>
            <w:color w:val="0000EE"/>
            <w:u w:color="0000EE"/>
            <w:lang w:val="el" w:eastAsia="el"/>
          </w:rPr>
          <w:t>Προσθήκη 3842/2010, Άρθρο 57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7" w:history="1">
        <w:r>
          <w:rPr>
            <w:rStyle w:val="Hyperlink"/>
            <w:color w:val="0000EE"/>
            <w:u w:color="0000EE"/>
            <w:lang w:val="el" w:eastAsia="el"/>
          </w:rPr>
          <w:t>Προσθήκη 3842/2010, Άρθρο 57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7" w:history="1">
        <w:r>
          <w:rPr>
            <w:rStyle w:val="Hyperlink"/>
            <w:color w:val="0000EE"/>
            <w:u w:color="0000EE"/>
            <w:lang w:val="el" w:eastAsia="el"/>
          </w:rPr>
          <w:t>Προσθήκη 3842/2010, Άρθρο 57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7" w:history="1">
        <w:r>
          <w:rPr>
            <w:rStyle w:val="Hyperlink"/>
            <w:color w:val="0000EE"/>
            <w:u w:color="0000EE"/>
            <w:lang w:val="el" w:eastAsia="el"/>
          </w:rPr>
          <w:t>Προσθήκη 3842/2010, Άρθρο 57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7" w:history="1">
        <w:r>
          <w:rPr>
            <w:rStyle w:val="Hyperlink"/>
            <w:color w:val="0000EE"/>
            <w:u w:color="0000EE"/>
            <w:lang w:val="el" w:eastAsia="el"/>
          </w:rPr>
          <w:t>Τροποποίηση 3842/2010, Άρθρο 57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7" w:history="1">
        <w:r>
          <w:rPr>
            <w:rStyle w:val="Hyperlink"/>
            <w:color w:val="0000EE"/>
            <w:u w:color="0000EE"/>
            <w:lang w:val="el" w:eastAsia="el"/>
          </w:rPr>
          <w:t>Τροποποίηση 3842/2010, Άρθρο 57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7" w:history="1">
        <w:r>
          <w:rPr>
            <w:rStyle w:val="Hyperlink"/>
            <w:color w:val="0000EE"/>
            <w:u w:color="0000EE"/>
            <w:lang w:val="el" w:eastAsia="el"/>
          </w:rPr>
          <w:t>Τροποποίηση 3842/2010, Άρθρο 57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7" w:history="1">
        <w:r>
          <w:rPr>
            <w:rStyle w:val="Hyperlink"/>
            <w:color w:val="0000EE"/>
            <w:u w:color="0000EE"/>
            <w:lang w:val="el" w:eastAsia="el"/>
          </w:rPr>
          <w:t>Τροποποίηση 3842/2010, Άρθρο 57</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7" w:history="1">
        <w:r>
          <w:rPr>
            <w:rStyle w:val="Hyperlink"/>
            <w:color w:val="0000EE"/>
            <w:u w:color="0000EE"/>
            <w:lang w:val="el" w:eastAsia="el"/>
          </w:rPr>
          <w:t>Τροποποίηση 3842/2010, Άρθρο 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03/11/20/319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0/04/23/3842"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1/03/31/3943"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1/03/31/394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0/04/23/3842"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11/22/3610" TargetMode="External" /><Relationship Id="rId33" Type="http://schemas.openxmlformats.org/officeDocument/2006/relationships/hyperlink" Target="http://data.aade.gr/eli/pri/law/2003/11/20/3193"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0/04/23/3842" TargetMode="External" /><Relationship Id="rId40" Type="http://schemas.openxmlformats.org/officeDocument/2006/relationships/hyperlink" Target="http://data.aade.gr/eli/pri/law/2003/11/20/319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3/11/20/319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6" Type="http://schemas.openxmlformats.org/officeDocument/2006/relationships/hyperlink" Target="http://data.aade.gr/eli/pri/law/2011/03/31/394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