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 στ) 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 Στην περίπτωση αυτή εμπίπτει και το Κοινωφελές Ίδρυμα «Αλέξανδρος Σ. Ωνάσης», καθώς και οι εταιρείες των οποίων κατέχει το σύνολο των μετοχών, για ακίνητα που ιδιοχρησιμοποιούνται αποκλειστικά και αποδεδειγμένα για κοινωφελείς, εκπαιδευτικούς, θρησκευτικούς ή πολιτιστικούς σκοπούς στην Ελλάδα, για ακίνητα που εκμεταλλεύονται, εφόσον το προϊόν της εκμετάλλευσης διατίθεται αποδεδειγμένα για την εκπλήρωση αυτών των σκοπών στην Ελλάδα, καθώς και για τα ακίνητα που είναι αποδεδειγμένα κενά.</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διαχείρισης ή/και παροχής συμβουλευτικών υπηρεσιών επί κεφαλαίων και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του άρθρου 65 του Ν. 4172/2013 ,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lang w:val="el" w:eastAsia="el"/>
        </w:rPr>
        <w:t xml:space="preserve"> Οι εξαιρέσεις των περιπτώσεων α΄, β΄ και γ΄ της παραγράφου 3 εφαρμόζονται και στην περίπτωση που τα φυσικά πρόσωπα, τα οποία κατέχουν τις μετοχές, μερίδια ή μερίδες εταιρειών με καταστατική έδρα στην Ελλάδα ή σε άλλο κράτος-μέλος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οι οποίες είχαν αποκτήσει ακίνητα μέχρι και την 31 η Δεκεμβρίου 2009, υπό την προϋπόθεση ότι τα φυσικό πρόσωπα ήταν, κατά το χρόνο φορολογίας, φορολογικοί κάτοικοι κρατών-μελών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 και διέθεταν αριθμό φορολογικού μητρώου του κράτους αυτού. Οι διατάξεις του προηγούμενου εδαφίου εφαρμόζονται εφόσον τα πρόσωπα αυτά απέκτησαν αριθμό φορολογικού μητρώου στην Ελλάδα μετά το χρόνο φορολογίας και σε κάθε περίπτωση εντός μηνός από τη δημοσίευση του παρόντος στην Εφημερίδα της Κυβερνήσεως.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9.</w:t>
      </w:r>
      <w:r>
        <w:rPr>
          <w:lang w:val="el" w:eastAsia="el"/>
        </w:rPr>
        <w:t xml:space="preserve"> Με απόφαση του Γενικού Γραμματέα Δημοσίων Εσόδων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3943/2011, Άρθρο 24</w:t>
        </w:r>
      </w:hyperlink>
      <w:r>
        <w:rPr>
          <w:lang w:val="el" w:eastAsia="el"/>
        </w:rPr>
        <w:t xml:space="preserve">; </w:t>
      </w:r>
      <w:hyperlink r:id="rId7"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3943/2011, Άρθρο 24</w:t>
        </w:r>
      </w:hyperlink>
      <w:r>
        <w:rPr>
          <w:lang w:val="el" w:eastAsia="el"/>
        </w:rPr>
        <w:t xml:space="preserve">; </w:t>
      </w:r>
      <w:hyperlink r:id="rId9"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r>
        <w:rPr>
          <w:lang w:val="el" w:eastAsia="el"/>
        </w:rPr>
        <w:t xml:space="preserve">; </w:t>
      </w:r>
      <w:hyperlink r:id="rId12" w:anchor="art_15" w:history="1">
        <w:r>
          <w:rPr>
            <w:rStyle w:val="Hyperlink"/>
            <w:color w:val="0000EE"/>
            <w:u w:color="0000EE"/>
            <w:lang w:val="el" w:eastAsia="el"/>
          </w:rPr>
          <w:t>Προσθήκη 3193/2003, Άρθρο 15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4600/2019, Άρθρο 153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Προσθήκη 4254/2014, Άρθρο 3</w:t>
        </w:r>
      </w:hyperlink>
      <w:r>
        <w:rPr>
          <w:lang w:val="el" w:eastAsia="el"/>
        </w:rPr>
        <w:t xml:space="preserve">; </w:t>
      </w:r>
      <w:hyperlink r:id="rId15"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3" w:history="1">
        <w:r>
          <w:rPr>
            <w:rStyle w:val="Hyperlink"/>
            <w:color w:val="0000EE"/>
            <w:u w:color="0000EE"/>
            <w:lang w:val="el" w:eastAsia="el"/>
          </w:rPr>
          <w:t>Τροποποίηση 4223/2013, Άρθρο 33</w:t>
        </w:r>
      </w:hyperlink>
      <w:r>
        <w:rPr>
          <w:lang w:val="el" w:eastAsia="el"/>
        </w:rPr>
        <w:t xml:space="preserve">; </w:t>
      </w:r>
      <w:hyperlink r:id="rId22" w:anchor="art_24" w:history="1">
        <w:r>
          <w:rPr>
            <w:rStyle w:val="Hyperlink"/>
            <w:color w:val="0000EE"/>
            <w:u w:color="0000EE"/>
            <w:lang w:val="el" w:eastAsia="el"/>
          </w:rPr>
          <w:t>Προσθήκη 3943/2011, Άρθρο 24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3" w:history="1">
        <w:r>
          <w:rPr>
            <w:rStyle w:val="Hyperlink"/>
            <w:color w:val="0000EE"/>
            <w:u w:color="0000EE"/>
            <w:lang w:val="el" w:eastAsia="el"/>
          </w:rPr>
          <w:t>Τροποποίηση 4223/2013, Άρθρο 33</w:t>
        </w:r>
      </w:hyperlink>
      <w:r>
        <w:rPr>
          <w:lang w:val="el" w:eastAsia="el"/>
        </w:rPr>
        <w:t xml:space="preserve">; </w:t>
      </w:r>
      <w:hyperlink r:id="rId25" w:anchor="art_33" w:history="1">
        <w:r>
          <w:rPr>
            <w:rStyle w:val="Hyperlink"/>
            <w:color w:val="0000EE"/>
            <w:u w:color="0000EE"/>
            <w:lang w:val="el" w:eastAsia="el"/>
          </w:rPr>
          <w:t>Τροποποίηση 4223/2013, Άρθρο 33</w:t>
        </w:r>
      </w:hyperlink>
      <w:r>
        <w:rPr>
          <w:lang w:val="el" w:eastAsia="el"/>
        </w:rPr>
        <w:t xml:space="preserve">; </w:t>
      </w:r>
      <w:hyperlink r:id="rId26" w:anchor="art_24" w:history="1">
        <w:r>
          <w:rPr>
            <w:rStyle w:val="Hyperlink"/>
            <w:color w:val="0000EE"/>
            <w:u w:color="0000EE"/>
            <w:lang w:val="el" w:eastAsia="el"/>
          </w:rPr>
          <w:t>Τροποποίηση 3943/2011, Άρθρο 24</w:t>
        </w:r>
      </w:hyperlink>
      <w:r>
        <w:rPr>
          <w:lang w:val="el" w:eastAsia="el"/>
        </w:rPr>
        <w:t xml:space="preserve">; </w:t>
      </w:r>
      <w:hyperlink r:id="rId27"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3" w:history="1">
        <w:r>
          <w:rPr>
            <w:rStyle w:val="Hyperlink"/>
            <w:color w:val="0000EE"/>
            <w:u w:color="0000EE"/>
            <w:lang w:val="el" w:eastAsia="el"/>
          </w:rPr>
          <w:t>Τροποποίηση 4223/2013, Άρθρο 33</w:t>
        </w:r>
      </w:hyperlink>
      <w:r>
        <w:rPr>
          <w:lang w:val="el" w:eastAsia="el"/>
        </w:rPr>
        <w:t xml:space="preserve">; </w:t>
      </w:r>
      <w:hyperlink r:id="rId29"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5" w:history="1">
        <w:r>
          <w:rPr>
            <w:rStyle w:val="Hyperlink"/>
            <w:color w:val="0000EE"/>
            <w:u w:color="0000EE"/>
            <w:lang w:val="el" w:eastAsia="el"/>
          </w:rPr>
          <w:t>Τροποποίηση 3610/2007, Άρθρο 25</w:t>
        </w:r>
      </w:hyperlink>
      <w:r>
        <w:rPr>
          <w:lang w:val="el" w:eastAsia="el"/>
        </w:rPr>
        <w:t xml:space="preserve">; </w:t>
      </w:r>
      <w:hyperlink r:id="rId32" w:anchor="art_15" w:history="1">
        <w:r>
          <w:rPr>
            <w:rStyle w:val="Hyperlink"/>
            <w:color w:val="0000EE"/>
            <w:u w:color="0000EE"/>
            <w:lang w:val="el" w:eastAsia="el"/>
          </w:rPr>
          <w:t>Προσθήκη 3193/2003, Άρθρο 15</w:t>
        </w:r>
      </w:hyperlink>
      <w:r>
        <w:rPr>
          <w:lang w:val="el" w:eastAsia="el"/>
        </w:rPr>
        <w:t xml:space="preserve">; </w:t>
      </w:r>
      <w:hyperlink r:id="rId33" w:anchor="art_15" w:history="1">
        <w:r>
          <w:rPr>
            <w:rStyle w:val="Hyperlink"/>
            <w:color w:val="0000EE"/>
            <w:u w:color="0000EE"/>
            <w:lang w:val="el" w:eastAsia="el"/>
          </w:rPr>
          <w:t>Προσθήκη 3193/2003, Άρθρο 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3" w:history="1">
        <w:r>
          <w:rPr>
            <w:rStyle w:val="Hyperlink"/>
            <w:color w:val="0000EE"/>
            <w:u w:color="0000EE"/>
            <w:lang w:val="el" w:eastAsia="el"/>
          </w:rPr>
          <w:t>Τροποποίηση 4223/2013, Άρθρο 33</w:t>
        </w:r>
      </w:hyperlink>
      <w:r>
        <w:rPr>
          <w:lang w:val="el" w:eastAsia="el"/>
        </w:rPr>
        <w:t xml:space="preserve">; </w:t>
      </w:r>
      <w:hyperlink r:id="rId35" w:anchor="art_57" w:history="1">
        <w:r>
          <w:rPr>
            <w:rStyle w:val="Hyperlink"/>
            <w:color w:val="0000EE"/>
            <w:u w:color="0000EE"/>
            <w:lang w:val="el" w:eastAsia="el"/>
          </w:rPr>
          <w:t>Τροποποίηση 3842/2010, Άρθρο 57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Τροποποίηση 3842/2010, Άρθρο 57</w:t>
        </w:r>
      </w:hyperlink>
      <w:r>
        <w:rPr>
          <w:lang w:val="el" w:eastAsia="el"/>
        </w:rPr>
        <w:t xml:space="preserve">; </w:t>
      </w:r>
      <w:hyperlink r:id="rId39" w:anchor="art_15" w:history="1">
        <w:r>
          <w:rPr>
            <w:rStyle w:val="Hyperlink"/>
            <w:color w:val="0000EE"/>
            <w:u w:color="0000EE"/>
            <w:lang w:val="el" w:eastAsia="el"/>
          </w:rPr>
          <w:t>Προσθήκη 3193/2003, Άρθρο 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2" w:history="1">
        <w:r>
          <w:rPr>
            <w:rStyle w:val="Hyperlink"/>
            <w:color w:val="0000EE"/>
            <w:u w:color="0000EE"/>
            <w:lang w:val="el" w:eastAsia="el"/>
          </w:rPr>
          <w:t>Τροποποίηση 4446/2016, Άρθρο 102</w:t>
        </w:r>
      </w:hyperlink>
      <w:r>
        <w:rPr>
          <w:lang w:val="el" w:eastAsia="el"/>
        </w:rPr>
        <w:t xml:space="preserve">; </w:t>
      </w:r>
      <w:hyperlink r:id="rId41" w:anchor="art_57" w:history="1">
        <w:r>
          <w:rPr>
            <w:rStyle w:val="Hyperlink"/>
            <w:color w:val="0000EE"/>
            <w:u w:color="0000EE"/>
            <w:lang w:val="el" w:eastAsia="el"/>
          </w:rPr>
          <w:t>Τροποποίηση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2" w:history="1">
        <w:r>
          <w:rPr>
            <w:rStyle w:val="Hyperlink"/>
            <w:color w:val="0000EE"/>
            <w:u w:color="0000EE"/>
            <w:lang w:val="el" w:eastAsia="el"/>
          </w:rPr>
          <w:t>Προσθήκη 4446/2016, Άρθρο 102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Προσθήκη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7" w:history="1">
        <w:r>
          <w:rPr>
            <w:rStyle w:val="Hyperlink"/>
            <w:color w:val="0000EE"/>
            <w:u w:color="0000EE"/>
            <w:lang w:val="el" w:eastAsia="el"/>
          </w:rPr>
          <w:t>Τροποποίηση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7" w:history="1">
        <w:r>
          <w:rPr>
            <w:rStyle w:val="Hyperlink"/>
            <w:color w:val="0000EE"/>
            <w:u w:color="0000EE"/>
            <w:lang w:val="el" w:eastAsia="el"/>
          </w:rPr>
          <w:t>Τροποποίηση 3842/2010, Άρθρο 57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03/11/20/319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1/03/31/3943"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7/11/22/3610" TargetMode="External" /><Relationship Id="rId32" Type="http://schemas.openxmlformats.org/officeDocument/2006/relationships/hyperlink" Target="http://data.aade.gr/eli/pri/law/2003/11/20/3193"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03/11/20/3193"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16/12/22/4446"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6/12/22/4446"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