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Ειδικά η δήλωση για κάθε σύσταση, απόκτηση και κάθε άλλη μεταβολή από την 1η Ιανουαρίου 2014 μέχρι και τη 31η Μαϊου 2014 υποβάλλεται μέχρι και την 30ή Ιουνίου 2014.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Προσθήκη 3634/2008,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3" w:history="1">
        <w:r>
          <w:rPr>
            <w:rStyle w:val="Hyperlink"/>
            <w:color w:val="0000EE"/>
            <w:u w:color="0000EE"/>
            <w:lang w:val="el" w:eastAsia="el"/>
          </w:rPr>
          <w:t>Τροποποίηση 4274/2014, Άρθρο 53</w:t>
        </w:r>
      </w:hyperlink>
      <w:r>
        <w:rPr>
          <w:lang w:val="el" w:eastAsia="el"/>
        </w:rPr>
        <w:t xml:space="preserve">; </w:t>
      </w:r>
      <w:hyperlink r:id="rId11" w:anchor="art_3" w:history="1">
        <w:r>
          <w:rPr>
            <w:rStyle w:val="Hyperlink"/>
            <w:color w:val="0000EE"/>
            <w:u w:color="0000EE"/>
            <w:lang w:val="el" w:eastAsia="el"/>
          </w:rPr>
          <w:t>Τροποποίηση 4254/2014, Άρθρο 3</w:t>
        </w:r>
      </w:hyperlink>
      <w:r>
        <w:rPr>
          <w:lang w:val="el" w:eastAsia="el"/>
        </w:rPr>
        <w:t xml:space="preserve">; </w:t>
      </w:r>
      <w:hyperlink r:id="rId12" w:anchor="art_51" w:history="1">
        <w:r>
          <w:rPr>
            <w:rStyle w:val="Hyperlink"/>
            <w:color w:val="0000EE"/>
            <w:u w:color="0000EE"/>
            <w:lang w:val="el" w:eastAsia="el"/>
          </w:rPr>
          <w:t>Προσθήκη 3842/2010, Άρθρο 51</w:t>
        </w:r>
      </w:hyperlink>
      <w:r>
        <w:rPr>
          <w:lang w:val="el" w:eastAsia="el"/>
        </w:rPr>
        <w:t xml:space="preserve">; </w:t>
      </w:r>
      <w:hyperlink r:id="rId13" w:anchor="art_7" w:history="1">
        <w:r>
          <w:rPr>
            <w:rStyle w:val="Hyperlink"/>
            <w:color w:val="0000EE"/>
            <w:u w:color="0000EE"/>
            <w:lang w:val="el" w:eastAsia="el"/>
          </w:rPr>
          <w:t>Τροποποίηση 3763/2009, Άρθρο 7</w:t>
        </w:r>
      </w:hyperlink>
      <w:r>
        <w:rPr>
          <w:lang w:val="el" w:eastAsia="el"/>
        </w:rPr>
        <w:t xml:space="preserve">; </w:t>
      </w:r>
      <w:hyperlink r:id="rId14" w:anchor="art_20" w:history="1">
        <w:r>
          <w:rPr>
            <w:rStyle w:val="Hyperlink"/>
            <w:color w:val="0000EE"/>
            <w:u w:color="0000EE"/>
            <w:lang w:val="el" w:eastAsia="el"/>
          </w:rPr>
          <w:t>Τροποποίηση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Τροποποίηση 3842/2010, Άρθρο 51</w:t>
        </w:r>
      </w:hyperlink>
      <w:r>
        <w:rPr>
          <w:lang w:val="el" w:eastAsia="el"/>
        </w:rPr>
        <w:t xml:space="preserve">; </w:t>
      </w:r>
      <w:hyperlink r:id="rId17"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4002/2011,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3943/2011, Άρθρο 24</w:t>
        </w:r>
      </w:hyperlink>
      <w:r>
        <w:rPr>
          <w:lang w:val="el" w:eastAsia="el"/>
        </w:rPr>
        <w:t xml:space="preserve">; </w:t>
      </w:r>
      <w:hyperlink r:id="rId32"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14/4274"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9/05/27/3763"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08/01/29/363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1/08/22/400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1/03/31/3943"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