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 Φυσικά πρόσωπα, τα οποία κατά την 1.1.2013 έχουν εμπράγματα δικαιώματα σε γήπεδα εκτός σχεδίου πόλης ή οικισμού, υποχρεούνται να ελέγξουν ηλεκτρονικά μέχρι 30.6.2013 την περιουσιακή τους κατάσταση, όπως αυτή εμφανίζεται στην ιστοσελίδα της Γενικής Γραμματείας Πληροφοριακών Συστημάτων, προκειμένου να τη συμπληρώσουν, τροποποιήσουν και οριστικοποιήσουν. Νομικά πρόσωπα, τα οποία κατά την 1.1.2013 έχουν εμπράγματα δικαιώματα σε ακίνητα, υποχρεούνται σε ηλεκτρονική υποβολή δήλωσης στοιχείων ακινήτων μέχρι 30.6.2013, στην οποία θα περιλαμβάνεται η περιουσιακή τους κατάσταση, όπως είναι διαμορφωμένη κατά την 1.1.2013.</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Από το έτος 2012 και επόμενα η δήλωση στοιχείων ακινήτων υποβάλλεται ατομικά από κάθε φυσικό πρόσωπο, στο έτος που προκύπτει τέτοια υποχρέωση. Για την ακίνητη περιουσία των προστατευομένων, κατά τις διατάξεις του άρθρου 7 του Κώδικα Φορολογίας Εισοδήματος , ανήλικων τέκνων, η δήλωση υποβάλλεται από τον υπόχρεο γονέα στο όνομα του τέκνου.</w:t>
      </w:r>
    </w:p>
    <w:p>
      <w:pPr>
        <w:spacing w:before="240" w:after="240"/>
        <w:rPr>
          <w:lang w:val="el" w:eastAsia="el"/>
        </w:rPr>
      </w:pPr>
      <w:r>
        <w:rPr>
          <w:lang w:val="el" w:eastAsia="el"/>
        </w:rPr>
        <w:t>Τα ακίνητα ή τα εμπράγματα δικαιώματα σε αυτά,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ε)</w:t>
      </w:r>
      <w:r>
        <w:rPr>
          <w:lang w:val="en" w:eastAsia="en"/>
        </w:rPr>
        <w:tab/>
      </w:r>
      <w:r>
        <w:rPr>
          <w:lang w:val="el" w:eastAsia="el"/>
        </w:rPr>
        <w:t>από όσους έχουν αποκτήσει ακίνητο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επίδικων ακινήτων,</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στις περιπτώσεις σύνταξης προσυμφώνου με αυτοσύμβαση, με εξαίρεση τα εργολαβικά προσύμφωνα,</w:t>
      </w:r>
    </w:p>
    <w:p>
      <w:pPr>
        <w:pStyle w:val="StructureList1"/>
        <w:spacing w:before="120" w:after="0"/>
        <w:rPr>
          <w:lang w:val="el" w:eastAsia="el"/>
        </w:rPr>
      </w:pPr>
      <w:r>
        <w:rPr>
          <w:lang w:val="el" w:eastAsia="el"/>
        </w:rPr>
        <w:t>η)</w:t>
      </w:r>
      <w:r>
        <w:rPr>
          <w:lang w:val="en" w:eastAsia="en"/>
        </w:rPr>
        <w:tab/>
      </w:r>
      <w:r>
        <w:rPr>
          <w:lang w:val="el" w:eastAsia="el"/>
        </w:rPr>
        <w:t>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θ)</w:t>
      </w:r>
      <w:r>
        <w:rPr>
          <w:lang w:val="en" w:eastAsia="en"/>
        </w:rPr>
        <w:tab/>
      </w:r>
      <w:r>
        <w:rPr>
          <w:lang w:val="el" w:eastAsia="el"/>
        </w:rPr>
        <w:t>τον υπόχρεο γονέα, για την ακίνητη περιουσία των προστατευόμενων τέκνων του, σύμφωνα με τις διατάξεις του άρθρου 7 του Κώδικα Φορολογίας Εισοδήματος, που κυρώθηκε με το άρθρο πρώτο του Ν. 2234/1994, όπως ισχύει. Τέκνο το οποίο έχει υποχρέωση υποβολής δήλωσης φορολογίας εισοδήματος υποβάλει αυτοτελώς δήλωση στοιχείων ακινήτων,</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κληρονομιάς για όσο διάστημα τη διαχειρίζεται,</w:t>
      </w:r>
    </w:p>
    <w:p>
      <w:pPr>
        <w:pStyle w:val="StructureList1"/>
        <w:spacing w:before="120" w:after="0"/>
        <w:rPr>
          <w:lang w:val="el" w:eastAsia="el"/>
        </w:rPr>
      </w:pPr>
      <w:r>
        <w:rPr>
          <w:lang w:val="el" w:eastAsia="el"/>
        </w:rPr>
        <w:t>ια)</w:t>
      </w:r>
      <w:r>
        <w:rPr>
          <w:lang w:val="en" w:eastAsia="en"/>
        </w:rPr>
        <w:tab/>
      </w:r>
      <w:r>
        <w:rPr>
          <w:lang w:val="el" w:eastAsia="el"/>
        </w:rPr>
        <w:t>τον εκτελεστή διαθήκης, για την κληρονομιαία ακίνητη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τον μεσεγγυούχο ακίνητης περιουσίας.</w:t>
      </w:r>
    </w:p>
    <w:p>
      <w:pPr>
        <w:pStyle w:val="StructureList1"/>
        <w:spacing w:before="120" w:after="0"/>
        <w:rPr>
          <w:lang w:val="el" w:eastAsia="el"/>
        </w:rPr>
      </w:pPr>
      <w:r>
        <w:rPr>
          <w:lang w:val="el" w:eastAsia="el"/>
        </w:rPr>
        <w:t>ιδ)</w:t>
      </w:r>
      <w:r>
        <w:rPr>
          <w:lang w:val="en" w:eastAsia="en"/>
        </w:rPr>
        <w:tab/>
      </w:r>
      <w:r>
        <w:rPr>
          <w:lang w:val="el" w:eastAsia="el"/>
        </w:rPr>
        <w:t>τον κάτοχο ακινήτου που ανήκει σε φορέα της Γενικής Κυβέρνησης, χωρίς τη συναίνεσή του.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Από το έτος 2011 και επόμενα, για την εφαρμογή του παρόντος νόμου, υπόχρεος σε δήλωση στοιχείων ακινήτων είναι ο εργολάβος για ακίνητα τα οποία συμφωνήθηκε να μεταβιβασθούν και δεν έχουν μεταβιβαστεί από τον οικοπεδούχο στον εργολάβο ή σε τρίτα πρόσωπα που αυτός θα υποδείξει, εφόσον έχουν παρέλθει τρία (3) έτη από την έκδοση της αρχικής οικοδομικής άδειας ή έχουν εκμισθωθεί ή χρησιμοποιηθεί με οποιονδήποτε τρόπο εντός των τριών (3) αυτών ετών από τον εργολάβο.</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Από το έτος 2014, υπόχρεος σε υποβολή δήλωσης στοιχείων ακινήτων, είναι ο εργολάβος, για ακίνητο το οποίο, αν και συμφωνήθηκε να μεταβιβασθεί δεν έχει μεταβιβαστεί από τον γηπεδούχο στον εργολάβο ή σε τρίτα πρόσωπα που αυτός έχει υποδείξει, εφόσον έχουν παρέλθει τέσσερα (4) έτη από την ημερομηνία θεώ</w:t>
      </w:r>
      <w:r>
        <w:rPr>
          <w:lang w:val="el" w:eastAsia="el"/>
        </w:rPr>
        <w:softHyphen/>
        <w:t>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εντός προθεσμίας σαράντα πέντε (45) ημερών από την ανάρτηση από τη Φορολογική Διοίκηση της προσωρινής περιουσιακής τους εικόνας, βάσει των ανωτέρω υποβληθέντων ηλεκτρονικών αρχείων, και πάντως, το αργότερο μέχρι και τη 31η Μαρτίου 2015.</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α. Από την 1η Ιανουαρίου 2015 και εφεξής, για τη σύσταση, απόκτηση και κάθε άλλη μεταβολή στα δικαιώματα της παραγράφου 1 του παρόντος άρθρου,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 β. Ειδικά, η δήλωση για κάθε σύσταση, απόκτηση και κάθε άλλη μεταβολή στοιχείων ακινήτων που έλαβε χώρα από την 1η Ιανουάριου 2014 μέχρι και την 31η Δεκεμβρίου 2014, υποβάλλεται μέχρι και την 31η Μαρτίου 2015. β. Ειδικότερα οι δηλώσεις στοιχείων ακινήτων έτους 2014, που υποβάλλονται προκειμένου να απεικονισθεί η περιουσιακή κατάσταση της 1ης Ιανουαρίου 2014, υποβάλλονται εμπρόθεσμα μέχρι και τη 14η Ιουλίου 2014.</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έχουν εφαρμογή για ακίνητα του Δημοσίου, καθώς και για τα πρόσωπα της υποπερίπτωσης β΄ της περίπτωσης στ΄ της παρ. 1 του άρθρου 3 του Ν.4223/2013.</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Αρμόδιος για την παραλαβή των δηλώσεων στοιχείων ακινήτων, τον έλεγχό τους και την εξακρίβωση αυτών που δεν έχουν υποβάλει δηλώσεις είναι ο προϊστάμενος της αρμόδιας για τη φορολογία εισοδήματος Δημόσιας Οικονομικής Υπηρεσίας του υπόχρεου την 1η Ιανουαρίου του έτους κατά το οποίο γεννάται η φορολογική υποχρέωση.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6.</w:t>
      </w:r>
      <w:r>
        <w:rPr>
          <w:lang w:val="el" w:eastAsia="el"/>
        </w:rPr>
        <w:t xml:space="preserve"> Η υποχρέωση του φορολογουμένου για την υποβολή δήλωσης στοιχείων ακινήτων δεν παραγράφεται.</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7.</w:t>
      </w:r>
      <w:r>
        <w:rPr>
          <w:lang w:val="el" w:eastAsia="el"/>
        </w:rPr>
        <w:t xml:space="preserve"> Οι δηλώσεις στοιχείων ακινήτων χρησιμοποιούνται αποκλειστικά για φορολογικούς σκοπούς και δεν επιτρέπεται η χρησιμοποίηση τους για δίωξη εκείνου που υπέβαλε τη δήλωση, για παράβαση των κειμένων διατάξεων. Οι δηλώσεις στοιχείων ακινήτων είναι απόρρητες και δεν επιτρέπεται η γνωστοποίησή τους σε οποιονδήποτε άλλον εκτός από τον φορολογούμενο στον οποίο αφορούν αυτές. Κατ΄ εξαίρεση επιτρέπεται, αποκλειστικά και μόνο:</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γ)</w:t>
      </w:r>
      <w:r>
        <w:rPr>
          <w:lang w:val="en" w:eastAsia="en"/>
        </w:rPr>
        <w:tab/>
      </w:r>
      <w:r>
        <w:rPr>
          <w:lang w:val="el" w:eastAsia="el"/>
        </w:rPr>
        <w:t>Η χορήγηση στοιχείων στα Γραφεία και τα μέλη του Νομικού Συμβουλίου του Κράτους για την υποστήριξη των δικαιωμάτων του Δημοσίου ή την απόκρουση των κατ΄ αυτού αξιώσεων τρίτων ενώπιον των δικαστηρίων.</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δ)</w:t>
      </w:r>
      <w:r>
        <w:rPr>
          <w:lang w:val="en" w:eastAsia="en"/>
        </w:rPr>
        <w:tab/>
      </w:r>
      <w:r>
        <w:rPr>
          <w:lang w:val="el" w:eastAsia="el"/>
        </w:rPr>
        <w:t>Η χορήγηση στοιχείων σε δικαστική αρχή, εάν έχει διαταχθεί προσηκόντως κύρια ανάκριση, προανάκριση ή τουλάχιστον προκαταρκτική εξέταση.</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ε)</w:t>
      </w:r>
      <w:r>
        <w:rPr>
          <w:lang w:val="en" w:eastAsia="en"/>
        </w:rPr>
        <w:tab/>
      </w:r>
      <w:r>
        <w:rPr>
          <w:lang w:val="el" w:eastAsia="el"/>
        </w:rPr>
        <w:t>Η χορήγηση στοιχείων των δηλώσεων στοιχείων ακινήτων του πτωχού στον σύνδικο της πτώχευσης.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στ)</w:t>
      </w:r>
      <w:r>
        <w:rPr>
          <w:lang w:val="en" w:eastAsia="en"/>
        </w:rPr>
        <w:tab/>
      </w:r>
      <w:r>
        <w:rPr>
          <w:lang w:val="el" w:eastAsia="el"/>
        </w:rPr>
        <w:t>Η χορήγηση στοιχείων σε αναδόχους του Υπουργείου Οικονομικών ή όσους εκτελούν βάσει συμβάσεως συγκεκριμένο έργο προς όφελος του Δημοσίου.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Η παραβίαση του φορολογικού απορρήτου της παραγράφου αυτής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 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λοιπά πρόσωπα τιμωρούνται με ποινή φυλάκισης μέχρι έξι (6) μήνες μετά από 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8.</w:t>
      </w:r>
      <w:r>
        <w:rPr>
          <w:lang w:val="el" w:eastAsia="el"/>
        </w:rPr>
        <w:t xml:space="preserve"> Για τα θέματα τα οποία δεν ορίζονται ρητώς σε λοιπές διατάξεις για τις δηλώσεις στοιχείων ακινήτων εφαρμόζονται ανάλογα οι διατάξεις του Κώδικα Φορολογίας Εισοδήματος, που κυρώθηκε με το άρθρο πρώτο του Ν. 2238/1994, όπως ισχύει.</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9.</w:t>
      </w:r>
      <w:r>
        <w:rPr>
          <w:lang w:val="el" w:eastAsia="el"/>
        </w:rPr>
        <w:t xml:space="preserve"> Σε περίπτωση μη υποβολής, εκπρόθεσμης υποβολής ή υποβολής ανακριβούς δήλωσης στοιχείων ακινήτων εφαρμόζονται οι διατάξεις του Ν. 2523/1997, όπως ισχύουν. Οι διατάξεις του προηγούμενου εδαφίου δεν εφαρμόζονται στις δηλώσεις στοιχείων ακινήτων που υποβάλλονται μέχρι και την 30η Δεκεμβρίου 2014, για τη διόρθωση της περιουσιακής κατάστασης των ετών 2010 2011, 2012 και 2013, εκτός εάν προκύπτει ποσό φόρου ακίνητης περιουσίας προς επιστροφή. Στην περίπτωση κατά την οποία από τις δηλώσεις του προηγούμενου εδαφίου προκύπτει, κατά το οικείο έτος, ποσό φόρου ακίνητης περιουσίας προς επιστροφή, το ποσό αυτό συμψηφίζεται με το πρόστιμο και τυχόν διαφορά μέχρι του ποσού των εκατό (100) ευρώ δεν αναζητείται από τη Φορολογική Διοίκηση.</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10.</w:t>
      </w:r>
      <w:r>
        <w:rPr>
          <w:lang w:val="el" w:eastAsia="el"/>
        </w:rPr>
        <w:t xml:space="preserve"> Οι διατάξεις της παραγράφου 15 του άρθρου 5 του Ν. 3296/2004 (ΦΕΚ 253 Α΄) καταργούνται.</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Περιουσιολόγιο Ακινήτων</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η οποία αποτελείται από τα εμπράγματα δικαιώματα της πλήρους ή ψιλής κυριότητας ή επικαρπίας ή οίκησης επί ακινήτων, καθώς και το δικαίωμα της αποκλειστικής χρήσης θέσεων στάθμευσης, βοηθητικών χώρων και κολυμβητικών δεξαμενών που βρίσκονται σε κοινόκτητο τμήμα υπογείου, πυλωτής, δώματος ή ακαλύπτου χώρου οικοδομής των πιο πάνω ακινήτων την 1η Ιανουαρίου κάθε έτους.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Το Περιουσιολόγιο Ακινήτων προκύπτει από τη μηχανογραφική διαχείριση των δηλώσεων στοιχείων ακινήτων των ετών 2005 έως 2009, οι οποίες υποβάλλονται από τα υπόχρεα φυσικά και νομικά πρόσωπα. Έτος δημιουργίας του Περιουσιολογίου Ακινήτων ορίζεται το έτος 2009.</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w:t>
      </w:r>
      <w:r>
        <w:rPr>
          <w:lang w:val="el" w:eastAsia="el"/>
        </w:rPr>
        <w:t xml:space="preserve"> Το Περιουσιολόγιο Ακινήτων ενημερώνεται μέσω των δηλώσεων στοιχείων ακινήτων, οι οποίες υποβάλλονται σύμφωνα με τα οριζόμενα στο άρθρο 23 του Ν. 3427/2005, όπως ισχύει.</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lang w:val="el" w:eastAsia="el"/>
        </w:rPr>
        <w:t xml:space="preserve"> Το περιεχόμενο του Περιουσιολογίου Ακινήτων είναι απόρρητο, σύμφωνα με τα οριζόμενα στην παράγραφο 7 του άρθρου 23 του Ν. 3427/2005, όπως ισχύει.</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5.</w:t>
      </w:r>
      <w:r>
        <w:rPr>
          <w:lang w:val="el" w:eastAsia="el"/>
        </w:rPr>
        <w:t xml:space="preserve"> Το περιεχόμενο του Περιουσιολογίου Ακινήτων διαφυλάσσεται και διατηρείται στο διηνεκές από το Υπουργείο Οικονομικών.</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6.</w:t>
      </w:r>
      <w:r>
        <w:rPr>
          <w:lang w:val="el" w:eastAsia="el"/>
        </w:rPr>
        <w:t xml:space="preserve"> Ο Υπουργός Οικονομικών με αποφάσεις του, που δημοσιεύονται στην Εφημερίδα της Κυβερνήσεως, προσδιορίζει, εγκρίνει και δίνει εντολές για κάθε δαπάνη που είναι αναγκαία για την εκτέλεση και εφαρμογή των διατάξεων του παρόντος άρθρου, η οποία καταλογίζεται στα έξοδα βεβαίωσης των άμεσων φόρων, όπου από τις διατάξεις που ισχύουν δεν ορίζεται διαφορετικά, και καθορίζει κάθε αναγκαία λεπτομέρεια και γενικά όσα αφορούν την εκτέλεση των διατάξεων του άρθρου αυτού.</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 w:history="1">
        <w:r>
          <w:rPr>
            <w:rStyle w:val="Hyperlink"/>
            <w:color w:val="0000EE"/>
            <w:u w:color="0000EE"/>
            <w:lang w:val="el" w:eastAsia="el"/>
          </w:rPr>
          <w:t>Τροποποίηση 4223/2013, Άρθρο 12</w:t>
        </w:r>
      </w:hyperlink>
      <w:r>
        <w:rPr>
          <w:lang w:val="el" w:eastAsia="el"/>
        </w:rPr>
        <w:t xml:space="preserve">; </w:t>
      </w:r>
      <w:hyperlink r:id="rId2" w:anchor="art_19" w:history="1">
        <w:r>
          <w:rPr>
            <w:rStyle w:val="Hyperlink"/>
            <w:color w:val="0000EE"/>
            <w:u w:color="0000EE"/>
            <w:lang w:val="el" w:eastAsia="el"/>
          </w:rPr>
          <w:t>Προσθήκη 4110/2013, Άρθρο 19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2" w:history="1">
        <w:r>
          <w:rPr>
            <w:rStyle w:val="Hyperlink"/>
            <w:color w:val="0000EE"/>
            <w:u w:color="0000EE"/>
            <w:lang w:val="el" w:eastAsia="el"/>
          </w:rPr>
          <w:t>Τροποποίηση 4223/2013, Άρθρο 12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2" w:history="1">
        <w:r>
          <w:rPr>
            <w:rStyle w:val="Hyperlink"/>
            <w:color w:val="0000EE"/>
            <w:u w:color="0000EE"/>
            <w:lang w:val="el" w:eastAsia="el"/>
          </w:rPr>
          <w:t>Προσθήκη 4223/2013, Άρθρο 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1" w:history="1">
        <w:r>
          <w:rPr>
            <w:rStyle w:val="Hyperlink"/>
            <w:color w:val="0000EE"/>
            <w:u w:color="0000EE"/>
            <w:lang w:val="el" w:eastAsia="el"/>
          </w:rPr>
          <w:t>Προσθήκη 3842/2010, Άρθρο 51</w:t>
        </w:r>
      </w:hyperlink>
      <w:r>
        <w:rPr>
          <w:lang w:val="el" w:eastAsia="el"/>
        </w:rPr>
        <w:t xml:space="preserve">; </w:t>
      </w:r>
      <w:hyperlink r:id="rId6" w:anchor="art_20" w:history="1">
        <w:r>
          <w:rPr>
            <w:rStyle w:val="Hyperlink"/>
            <w:color w:val="0000EE"/>
            <w:u w:color="0000EE"/>
            <w:lang w:val="el" w:eastAsia="el"/>
          </w:rPr>
          <w:t>Αφαίρεση 3634/2008, Άρθρο 20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2" w:history="1">
        <w:r>
          <w:rPr>
            <w:rStyle w:val="Hyperlink"/>
            <w:color w:val="0000EE"/>
            <w:u w:color="0000EE"/>
            <w:lang w:val="el" w:eastAsia="el"/>
          </w:rPr>
          <w:t>Προσθήκη 4223/2013,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2" w:history="1">
        <w:r>
          <w:rPr>
            <w:rStyle w:val="Hyperlink"/>
            <w:color w:val="0000EE"/>
            <w:u w:color="0000EE"/>
            <w:lang w:val="el" w:eastAsia="el"/>
          </w:rPr>
          <w:t>Προσθήκη 4239/2014,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86" w:history="1">
        <w:r>
          <w:rPr>
            <w:rStyle w:val="Hyperlink"/>
            <w:color w:val="0000EE"/>
            <w:u w:color="0000EE"/>
            <w:lang w:val="el" w:eastAsia="el"/>
          </w:rPr>
          <w:t>Τροποποίηση 4316/2014, Άρθρο 86</w:t>
        </w:r>
      </w:hyperlink>
      <w:r>
        <w:rPr>
          <w:lang w:val="el" w:eastAsia="el"/>
        </w:rPr>
        <w:t xml:space="preserve">; </w:t>
      </w:r>
      <w:hyperlink r:id="rId10" w:anchor="art_52" w:history="1">
        <w:r>
          <w:rPr>
            <w:rStyle w:val="Hyperlink"/>
            <w:color w:val="0000EE"/>
            <w:u w:color="0000EE"/>
            <w:lang w:val="el" w:eastAsia="el"/>
          </w:rPr>
          <w:t>Προσθήκη 4276/2014, Άρθρο 52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0" w:history="1">
        <w:r>
          <w:rPr>
            <w:rStyle w:val="Hyperlink"/>
            <w:color w:val="0000EE"/>
            <w:u w:color="0000EE"/>
            <w:lang w:val="el" w:eastAsia="el"/>
          </w:rPr>
          <w:t>Προσθήκη 3634/2008, Άρθρο 20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6" w:history="1">
        <w:r>
          <w:rPr>
            <w:rStyle w:val="Hyperlink"/>
            <w:color w:val="0000EE"/>
            <w:u w:color="0000EE"/>
            <w:lang w:val="el" w:eastAsia="el"/>
          </w:rPr>
          <w:t>Τροποποίηση 4316/2014, Άρθρο 86</w:t>
        </w:r>
      </w:hyperlink>
      <w:r>
        <w:rPr>
          <w:lang w:val="el" w:eastAsia="el"/>
        </w:rPr>
        <w:t xml:space="preserve">; </w:t>
      </w:r>
      <w:hyperlink r:id="rId13" w:anchor="art_18" w:history="1">
        <w:r>
          <w:rPr>
            <w:rStyle w:val="Hyperlink"/>
            <w:color w:val="0000EE"/>
            <w:u w:color="0000EE"/>
            <w:lang w:val="el" w:eastAsia="el"/>
          </w:rPr>
          <w:t>Τροποποίηση 4286/2014, Άρθρο 18</w:t>
        </w:r>
      </w:hyperlink>
      <w:r>
        <w:rPr>
          <w:lang w:val="el" w:eastAsia="el"/>
        </w:rPr>
        <w:t xml:space="preserve">; </w:t>
      </w:r>
      <w:hyperlink r:id="rId14" w:anchor="art_52" w:history="1">
        <w:r>
          <w:rPr>
            <w:rStyle w:val="Hyperlink"/>
            <w:color w:val="0000EE"/>
            <w:u w:color="0000EE"/>
            <w:lang w:val="el" w:eastAsia="el"/>
          </w:rPr>
          <w:t>Τροποποίηση 4276/2014, Άρθρο 52</w:t>
        </w:r>
      </w:hyperlink>
      <w:r>
        <w:rPr>
          <w:lang w:val="el" w:eastAsia="el"/>
        </w:rPr>
        <w:t xml:space="preserve">; </w:t>
      </w:r>
      <w:hyperlink r:id="rId15" w:anchor="art_52" w:history="1">
        <w:r>
          <w:rPr>
            <w:rStyle w:val="Hyperlink"/>
            <w:color w:val="0000EE"/>
            <w:u w:color="0000EE"/>
            <w:lang w:val="el" w:eastAsia="el"/>
          </w:rPr>
          <w:t>Προσθήκη 4276/2014, Άρθρο 52</w:t>
        </w:r>
      </w:hyperlink>
      <w:r>
        <w:rPr>
          <w:lang w:val="el" w:eastAsia="el"/>
        </w:rPr>
        <w:t xml:space="preserve">; </w:t>
      </w:r>
      <w:hyperlink r:id="rId16" w:anchor="art_53" w:history="1">
        <w:r>
          <w:rPr>
            <w:rStyle w:val="Hyperlink"/>
            <w:color w:val="0000EE"/>
            <w:u w:color="0000EE"/>
            <w:lang w:val="el" w:eastAsia="el"/>
          </w:rPr>
          <w:t>Τροποποίηση 4274/2014, Άρθρο 53</w:t>
        </w:r>
      </w:hyperlink>
      <w:r>
        <w:rPr>
          <w:lang w:val="el" w:eastAsia="el"/>
        </w:rPr>
        <w:t xml:space="preserve">; </w:t>
      </w:r>
      <w:hyperlink r:id="rId17" w:anchor="art_3" w:history="1">
        <w:r>
          <w:rPr>
            <w:rStyle w:val="Hyperlink"/>
            <w:color w:val="0000EE"/>
            <w:u w:color="0000EE"/>
            <w:lang w:val="el" w:eastAsia="el"/>
          </w:rPr>
          <w:t>Τροποποίηση 4254/2014, Άρθρο 3</w:t>
        </w:r>
      </w:hyperlink>
      <w:r>
        <w:rPr>
          <w:lang w:val="el" w:eastAsia="el"/>
        </w:rPr>
        <w:t xml:space="preserve">; </w:t>
      </w:r>
      <w:hyperlink r:id="rId18" w:anchor="art_51" w:history="1">
        <w:r>
          <w:rPr>
            <w:rStyle w:val="Hyperlink"/>
            <w:color w:val="0000EE"/>
            <w:u w:color="0000EE"/>
            <w:lang w:val="el" w:eastAsia="el"/>
          </w:rPr>
          <w:t>Προσθήκη 3842/2010, Άρθρο 51</w:t>
        </w:r>
      </w:hyperlink>
      <w:r>
        <w:rPr>
          <w:lang w:val="el" w:eastAsia="el"/>
        </w:rPr>
        <w:t xml:space="preserve">; </w:t>
      </w:r>
      <w:hyperlink r:id="rId19" w:anchor="art_7" w:history="1">
        <w:r>
          <w:rPr>
            <w:rStyle w:val="Hyperlink"/>
            <w:color w:val="0000EE"/>
            <w:u w:color="0000EE"/>
            <w:lang w:val="el" w:eastAsia="el"/>
          </w:rPr>
          <w:t>Τροποποίηση 3763/2009, Άρθρο 7</w:t>
        </w:r>
      </w:hyperlink>
      <w:r>
        <w:rPr>
          <w:lang w:val="el" w:eastAsia="el"/>
        </w:rPr>
        <w:t xml:space="preserve">; </w:t>
      </w:r>
      <w:hyperlink r:id="rId20" w:anchor="art_20" w:history="1">
        <w:r>
          <w:rPr>
            <w:rStyle w:val="Hyperlink"/>
            <w:color w:val="0000EE"/>
            <w:u w:color="0000EE"/>
            <w:lang w:val="el" w:eastAsia="el"/>
          </w:rPr>
          <w:t>Τροποποίηση 3634/2008, Άρθρο 20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1" w:history="1">
        <w:r>
          <w:rPr>
            <w:rStyle w:val="Hyperlink"/>
            <w:color w:val="0000EE"/>
            <w:u w:color="0000EE"/>
            <w:lang w:val="el" w:eastAsia="el"/>
          </w:rPr>
          <w:t>Τροποποίηση 4283/2014, Άρθρο 21</w:t>
        </w:r>
      </w:hyperlink>
      <w:r>
        <w:rPr>
          <w:lang w:val="el" w:eastAsia="el"/>
        </w:rPr>
        <w:t xml:space="preserve">; </w:t>
      </w:r>
      <w:hyperlink r:id="rId22" w:anchor="art_20" w:history="1">
        <w:r>
          <w:rPr>
            <w:rStyle w:val="Hyperlink"/>
            <w:color w:val="0000EE"/>
            <w:u w:color="0000EE"/>
            <w:lang w:val="el" w:eastAsia="el"/>
          </w:rPr>
          <w:t>Τροποποίηση 3634/2008, Άρθρο 20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1" w:history="1">
        <w:r>
          <w:rPr>
            <w:rStyle w:val="Hyperlink"/>
            <w:color w:val="0000EE"/>
            <w:u w:color="0000EE"/>
            <w:lang w:val="el" w:eastAsia="el"/>
          </w:rPr>
          <w:t>Τροποποίηση 3842/2010, Άρθρο 51</w:t>
        </w:r>
      </w:hyperlink>
      <w:r>
        <w:rPr>
          <w:lang w:val="el" w:eastAsia="el"/>
        </w:rPr>
        <w:t xml:space="preserve">; </w:t>
      </w:r>
      <w:hyperlink r:id="rId24" w:anchor="art_20" w:history="1">
        <w:r>
          <w:rPr>
            <w:rStyle w:val="Hyperlink"/>
            <w:color w:val="0000EE"/>
            <w:u w:color="0000EE"/>
            <w:lang w:val="el" w:eastAsia="el"/>
          </w:rPr>
          <w:t>Τροποποίηση 3634/2008, Άρθρο 20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1" w:history="1">
        <w:r>
          <w:rPr>
            <w:rStyle w:val="Hyperlink"/>
            <w:color w:val="0000EE"/>
            <w:u w:color="0000EE"/>
            <w:lang w:val="el" w:eastAsia="el"/>
          </w:rPr>
          <w:t>Προσθήκη 3842/2010, Άρθρο 51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1" w:history="1">
        <w:r>
          <w:rPr>
            <w:rStyle w:val="Hyperlink"/>
            <w:color w:val="0000EE"/>
            <w:u w:color="0000EE"/>
            <w:lang w:val="el" w:eastAsia="el"/>
          </w:rPr>
          <w:t>Προσθήκη 3842/2010, Άρθρο 51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1" w:history="1">
        <w:r>
          <w:rPr>
            <w:rStyle w:val="Hyperlink"/>
            <w:color w:val="0000EE"/>
            <w:u w:color="0000EE"/>
            <w:lang w:val="el" w:eastAsia="el"/>
          </w:rPr>
          <w:t>Προσθήκη 3842/2010, Άρθρο 51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1" w:history="1">
        <w:r>
          <w:rPr>
            <w:rStyle w:val="Hyperlink"/>
            <w:color w:val="0000EE"/>
            <w:u w:color="0000EE"/>
            <w:lang w:val="el" w:eastAsia="el"/>
          </w:rPr>
          <w:t>Προσθήκη 3842/2010,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1" w:history="1">
        <w:r>
          <w:rPr>
            <w:rStyle w:val="Hyperlink"/>
            <w:color w:val="0000EE"/>
            <w:u w:color="0000EE"/>
            <w:lang w:val="el" w:eastAsia="el"/>
          </w:rPr>
          <w:t>Προσθήκη 3842/2010,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1" w:history="1">
        <w:r>
          <w:rPr>
            <w:rStyle w:val="Hyperlink"/>
            <w:color w:val="0000EE"/>
            <w:u w:color="0000EE"/>
            <w:lang w:val="el" w:eastAsia="el"/>
          </w:rPr>
          <w:t>Προσθήκη 3842/2010,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1" w:history="1">
        <w:r>
          <w:rPr>
            <w:rStyle w:val="Hyperlink"/>
            <w:color w:val="0000EE"/>
            <w:u w:color="0000EE"/>
            <w:lang w:val="el" w:eastAsia="el"/>
          </w:rPr>
          <w:t>Προσθήκη 3842/2010, Άρθρο 51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8" w:history="1">
        <w:r>
          <w:rPr>
            <w:rStyle w:val="Hyperlink"/>
            <w:color w:val="0000EE"/>
            <w:u w:color="0000EE"/>
            <w:lang w:val="el" w:eastAsia="el"/>
          </w:rPr>
          <w:t>Προσθήκη 4002/2011,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1" w:history="1">
        <w:r>
          <w:rPr>
            <w:rStyle w:val="Hyperlink"/>
            <w:color w:val="0000EE"/>
            <w:u w:color="0000EE"/>
            <w:lang w:val="el" w:eastAsia="el"/>
          </w:rPr>
          <w:t>Προσθήκη 3842/2010, Άρθρο 51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1" w:history="1">
        <w:r>
          <w:rPr>
            <w:rStyle w:val="Hyperlink"/>
            <w:color w:val="0000EE"/>
            <w:u w:color="0000EE"/>
            <w:lang w:val="el" w:eastAsia="el"/>
          </w:rPr>
          <w:t>Προσθήκη 3842/2010, Άρθρο 51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86" w:history="1">
        <w:r>
          <w:rPr>
            <w:rStyle w:val="Hyperlink"/>
            <w:color w:val="0000EE"/>
            <w:u w:color="0000EE"/>
            <w:lang w:val="el" w:eastAsia="el"/>
          </w:rPr>
          <w:t>Τροποποίηση 4316/2014, Άρθρο 86</w:t>
        </w:r>
      </w:hyperlink>
      <w:r>
        <w:rPr>
          <w:lang w:val="el" w:eastAsia="el"/>
        </w:rPr>
        <w:t xml:space="preserve">; </w:t>
      </w:r>
      <w:hyperlink r:id="rId36" w:anchor="art_42" w:history="1">
        <w:r>
          <w:rPr>
            <w:rStyle w:val="Hyperlink"/>
            <w:color w:val="0000EE"/>
            <w:u w:color="0000EE"/>
            <w:lang w:val="el" w:eastAsia="el"/>
          </w:rPr>
          <w:t>Τροποποίηση 4308/2014, Άρθρο 42</w:t>
        </w:r>
      </w:hyperlink>
      <w:r>
        <w:rPr>
          <w:lang w:val="el" w:eastAsia="el"/>
        </w:rPr>
        <w:t xml:space="preserve">; </w:t>
      </w:r>
      <w:hyperlink r:id="rId37" w:anchor="art_52" w:history="1">
        <w:r>
          <w:rPr>
            <w:rStyle w:val="Hyperlink"/>
            <w:color w:val="0000EE"/>
            <w:u w:color="0000EE"/>
            <w:lang w:val="el" w:eastAsia="el"/>
          </w:rPr>
          <w:t>Προσθήκη 4276/2014, Άρθρο 52</w:t>
        </w:r>
      </w:hyperlink>
      <w:r>
        <w:rPr>
          <w:lang w:val="el" w:eastAsia="el"/>
        </w:rPr>
        <w:t xml:space="preserve">; </w:t>
      </w:r>
      <w:hyperlink r:id="rId38" w:anchor="art_51" w:history="1">
        <w:r>
          <w:rPr>
            <w:rStyle w:val="Hyperlink"/>
            <w:color w:val="0000EE"/>
            <w:u w:color="0000EE"/>
            <w:lang w:val="el" w:eastAsia="el"/>
          </w:rPr>
          <w:t>Προσθήκη 3842/2010, Άρθρο 51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Προσθήκη 3842/2010, Άρθρο 51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2" w:history="1">
        <w:r>
          <w:rPr>
            <w:rStyle w:val="Hyperlink"/>
            <w:color w:val="0000EE"/>
            <w:u w:color="0000EE"/>
            <w:lang w:val="el" w:eastAsia="el"/>
          </w:rPr>
          <w:t>Προσθήκη 3842/2010, Άρθρο 52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4" w:history="1">
        <w:r>
          <w:rPr>
            <w:rStyle w:val="Hyperlink"/>
            <w:color w:val="0000EE"/>
            <w:u w:color="0000EE"/>
            <w:lang w:val="el" w:eastAsia="el"/>
          </w:rPr>
          <w:t>Τροποποίηση 3943/2011, Άρθρο 24</w:t>
        </w:r>
      </w:hyperlink>
      <w:r>
        <w:rPr>
          <w:lang w:val="el" w:eastAsia="el"/>
        </w:rPr>
        <w:t xml:space="preserve">; </w:t>
      </w:r>
      <w:hyperlink r:id="rId42" w:anchor="art_52" w:history="1">
        <w:r>
          <w:rPr>
            <w:rStyle w:val="Hyperlink"/>
            <w:color w:val="0000EE"/>
            <w:u w:color="0000EE"/>
            <w:lang w:val="el" w:eastAsia="el"/>
          </w:rPr>
          <w:t>Προσθήκη 3842/2010, Άρθρο 52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2" w:history="1">
        <w:r>
          <w:rPr>
            <w:rStyle w:val="Hyperlink"/>
            <w:color w:val="0000EE"/>
            <w:u w:color="0000EE"/>
            <w:lang w:val="el" w:eastAsia="el"/>
          </w:rPr>
          <w:t>Προσθήκη 3842/2010, Άρθρο 52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2" w:history="1">
        <w:r>
          <w:rPr>
            <w:rStyle w:val="Hyperlink"/>
            <w:color w:val="0000EE"/>
            <w:u w:color="0000EE"/>
            <w:lang w:val="el" w:eastAsia="el"/>
          </w:rPr>
          <w:t>Προσθήκη 3842/2010, Άρθρο 52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2" w:history="1">
        <w:r>
          <w:rPr>
            <w:rStyle w:val="Hyperlink"/>
            <w:color w:val="0000EE"/>
            <w:u w:color="0000EE"/>
            <w:lang w:val="el" w:eastAsia="el"/>
          </w:rPr>
          <w:t>Προσθήκη 3842/2010, Άρθρο 52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2" w:history="1">
        <w:r>
          <w:rPr>
            <w:rStyle w:val="Hyperlink"/>
            <w:color w:val="0000EE"/>
            <w:u w:color="0000EE"/>
            <w:lang w:val="el" w:eastAsia="el"/>
          </w:rPr>
          <w:t>Προσθήκη 3842/2010, Άρθρο 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7/30/4276" TargetMode="External" /><Relationship Id="rId11" Type="http://schemas.openxmlformats.org/officeDocument/2006/relationships/hyperlink" Target="http://data.aade.gr/eli/pri/law/2008/01/29/3634" TargetMode="External" /><Relationship Id="rId12" Type="http://schemas.openxmlformats.org/officeDocument/2006/relationships/hyperlink" Target="http://data.aade.gr/eli/pri/law/2014/12/24/4316" TargetMode="External" /><Relationship Id="rId13" Type="http://schemas.openxmlformats.org/officeDocument/2006/relationships/hyperlink" Target="http://data.aade.gr/eli/pri/law/2014/09/19/4286" TargetMode="External" /><Relationship Id="rId14" Type="http://schemas.openxmlformats.org/officeDocument/2006/relationships/hyperlink" Target="http://data.aade.gr/eli/pri/law/2014/07/30/4276" TargetMode="External" /><Relationship Id="rId15" Type="http://schemas.openxmlformats.org/officeDocument/2006/relationships/hyperlink" Target="http://data.aade.gr/eli/pri/law/2014/07/30/4276" TargetMode="External" /><Relationship Id="rId16" Type="http://schemas.openxmlformats.org/officeDocument/2006/relationships/hyperlink" Target="http://data.aade.gr/eli/pri/law/2014/07/14/4274" TargetMode="External" /><Relationship Id="rId17" Type="http://schemas.openxmlformats.org/officeDocument/2006/relationships/hyperlink" Target="http://data.aade.gr/eli/pri/law/2014/04/07/4254" TargetMode="External" /><Relationship Id="rId18" Type="http://schemas.openxmlformats.org/officeDocument/2006/relationships/hyperlink" Target="http://data.aade.gr/eli/pri/law/2010/04/23/3842" TargetMode="External" /><Relationship Id="rId19" Type="http://schemas.openxmlformats.org/officeDocument/2006/relationships/hyperlink" Target="http://data.aade.gr/eli/pri/law/2009/05/27/3763" TargetMode="External" /><Relationship Id="rId2" Type="http://schemas.openxmlformats.org/officeDocument/2006/relationships/hyperlink" Target="http://data.aade.gr/eli/pri/law/2013/01/23/4110" TargetMode="External" /><Relationship Id="rId20" Type="http://schemas.openxmlformats.org/officeDocument/2006/relationships/hyperlink" Target="http://data.aade.gr/eli/pri/law/2008/01/29/3634" TargetMode="External" /><Relationship Id="rId21" Type="http://schemas.openxmlformats.org/officeDocument/2006/relationships/hyperlink" Target="http://data.aade.gr/eli/pri/law/2014/09/10/4283" TargetMode="External" /><Relationship Id="rId22" Type="http://schemas.openxmlformats.org/officeDocument/2006/relationships/hyperlink" Target="http://data.aade.gr/eli/pri/law/2008/01/29/3634" TargetMode="External" /><Relationship Id="rId23" Type="http://schemas.openxmlformats.org/officeDocument/2006/relationships/hyperlink" Target="http://data.aade.gr/eli/pri/law/2010/04/23/3842" TargetMode="External" /><Relationship Id="rId24" Type="http://schemas.openxmlformats.org/officeDocument/2006/relationships/hyperlink" Target="http://data.aade.gr/eli/pri/law/2008/01/29/3634" TargetMode="External" /><Relationship Id="rId25" Type="http://schemas.openxmlformats.org/officeDocument/2006/relationships/hyperlink" Target="http://data.aade.gr/eli/pri/law/2010/04/23/3842"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1/08/22/400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4/12/24/4316" TargetMode="External" /><Relationship Id="rId36" Type="http://schemas.openxmlformats.org/officeDocument/2006/relationships/hyperlink" Target="http://data.aade.gr/eli/pri/law/2014/11/24/4308" TargetMode="External" /><Relationship Id="rId37" Type="http://schemas.openxmlformats.org/officeDocument/2006/relationships/hyperlink" Target="http://data.aade.gr/eli/pri/law/2014/07/30/4276"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1/03/31/3943"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5" Type="http://schemas.openxmlformats.org/officeDocument/2006/relationships/hyperlink" Target="http://data.aade.gr/eli/pri/law/2010/04/23/3842" TargetMode="External" /><Relationship Id="rId6" Type="http://schemas.openxmlformats.org/officeDocument/2006/relationships/hyperlink" Target="http://data.aade.gr/eli/pri/law/2008/01/29/3634"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4/02/20/4239" TargetMode="External" /><Relationship Id="rId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