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Ειδικά, για τα έτη 2012 έως και 2016, για τη χορήγηση του πιστοποιητικού του άρθρου 54Α του Ν. 4223/2013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w:t>
      </w:r>
      <w:r>
        <w:rPr>
          <w:lang w:val="el" w:eastAsia="el"/>
        </w:rPr>
        <w:t>α. Μετά τη σύνταξη υποσχετικής ή εκποιητικής δικαιοπραξίας, με την οποία συστήνονται, μεταβάλλονται, αλλοιώνονται ή μεταβιβάζονται από οποιαδήποτε αιτία δικαιώματα επί ακινήτου, ο συμβολαιογράφος υποχρεούται εντός τριάντα (30) ημερών σε υποβολή δήλωσης στοιχείων ακινήτων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ανωτέρω ισχύουν και κατά τη σύνταξη περίληψης κατακυρωτικής έκθεσης επί εκούσιου πλειστηριασμού. Στον συμβολαιογράφο που παραβαίνει την ανωτέρω υποχρέωση επιβάλλεται αυτοτελές πρόστιμο ύψους διακοσίων (200) ευρώ. Με απόφαση του Διοικητή της ΑΑΔΕ καθορίζεται ο τρόπος υποβολής των δηλώσεων, ο τύπος και το περιεχόμενο αυτών, η διαδικασία υποβολής, ο τρόπος αποκατάστασης των λαθών, καθώς και κάθε άλλο αναγκαίο θέμα για την εφαρμογή της παραγράφου αυτής.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α. Από την 1η Ιανουάριου 2019 και εφεξής, για τη σύσταση, απόκτηση και κάθε άλλη μεταβολή στα δικαιώματα της παραγράφου 1 του παρόντος άρθρου, ο υπόχρεος σε υποβολή δήλωσης στοιχείων ακινήτων υποβάλλει αυτήν μέχρι την 31η Μαΐου του επόμενου έτους από την ημέρα της σύστασης, απόκτησης και κάθε άλλης μεταβολής στα παραπάνω δικαιώματα.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4" w:history="1">
        <w:r>
          <w:rPr>
            <w:rStyle w:val="Hyperlink"/>
            <w:color w:val="0000EE"/>
            <w:u w:color="0000EE"/>
            <w:lang w:val="el" w:eastAsia="el"/>
          </w:rPr>
          <w:t>Τροποποίηση 4652/2020, Άρθρο 14</w:t>
        </w:r>
      </w:hyperlink>
      <w:r>
        <w:rPr>
          <w:lang w:val="el" w:eastAsia="el"/>
        </w:rPr>
        <w:t xml:space="preserve">; </w:t>
      </w:r>
      <w:hyperlink r:id="rId15" w:anchor="art_49" w:history="1">
        <w:r>
          <w:rPr>
            <w:rStyle w:val="Hyperlink"/>
            <w:color w:val="0000EE"/>
            <w:u w:color="0000EE"/>
            <w:lang w:val="el" w:eastAsia="el"/>
          </w:rPr>
          <w:t>Προσθήκη 4646/2019,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3" w:history="1">
        <w:r>
          <w:rPr>
            <w:rStyle w:val="Hyperlink"/>
            <w:color w:val="0000EE"/>
            <w:u w:color="0000EE"/>
            <w:lang w:val="el" w:eastAsia="el"/>
          </w:rPr>
          <w:t>Τροποποίηση 4607/2019, Άρθρο 73</w:t>
        </w:r>
      </w:hyperlink>
      <w:r>
        <w:rPr>
          <w:lang w:val="el" w:eastAsia="el"/>
        </w:rPr>
        <w:t xml:space="preserve">; </w:t>
      </w:r>
      <w:hyperlink r:id="rId18" w:anchor="art_86" w:history="1">
        <w:r>
          <w:rPr>
            <w:rStyle w:val="Hyperlink"/>
            <w:color w:val="0000EE"/>
            <w:u w:color="0000EE"/>
            <w:lang w:val="el" w:eastAsia="el"/>
          </w:rPr>
          <w:t>Τροποποίηση 4316/2014, Άρθρο 86</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52" w:history="1">
        <w:r>
          <w:rPr>
            <w:rStyle w:val="Hyperlink"/>
            <w:color w:val="0000EE"/>
            <w:u w:color="0000EE"/>
            <w:lang w:val="el" w:eastAsia="el"/>
          </w:rPr>
          <w:t>Τροποποίηση 4276/2014, Άρθρο 52</w:t>
        </w:r>
      </w:hyperlink>
      <w:r>
        <w:rPr>
          <w:lang w:val="el" w:eastAsia="el"/>
        </w:rPr>
        <w:t xml:space="preserve">; </w:t>
      </w:r>
      <w:hyperlink r:id="rId21" w:anchor="art_52" w:history="1">
        <w:r>
          <w:rPr>
            <w:rStyle w:val="Hyperlink"/>
            <w:color w:val="0000EE"/>
            <w:u w:color="0000EE"/>
            <w:lang w:val="el" w:eastAsia="el"/>
          </w:rPr>
          <w:t>Προσθήκη 4276/2014, Άρθρο 52</w:t>
        </w:r>
      </w:hyperlink>
      <w:r>
        <w:rPr>
          <w:lang w:val="el" w:eastAsia="el"/>
        </w:rPr>
        <w:t xml:space="preserve">; </w:t>
      </w:r>
      <w:hyperlink r:id="rId22" w:anchor="art_53" w:history="1">
        <w:r>
          <w:rPr>
            <w:rStyle w:val="Hyperlink"/>
            <w:color w:val="0000EE"/>
            <w:u w:color="0000EE"/>
            <w:lang w:val="el" w:eastAsia="el"/>
          </w:rPr>
          <w:t>Τροποποίηση 4274/2014, Άρθρο 53</w:t>
        </w:r>
      </w:hyperlink>
      <w:r>
        <w:rPr>
          <w:lang w:val="el" w:eastAsia="el"/>
        </w:rPr>
        <w:t xml:space="preserve">; </w:t>
      </w:r>
      <w:hyperlink r:id="rId23" w:anchor="art_3" w:history="1">
        <w:r>
          <w:rPr>
            <w:rStyle w:val="Hyperlink"/>
            <w:color w:val="0000EE"/>
            <w:u w:color="0000EE"/>
            <w:lang w:val="el" w:eastAsia="el"/>
          </w:rPr>
          <w:t>Τροποποίηση 4254/2014, Άρθρο 3</w:t>
        </w:r>
      </w:hyperlink>
      <w:r>
        <w:rPr>
          <w:lang w:val="el" w:eastAsia="el"/>
        </w:rPr>
        <w:t xml:space="preserve">; </w:t>
      </w:r>
      <w:hyperlink r:id="rId24" w:anchor="art_51" w:history="1">
        <w:r>
          <w:rPr>
            <w:rStyle w:val="Hyperlink"/>
            <w:color w:val="0000EE"/>
            <w:u w:color="0000EE"/>
            <w:lang w:val="el" w:eastAsia="el"/>
          </w:rPr>
          <w:t>Προσθήκη 3842/2010, Άρθρο 51</w:t>
        </w:r>
      </w:hyperlink>
      <w:r>
        <w:rPr>
          <w:lang w:val="el" w:eastAsia="el"/>
        </w:rPr>
        <w:t xml:space="preserve">; </w:t>
      </w:r>
      <w:hyperlink r:id="rId25" w:anchor="art_7" w:history="1">
        <w:r>
          <w:rPr>
            <w:rStyle w:val="Hyperlink"/>
            <w:color w:val="0000EE"/>
            <w:u w:color="0000EE"/>
            <w:lang w:val="el" w:eastAsia="el"/>
          </w:rPr>
          <w:t>Τροποποίηση 3763/2009, Άρθρο 7</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7" w:history="1">
        <w:r>
          <w:rPr>
            <w:rStyle w:val="Hyperlink"/>
            <w:color w:val="0000EE"/>
            <w:u w:color="0000EE"/>
            <w:lang w:val="el" w:eastAsia="el"/>
          </w:rPr>
          <w:t>Τροποποίηση 4331/2015, Άρθρο 47</w:t>
        </w:r>
      </w:hyperlink>
      <w:r>
        <w:rPr>
          <w:lang w:val="el" w:eastAsia="el"/>
        </w:rPr>
        <w:t xml:space="preserve">; </w:t>
      </w:r>
      <w:hyperlink r:id="rId28" w:anchor="art_6" w:history="1">
        <w:r>
          <w:rPr>
            <w:rStyle w:val="Hyperlink"/>
            <w:color w:val="0000EE"/>
            <w:u w:color="0000EE"/>
            <w:lang w:val="el" w:eastAsia="el"/>
          </w:rPr>
          <w:t>Προσθήκη 4328/2015, Άρθρο 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4474/2017, Άρθρο 10</w:t>
        </w:r>
      </w:hyperlink>
      <w:r>
        <w:rPr>
          <w:lang w:val="el" w:eastAsia="el"/>
        </w:rPr>
        <w:t xml:space="preserve">; </w:t>
      </w:r>
      <w:hyperlink r:id="rId30" w:anchor="art_2" w:history="1">
        <w:r>
          <w:rPr>
            <w:rStyle w:val="Hyperlink"/>
            <w:color w:val="0000EE"/>
            <w:u w:color="0000EE"/>
            <w:lang w:val="el" w:eastAsia="el"/>
          </w:rPr>
          <w:t>Τροποποίηση 4337/2015, Άρθρο 2</w:t>
        </w:r>
      </w:hyperlink>
      <w:r>
        <w:rPr>
          <w:lang w:val="el" w:eastAsia="el"/>
        </w:rPr>
        <w:t xml:space="preserve">; </w:t>
      </w:r>
      <w:hyperlink r:id="rId31" w:anchor="art_21" w:history="1">
        <w:r>
          <w:rPr>
            <w:rStyle w:val="Hyperlink"/>
            <w:color w:val="0000EE"/>
            <w:u w:color="0000EE"/>
            <w:lang w:val="el" w:eastAsia="el"/>
          </w:rPr>
          <w:t>Τροποποίηση 4283/2014, Άρθρο 21</w:t>
        </w:r>
      </w:hyperlink>
      <w:r>
        <w:rPr>
          <w:lang w:val="el" w:eastAsia="el"/>
        </w:rPr>
        <w:t xml:space="preserve">; </w:t>
      </w:r>
      <w:hyperlink r:id="rId32" w:anchor="art_20" w:history="1">
        <w:r>
          <w:rPr>
            <w:rStyle w:val="Hyperlink"/>
            <w:color w:val="0000EE"/>
            <w:u w:color="0000EE"/>
            <w:lang w:val="el" w:eastAsia="el"/>
          </w:rPr>
          <w:t>Τροποποίηση 3634/2008, Άρθρο 20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3842/2010, Άρθρο 51</w:t>
        </w:r>
      </w:hyperlink>
      <w:r>
        <w:rPr>
          <w:lang w:val="el" w:eastAsia="el"/>
        </w:rPr>
        <w:t xml:space="preserve">; </w:t>
      </w:r>
      <w:hyperlink r:id="rId34" w:anchor="art_20" w:history="1">
        <w:r>
          <w:rPr>
            <w:rStyle w:val="Hyperlink"/>
            <w:color w:val="0000EE"/>
            <w:u w:color="0000EE"/>
            <w:lang w:val="el" w:eastAsia="el"/>
          </w:rPr>
          <w:t>Τροποποίηση 3634/2008,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4002/2011,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4" w:history="1">
        <w:r>
          <w:rPr>
            <w:rStyle w:val="Hyperlink"/>
            <w:color w:val="0000EE"/>
            <w:u w:color="0000EE"/>
            <w:lang w:val="el" w:eastAsia="el"/>
          </w:rPr>
          <w:t>Τροποποίηση 4413/2016, Άρθρο 84</w:t>
        </w:r>
      </w:hyperlink>
      <w:r>
        <w:rPr>
          <w:lang w:val="el" w:eastAsia="el"/>
        </w:rPr>
        <w:t xml:space="preserve">; </w:t>
      </w:r>
      <w:hyperlink r:id="rId46" w:anchor="art_51" w:history="1">
        <w:r>
          <w:rPr>
            <w:rStyle w:val="Hyperlink"/>
            <w:color w:val="0000EE"/>
            <w:u w:color="0000EE"/>
            <w:lang w:val="el" w:eastAsia="el"/>
          </w:rPr>
          <w:t>Προσθήκη 4389/2016, Άρθρο 51</w:t>
        </w:r>
      </w:hyperlink>
      <w:r>
        <w:rPr>
          <w:lang w:val="el" w:eastAsia="el"/>
        </w:rPr>
        <w:t xml:space="preserve">; </w:t>
      </w:r>
      <w:hyperlink r:id="rId47" w:anchor="art_86" w:history="1">
        <w:r>
          <w:rPr>
            <w:rStyle w:val="Hyperlink"/>
            <w:color w:val="0000EE"/>
            <w:u w:color="0000EE"/>
            <w:lang w:val="el" w:eastAsia="el"/>
          </w:rPr>
          <w:t>Τροποποίηση 4316/2014, Άρθρο 86</w:t>
        </w:r>
      </w:hyperlink>
      <w:r>
        <w:rPr>
          <w:lang w:val="el" w:eastAsia="el"/>
        </w:rPr>
        <w:t xml:space="preserve">; </w:t>
      </w:r>
      <w:hyperlink r:id="rId48" w:anchor="art_42" w:history="1">
        <w:r>
          <w:rPr>
            <w:rStyle w:val="Hyperlink"/>
            <w:color w:val="0000EE"/>
            <w:u w:color="0000EE"/>
            <w:lang w:val="el" w:eastAsia="el"/>
          </w:rPr>
          <w:t>Τροποποίηση 4308/2014, Άρθρο 42</w:t>
        </w:r>
      </w:hyperlink>
      <w:r>
        <w:rPr>
          <w:lang w:val="el" w:eastAsia="el"/>
        </w:rPr>
        <w:t xml:space="preserve">; </w:t>
      </w:r>
      <w:hyperlink r:id="rId49" w:anchor="art_52" w:history="1">
        <w:r>
          <w:rPr>
            <w:rStyle w:val="Hyperlink"/>
            <w:color w:val="0000EE"/>
            <w:u w:color="0000EE"/>
            <w:lang w:val="el" w:eastAsia="el"/>
          </w:rPr>
          <w:t>Προσθήκη 4276/2014, Άρθρο 52</w:t>
        </w:r>
      </w:hyperlink>
      <w:r>
        <w:rPr>
          <w:lang w:val="el" w:eastAsia="el"/>
        </w:rPr>
        <w:t xml:space="preserve">; </w:t>
      </w:r>
      <w:hyperlink r:id="rId50"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1" w:history="1">
        <w:r>
          <w:rPr>
            <w:rStyle w:val="Hyperlink"/>
            <w:color w:val="0000EE"/>
            <w:u w:color="0000EE"/>
            <w:lang w:val="el" w:eastAsia="el"/>
          </w:rPr>
          <w:t>Προσθήκη 3842/2010,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4" w:history="1">
        <w:r>
          <w:rPr>
            <w:rStyle w:val="Hyperlink"/>
            <w:color w:val="0000EE"/>
            <w:u w:color="0000EE"/>
            <w:lang w:val="el" w:eastAsia="el"/>
          </w:rPr>
          <w:t>Τροποποίηση 3943/2011, Άρθρο 24</w:t>
        </w:r>
      </w:hyperlink>
      <w:r>
        <w:rPr>
          <w:lang w:val="el" w:eastAsia="el"/>
        </w:rPr>
        <w:t xml:space="preserve">; </w:t>
      </w:r>
      <w:hyperlink r:id="rId54"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Προσθήκη 3842/2010,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20/01/23/4652"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08/01/29/3634" TargetMode="External" /><Relationship Id="rId17" Type="http://schemas.openxmlformats.org/officeDocument/2006/relationships/hyperlink" Target="http://data.aade.gr/eli/pri/law/2019/04/24/4607"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7/14/4274"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9/05/27/3763"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5/07/02/4331" TargetMode="External" /><Relationship Id="rId28" Type="http://schemas.openxmlformats.org/officeDocument/2006/relationships/hyperlink" Target="http://data.aade.gr/eli/pri/law/2015/05/14/4328"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10/17/4337" TargetMode="External" /><Relationship Id="rId31" Type="http://schemas.openxmlformats.org/officeDocument/2006/relationships/hyperlink" Target="http://data.aade.gr/eli/pri/law/2014/09/10/42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08/01/29/3634"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1/08/22/400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6/08/08/4413"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1/24/4308" TargetMode="External" /><Relationship Id="rId49" Type="http://schemas.openxmlformats.org/officeDocument/2006/relationships/hyperlink" Target="http://data.aade.gr/eli/pri/law/2014/07/30/4276"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1/03/31/3943"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