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Νόμος 3427/2005</w:t>
      </w:r>
    </w:p>
    <w:p>
      <w:pPr>
        <w:pStyle w:val="PreambelText"/>
        <w:spacing w:before="240" w:after="240"/>
        <w:rPr>
          <w:lang w:val="el" w:eastAsia="el"/>
        </w:rPr>
      </w:pPr>
      <w:r>
        <w:rPr>
          <w:lang w:val="el" w:eastAsia="el"/>
        </w:rPr>
        <w:t>ΝΟΜΟΣ ΥΠ’ ΑΡΙΘΜ. 3427</w:t>
      </w:r>
    </w:p>
    <w:p>
      <w:pPr>
        <w:pStyle w:val="PreambelText"/>
        <w:spacing w:before="240" w:after="240"/>
        <w:rPr>
          <w:lang w:val="el" w:eastAsia="el"/>
        </w:rPr>
      </w:pPr>
      <w:r>
        <w:rPr>
          <w:lang w:val="el" w:eastAsia="el"/>
        </w:rPr>
        <w:t>(ΦΕΚ Α' 312/27-12-2005)</w:t>
      </w:r>
    </w:p>
    <w:p>
      <w:pPr>
        <w:pStyle w:val="PreambelText"/>
        <w:spacing w:before="240" w:after="240"/>
        <w:rPr>
          <w:lang w:val="el" w:eastAsia="el"/>
        </w:rPr>
      </w:pPr>
      <w:r>
        <w:rPr>
          <w:lang w:val="el" w:eastAsia="el"/>
        </w:rPr>
        <w:t>Φόρος προστιθέμενης αξίας στις νέες οικοδομές, μεταβολές στη φορολογία κεφαλαίου και άλλες διατάξεις.</w:t>
      </w:r>
    </w:p>
    <w:p>
      <w:pPr>
        <w:pStyle w:val="PreambelText"/>
        <w:spacing w:before="240" w:after="240"/>
        <w:rPr>
          <w:lang w:val="el" w:eastAsia="el"/>
        </w:rPr>
      </w:pPr>
      <w:r>
        <w:rPr>
          <w:lang w:val="el" w:eastAsia="el"/>
        </w:rPr>
        <w:t>Ο ΠΡΟΕΔΡΟΣ 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6"/>
        <w:spacing w:before="240" w:after="240"/>
        <w:rPr>
          <w:lang w:val="el" w:eastAsia="el"/>
        </w:rPr>
      </w:pPr>
      <w:r>
        <w:rPr>
          <w:lang w:val="el" w:eastAsia="el"/>
        </w:rPr>
        <w:t xml:space="preserve">Άρθρο 23. </w:t>
      </w:r>
    </w:p>
    <w:p>
      <w:pPr>
        <w:pStyle w:val="Heading6"/>
        <w:spacing w:before="240" w:after="240"/>
        <w:rPr>
          <w:lang w:val="el" w:eastAsia="el"/>
        </w:rPr>
      </w:pPr>
      <w:r>
        <w:rPr>
          <w:lang w:val="el" w:eastAsia="el"/>
        </w:rPr>
        <w:t>Δήλωση στοιχείων ακινήτων</w:t>
      </w:r>
    </w:p>
    <w:p>
      <w:pPr>
        <w:pStyle w:val="MainText"/>
        <w:spacing w:before="120" w:after="0"/>
        <w:rPr>
          <w:lang w:val="el" w:eastAsia="el"/>
        </w:rPr>
      </w:pPr>
      <w:r>
        <w:rPr>
          <w:b/>
          <w:bCs/>
          <w:lang w:val="el" w:eastAsia="el"/>
        </w:rPr>
        <w:t>1.</w:t>
      </w:r>
      <w:r>
        <w:rPr>
          <w:lang w:val="el" w:eastAsia="el"/>
        </w:rPr>
        <w:t xml:space="preserve"> Κάθε φυσικό ή νομικό πρόσωπο ή κάθε είδους νομική οντότητα, ανεξάρτητα από την ιθαγένεια, κατοικία ή έδρα του, το οποίο έχει την 1η Ιανουαρίου εμπράγματο δικαίωμα πλήρους κυριότητας, ψιλής κυριότητας, επικαρπίας, οίκησης και επιφάνειας επί του ακινήτου, καθώς και εμπράγματο ή ενοχικό δικαίωμα αποκλειστικής χρήσης θέσης στάθμευσης, βοηθητικού χώρου και κολυμβητικής δεξαμενής, που βρίσκονται σε κοινόκτητο τμήμα του ακινήτου και αποτελούν παρακολούθημα των παραπάνω εμπραγμάτων δικαιωμάτων, υποχρεούται να υποβάλει δήλωση στοιχείων ακινήτων. Την ίδια υποχρέωση έχουν τα παραπάνω πρόσωπα όταν νέμονται ακίνητα χωρίς τη συναίνεση φορέα της Γενικής Κυβέρνησης. Η δήλωση στοιχείων ακινήτων υποβάλλεται μία φορά, στο έτος που προκύπτει τέτοια υποχρέωση, σύμφωνα με το προηγούμενο εδάφιο. Η πρώτη εφαρμογή ήταν την 1η Ιανουαρίου 2005. Σε περίπτωση μεταβολής της περιουσιακής ή οικογενειακής κατάστασης του υποχρέου την 1η Ιανουαρίου, υποβάλλεται δήλωση μεταβολής στοιχείων ακινήτων το αντίστοιχο έτος. Φυσικά πρόσωπα, τα οποία κατά την 1.1.2013 έχουν εμπράγματα δικαιώματα σε γήπεδα εκτός σχεδίου πόλης ή οικισμού, υποχρεούνται να ελέγξουν ηλεκτρονικά μέχρι 30.6.2013 την περιουσιακή τους κατάσταση, όπως αυτή εμφανίζεται στην ιστοσελίδα της Γενικής Γραμματείας Πληροφοριακών Συστημάτων, προκειμένου να τη συμπληρώσουν, τροποποιήσουν και οριστικοποιήσουν. Νομικά πρόσωπα, τα οποία κατά την 1.1.2013 έχουν εμπράγματα δικαιώματα σε ακίνητα, υποχρεούνται σε ηλεκτρονική υποβολή δήλωσης στοιχείων ακινήτων μέχρι 30.6.2013, στην οποία θα περιλαμβάνεται η περιουσιακή τους κατάσταση, όπως είναι διαμορφωμένη κατά την 1.1.2013.</w:t>
      </w:r>
      <w:r>
        <w:rPr>
          <w:rStyle w:val="Hyperlink"/>
          <w:color w:val="000000"/>
          <w:sz w:val="20"/>
          <w:szCs w:val="20"/>
          <w:u w:val="none" w:color="0000EE"/>
          <w:vertAlign w:val="superscript"/>
          <w:lang w:val="el" w:eastAsia="el"/>
        </w:rPr>
        <w:footnoteReference w:id="2"/>
      </w:r>
    </w:p>
    <w:p>
      <w:pPr>
        <w:spacing w:before="240" w:after="240"/>
        <w:rPr>
          <w:lang w:val="el" w:eastAsia="el"/>
        </w:rPr>
      </w:pPr>
      <w:r>
        <w:rPr>
          <w:lang w:val="el" w:eastAsia="el"/>
        </w:rPr>
        <w:t>Από το έτος 2012 και επόμενα η δήλωση στοιχείων ακινήτων υποβάλλεται ατομικά από κάθε φυσικό πρόσωπο, στο έτος που προκύπτει τέτοια υποχρέωση. Για την ακίνητη περιουσία των προστατευομένων, κατά τις διατάξεις του άρθρου 7 του Κώδικα Φορολογίας Εισοδήματος , ανήλικων τέκνων, η δήλωση υποβάλλεται από τον υπόχρεο γονέα στο όνομα του τέκνου.</w:t>
      </w:r>
    </w:p>
    <w:p>
      <w:pPr>
        <w:spacing w:before="240" w:after="240"/>
        <w:rPr>
          <w:lang w:val="el" w:eastAsia="el"/>
        </w:rPr>
      </w:pPr>
      <w:r>
        <w:rPr>
          <w:lang w:val="el" w:eastAsia="el"/>
        </w:rPr>
        <w:t>Τα ακίνητα ή τα εμπράγματα δικαιώματα σε αυτά, ανεξάρτητα από τη μεταγραφή τους, για τις ανάγκες συμπλήρωσης της δήλωσης στοιχείων ακινήτων, αναγράφονται στην οικεία δήλωση από:</w:t>
      </w:r>
    </w:p>
    <w:p>
      <w:pPr>
        <w:pStyle w:val="StructureList1"/>
        <w:spacing w:before="120" w:after="0"/>
        <w:rPr>
          <w:lang w:val="el" w:eastAsia="el"/>
        </w:rPr>
      </w:pPr>
      <w:r>
        <w:rPr>
          <w:lang w:val="el" w:eastAsia="el"/>
        </w:rPr>
        <w:t>α)</w:t>
      </w:r>
      <w:r>
        <w:rPr>
          <w:lang w:val="en" w:eastAsia="en"/>
        </w:rPr>
        <w:tab/>
      </w:r>
      <w:r>
        <w:rPr>
          <w:lang w:val="el" w:eastAsia="el"/>
        </w:rPr>
        <w:t>τον κύριο του ακινήτου, από την ημερομηνία σύνταξης του οριστικού συμβολαίου κτήσης,</w:t>
      </w:r>
    </w:p>
    <w:p>
      <w:pPr>
        <w:pStyle w:val="StructureList1"/>
        <w:spacing w:before="120" w:after="0"/>
        <w:rPr>
          <w:lang w:val="el" w:eastAsia="el"/>
        </w:rPr>
      </w:pPr>
      <w:r>
        <w:rPr>
          <w:lang w:val="el" w:eastAsia="el"/>
        </w:rPr>
        <w:t>β)</w:t>
      </w:r>
      <w:r>
        <w:rPr>
          <w:lang w:val="en" w:eastAsia="en"/>
        </w:rPr>
        <w:tab/>
      </w:r>
      <w:r>
        <w:rPr>
          <w:lang w:val="el" w:eastAsia="el"/>
        </w:rPr>
        <w:t>τον κύριο του ακινήτου, από την ημερομηνία τελεσιδικίας της δικαστικής απόφασης καταδίκης σε δήλωση βουλήσεως ή της δικαστικής απόφασης με την οποία αναγνωρίζεται δικαίωμα κυριότητας ή άλλο εμπράγματο δικαίωμα σε ακίνητο από οποιαδήποτε αιτία,</w:t>
      </w:r>
    </w:p>
    <w:p>
      <w:pPr>
        <w:pStyle w:val="StructureList1"/>
        <w:spacing w:before="120" w:after="0"/>
        <w:rPr>
          <w:lang w:val="el" w:eastAsia="el"/>
        </w:rPr>
      </w:pPr>
      <w:r>
        <w:rPr>
          <w:lang w:val="el" w:eastAsia="el"/>
        </w:rPr>
        <w:t>γ)</w:t>
      </w:r>
      <w:r>
        <w:rPr>
          <w:lang w:val="en" w:eastAsia="en"/>
        </w:rPr>
        <w:tab/>
      </w:r>
      <w:r>
        <w:rPr>
          <w:lang w:val="el" w:eastAsia="el"/>
        </w:rPr>
        <w:t>τον υπερθεματιστή, από την ημερομηνία σύνταξης της κατακυρωτικής έκθεσης, σε περιπτώσεις πλειστηριασμού,</w:t>
      </w:r>
    </w:p>
    <w:p>
      <w:pPr>
        <w:pStyle w:val="StructureList1"/>
        <w:spacing w:before="120" w:after="0"/>
        <w:rPr>
          <w:lang w:val="el" w:eastAsia="el"/>
        </w:rPr>
      </w:pPr>
      <w:r>
        <w:rPr>
          <w:lang w:val="el" w:eastAsia="el"/>
        </w:rPr>
        <w:t>δ)</w:t>
      </w:r>
      <w:r>
        <w:rPr>
          <w:lang w:val="en" w:eastAsia="en"/>
        </w:rPr>
        <w:tab/>
      </w:r>
      <w:r>
        <w:rPr>
          <w:lang w:val="el" w:eastAsia="el"/>
        </w:rPr>
        <w:t>τους κληρονόμους ακίνητης περιουσίας και συγκεκριμένα:</w:t>
      </w:r>
    </w:p>
    <w:p>
      <w:pPr>
        <w:pStyle w:val="StructureList1"/>
        <w:spacing w:before="120" w:after="0"/>
        <w:rPr>
          <w:lang w:val="el" w:eastAsia="el"/>
        </w:rPr>
      </w:pPr>
      <w:r>
        <w:rPr>
          <w:lang w:val="el" w:eastAsia="el"/>
        </w:rPr>
        <w:t>δα)</w:t>
      </w:r>
      <w:r>
        <w:rPr>
          <w:lang w:val="en" w:eastAsia="en"/>
        </w:rPr>
        <w:tab/>
      </w:r>
      <w:r>
        <w:rPr>
          <w:lang w:val="el" w:eastAsia="el"/>
        </w:rPr>
        <w:t>από τους εκ διαθήκης κληρονόμους κατά το ποσοστό τους, εφόσον έχει δημοσιευθεί διαθήκη μέχρι την 31η Δεκεμβρίου του προηγούμενου της δήλωσης έτους,</w:t>
      </w:r>
    </w:p>
    <w:p>
      <w:pPr>
        <w:pStyle w:val="StructureList1"/>
        <w:spacing w:before="120" w:after="0"/>
        <w:rPr>
          <w:lang w:val="el" w:eastAsia="el"/>
        </w:rPr>
      </w:pPr>
      <w:r>
        <w:rPr>
          <w:lang w:val="el" w:eastAsia="el"/>
        </w:rPr>
        <w:t>δβ)</w:t>
      </w:r>
      <w:r>
        <w:rPr>
          <w:lang w:val="en" w:eastAsia="en"/>
        </w:rPr>
        <w:tab/>
      </w:r>
      <w:r>
        <w:rPr>
          <w:lang w:val="el" w:eastAsia="el"/>
        </w:rPr>
        <w:t>από τους εξ αδιαθέτου κληρονόμους κατά το ποσοστό τους, εφόσον δεν έχει δημοσιευθεί διαθήκη μέχρι την 31η Δεκεμβρίου του προηγούμενου της δήλωσης έτους,</w:t>
      </w:r>
    </w:p>
    <w:p>
      <w:pPr>
        <w:pStyle w:val="StructureList1"/>
        <w:spacing w:before="120" w:after="0"/>
        <w:rPr>
          <w:lang w:val="el" w:eastAsia="el"/>
        </w:rPr>
      </w:pPr>
      <w:r>
        <w:rPr>
          <w:lang w:val="el" w:eastAsia="el"/>
        </w:rPr>
        <w:t>δγ)</w:t>
      </w:r>
      <w:r>
        <w:rPr>
          <w:lang w:val="en" w:eastAsia="en"/>
        </w:rPr>
        <w:tab/>
      </w:r>
      <w:r>
        <w:rPr>
          <w:lang w:val="el" w:eastAsia="el"/>
        </w:rPr>
        <w:t>από τους μετά από αποποιήσεις κληρονόμους κατά το ποσοστό τους, από το επόμενο έτος του θανάτου του κληρονομουμένου ή, στην περίπτωση που έχει δημοσιευθεί διαθήκη, από το επόμενο έτος της δημοσίευσης αυτής, χωρίς την επιβολή προστίμου, εφόσον η δήλωση υποβληθεί μέχρι την τελευταία εργάσιμη ημέρα του επόμενου μήνα της λήξης της προθεσμίας αποποίησης,</w:t>
      </w:r>
      <w:r>
        <w:rPr>
          <w:rStyle w:val="Hyperlink"/>
          <w:color w:val="000000"/>
          <w:sz w:val="20"/>
          <w:szCs w:val="20"/>
          <w:u w:val="none" w:color="0000EE"/>
          <w:vertAlign w:val="superscript"/>
          <w:lang w:val="el" w:eastAsia="el"/>
        </w:rPr>
        <w:footnoteReference w:id="3"/>
      </w:r>
    </w:p>
    <w:p>
      <w:pPr>
        <w:pStyle w:val="StructureList1"/>
        <w:spacing w:before="120" w:after="0"/>
        <w:rPr>
          <w:lang w:val="el" w:eastAsia="el"/>
        </w:rPr>
      </w:pPr>
      <w:r>
        <w:rPr>
          <w:lang w:val="el" w:eastAsia="el"/>
        </w:rPr>
        <w:t>ε)</w:t>
      </w:r>
      <w:r>
        <w:rPr>
          <w:lang w:val="en" w:eastAsia="en"/>
        </w:rPr>
        <w:tab/>
      </w:r>
      <w:r>
        <w:rPr>
          <w:lang w:val="el" w:eastAsia="el"/>
        </w:rPr>
        <w:t>από όσους έχουν αποκτήσει ακίνητο με οριστικό συμβόλαιο δωρεάς αιτία θανάτου, εφόσον ο θάνατος επήλθε μέχρι την 31η Δεκεμβρίου του προηγούμενου της δήλωσης έτους,</w:t>
      </w:r>
    </w:p>
    <w:p>
      <w:pPr>
        <w:pStyle w:val="StructureList1"/>
        <w:spacing w:before="120" w:after="0"/>
        <w:rPr>
          <w:lang w:val="el" w:eastAsia="el"/>
        </w:rPr>
      </w:pPr>
      <w:r>
        <w:rPr>
          <w:lang w:val="el" w:eastAsia="el"/>
        </w:rPr>
        <w:t>στ)</w:t>
      </w:r>
      <w:r>
        <w:rPr>
          <w:lang w:val="en" w:eastAsia="en"/>
        </w:rPr>
        <w:tab/>
      </w:r>
      <w:r>
        <w:rPr>
          <w:lang w:val="el" w:eastAsia="el"/>
        </w:rPr>
        <w:t>τον νομέα επίδικων ακινήτων,</w:t>
      </w:r>
    </w:p>
    <w:p>
      <w:pPr>
        <w:pStyle w:val="StructureList1"/>
        <w:spacing w:before="120" w:after="0"/>
        <w:rPr>
          <w:lang w:val="el" w:eastAsia="el"/>
        </w:rPr>
      </w:pPr>
      <w:r>
        <w:rPr>
          <w:lang w:val="el" w:eastAsia="el"/>
        </w:rPr>
        <w:t>ζ)</w:t>
      </w:r>
      <w:r>
        <w:rPr>
          <w:lang w:val="en" w:eastAsia="en"/>
        </w:rPr>
        <w:tab/>
      </w:r>
      <w:r>
        <w:rPr>
          <w:lang w:val="el" w:eastAsia="el"/>
        </w:rPr>
        <w:t>τον εκ προσυμφώνου αγοραστή ακινήτου στις περιπτώσεις σύνταξης προσυμφώνου με αυτοσύμβαση, με εξαίρεση τα εργολαβικά προσύμφωνα,</w:t>
      </w:r>
    </w:p>
    <w:p>
      <w:pPr>
        <w:pStyle w:val="StructureList1"/>
        <w:spacing w:before="120" w:after="0"/>
        <w:rPr>
          <w:lang w:val="el" w:eastAsia="el"/>
        </w:rPr>
      </w:pPr>
      <w:r>
        <w:rPr>
          <w:lang w:val="el" w:eastAsia="el"/>
        </w:rPr>
        <w:t>η)</w:t>
      </w:r>
      <w:r>
        <w:rPr>
          <w:lang w:val="en" w:eastAsia="en"/>
        </w:rPr>
        <w:tab/>
      </w:r>
      <w:r>
        <w:rPr>
          <w:lang w:val="el" w:eastAsia="el"/>
        </w:rPr>
        <w:t>τους δικαιούχους ακινήτου από το Δημόσιο ή τον Οργανισμό Εργατικής Κατοικίας ή Οργανισμό Τοπικής Αυτοδιοίκησης ή Ν.Π.Δ.Δ. που έχουν παραλάβει αυτά χωρίς οριστικά παραχωρητήρια,</w:t>
      </w:r>
      <w:r>
        <w:rPr>
          <w:rStyle w:val="Hyperlink"/>
          <w:color w:val="000000"/>
          <w:sz w:val="20"/>
          <w:szCs w:val="20"/>
          <w:u w:val="none" w:color="0000EE"/>
          <w:vertAlign w:val="superscript"/>
          <w:lang w:val="el" w:eastAsia="el"/>
        </w:rPr>
        <w:footnoteReference w:id="4"/>
      </w:r>
    </w:p>
    <w:p>
      <w:pPr>
        <w:pStyle w:val="StructureList1"/>
        <w:spacing w:before="120" w:after="0"/>
        <w:rPr>
          <w:lang w:val="el" w:eastAsia="el"/>
        </w:rPr>
      </w:pPr>
      <w:r>
        <w:rPr>
          <w:lang w:val="el" w:eastAsia="el"/>
        </w:rPr>
        <w:t>θ)</w:t>
      </w:r>
      <w:r>
        <w:rPr>
          <w:lang w:val="en" w:eastAsia="en"/>
        </w:rPr>
        <w:tab/>
      </w:r>
      <w:r>
        <w:rPr>
          <w:lang w:val="el" w:eastAsia="el"/>
        </w:rPr>
        <w:t>τον υπόχρεο γονέα, για την ακίνητη περιουσία των προστατευόμενων τέκνων του, σύμφωνα με τις διατάξεις του άρθρου 7 του Κώδικα Φορολογίας Εισοδήματος, που κυρώθηκε με το άρθρο πρώτο του Ν. 2234/1994, όπως ισχύει. Τέκνο το οποίο έχει υποχρέωση υποβολής δήλωσης φορολογίας εισοδήματος υποβάλει αυτοτελώς δήλωση στοιχείων ακινήτων,</w:t>
      </w:r>
    </w:p>
    <w:p>
      <w:pPr>
        <w:pStyle w:val="StructureList1"/>
        <w:spacing w:before="120" w:after="0"/>
        <w:rPr>
          <w:lang w:val="el" w:eastAsia="el"/>
        </w:rPr>
      </w:pPr>
      <w:r>
        <w:rPr>
          <w:lang w:val="el" w:eastAsia="el"/>
        </w:rPr>
        <w:t>ι)</w:t>
      </w:r>
      <w:r>
        <w:rPr>
          <w:lang w:val="en" w:eastAsia="en"/>
        </w:rPr>
        <w:tab/>
      </w:r>
      <w:r>
        <w:rPr>
          <w:lang w:val="el" w:eastAsia="el"/>
        </w:rPr>
        <w:t>τον κηδεμόνα, για την ακίνητη περιουσία σχολάζουσας κληρονομιάς, διαχωρισμένη από την ατομική του περιουσία, για όσο διάστημα τη διαχειρίζεται, ια) τον εκτελεστή διαθήκης ή τον εκκαθαριστή κληρονομίας, για την κληρονομιαία ακίνητη περιουσία, διαχωρισμένη από την ατομική του περιουσία, για όσο διάστημα τη διαχειρίζεται και τη διοικεί,</w:t>
      </w:r>
    </w:p>
    <w:p>
      <w:pPr>
        <w:pStyle w:val="StructureList1"/>
        <w:spacing w:before="120" w:after="0"/>
        <w:rPr>
          <w:lang w:val="el" w:eastAsia="el"/>
        </w:rPr>
      </w:pPr>
      <w:r>
        <w:rPr>
          <w:lang w:val="el" w:eastAsia="el"/>
        </w:rPr>
        <w:t>ιβ)</w:t>
      </w:r>
      <w:r>
        <w:rPr>
          <w:lang w:val="en" w:eastAsia="en"/>
        </w:rPr>
        <w:tab/>
      </w:r>
      <w:r>
        <w:rPr>
          <w:lang w:val="el" w:eastAsia="el"/>
        </w:rPr>
        <w:t>τον σύνδικο της πτώχευσης για λογαριασμό του πτωχού, για την πτωχευτική ακίνητη περιουσία,</w:t>
      </w:r>
    </w:p>
    <w:p>
      <w:pPr>
        <w:pStyle w:val="StructureList1"/>
        <w:spacing w:before="120" w:after="0"/>
        <w:rPr>
          <w:lang w:val="el" w:eastAsia="el"/>
        </w:rPr>
      </w:pPr>
      <w:r>
        <w:rPr>
          <w:lang w:val="el" w:eastAsia="el"/>
        </w:rPr>
        <w:t>ιγ)</w:t>
      </w:r>
      <w:r>
        <w:rPr>
          <w:lang w:val="en" w:eastAsia="en"/>
        </w:rPr>
        <w:tab/>
      </w:r>
      <w:r>
        <w:rPr>
          <w:lang w:val="el" w:eastAsia="el"/>
        </w:rPr>
        <w:t>το μεσεγγυούχο ακίνητης περιουσίας, για την υπό μεσεγγύηση περιουσία, διαχωρισμένη από την ατομική του περιουσία, για όσο διάστημα διαρκεί η μεσεγγύηση,</w:t>
      </w:r>
    </w:p>
    <w:p>
      <w:pPr>
        <w:pStyle w:val="StructureList1"/>
        <w:spacing w:before="120" w:after="0"/>
        <w:rPr>
          <w:lang w:val="el" w:eastAsia="el"/>
        </w:rPr>
      </w:pPr>
      <w:r>
        <w:rPr>
          <w:lang w:val="el" w:eastAsia="el"/>
        </w:rPr>
        <w:t>ιδ)</w:t>
      </w:r>
      <w:r>
        <w:rPr>
          <w:lang w:val="en" w:eastAsia="en"/>
        </w:rPr>
        <w:tab/>
      </w:r>
      <w:r>
        <w:rPr>
          <w:lang w:val="el" w:eastAsia="el"/>
        </w:rPr>
        <w:t>τον κάτοχο ακινήτου που ανήκει σε φορέα της Γενικής Κυβέρνησης, χωρίς τη συναίνεσή του.</w:t>
      </w:r>
      <w:r>
        <w:rPr>
          <w:rStyle w:val="Hyperlink"/>
          <w:color w:val="000000"/>
          <w:sz w:val="20"/>
          <w:szCs w:val="20"/>
          <w:u w:val="none" w:color="0000EE"/>
          <w:vertAlign w:val="superscript"/>
          <w:lang w:val="el" w:eastAsia="el"/>
        </w:rPr>
        <w:footnoteReference w:id="5"/>
      </w:r>
    </w:p>
    <w:p>
      <w:pPr>
        <w:spacing w:before="240" w:after="240"/>
        <w:rPr>
          <w:lang w:val="el" w:eastAsia="el"/>
        </w:rPr>
      </w:pPr>
      <w:r>
        <w:rPr>
          <w:lang w:val="el" w:eastAsia="el"/>
        </w:rPr>
        <w:t>Από το έτος 2011 και επόμενα, για την εφαρμογή του παρόντος νόμου, υπόχρεος σε δήλωση στοιχείων ακινήτων είναι ο εργολάβος για ακίνητα τα οποία συμφωνήθηκε να μεταβιβασθούν και δεν έχουν μεταβιβαστεί από τον οικοπεδούχο στον εργολάβο ή σε τρίτα πρόσωπα που αυτός θα υποδείξει, εφόσον έχουν παρέλθει τρία (3) έτη από την έκδοση της αρχικής οικοδομικής άδειας ή έχουν εκμισθωθεί ή χρησιμοποιηθεί με οποιονδήποτε τρόπο εντός των τριών (3) αυτών ετών από τον εργολάβο.</w:t>
      </w:r>
      <w:r>
        <w:rPr>
          <w:rStyle w:val="Hyperlink"/>
          <w:color w:val="000000"/>
          <w:sz w:val="20"/>
          <w:szCs w:val="20"/>
          <w:u w:val="none" w:color="0000EE"/>
          <w:vertAlign w:val="superscript"/>
          <w:lang w:val="el" w:eastAsia="el"/>
        </w:rPr>
        <w:footnoteReference w:id="6"/>
      </w:r>
    </w:p>
    <w:p>
      <w:pPr>
        <w:spacing w:before="240" w:after="240"/>
        <w:rPr>
          <w:lang w:val="el" w:eastAsia="el"/>
        </w:rPr>
      </w:pPr>
      <w:r>
        <w:rPr>
          <w:lang w:val="el" w:eastAsia="el"/>
        </w:rPr>
        <w:t>Για τη συμπλήρωση της δήλωσης στοιχείων ακινήτων λαμβάνεται υπόψη η πραγματική κατάσταση του ακινήτου. Η πραγματική κατάσταση του ακινήτου προκύπτει από την οριστική εγγραφή στο κτηματολογικό γραφείο. Αν δεν υπάρχει οριστική εγγραφή, λαμβάνονται υπόψη τα στοιχεία του ακινήτου, όπως προκύπτουν από τον τίτλο κτήσης. Αν δεν υπάρχει τίτλος κτήσης, λαμβάνονται υπόψη τα στοιχεία της πραγματικής κατάστασης του ακινήτου. Αν η πραγματική επιφάνεια του ακινήτου υπερβαίνει αυτή που αναγράφεται στην οριστική εγγραφή στο κτηματολογικό γραφείο ή στον τίτλο κτήσης ή στην άδεια οικοδομής ή έχει γίνει αλλαγή της χρήσης του ακινήτου, λαμβάνεται υπόψη η πραγματική επιφάνεια και η πραγματική χρήση του ακινήτου.</w:t>
      </w:r>
      <w:r>
        <w:rPr>
          <w:rStyle w:val="Hyperlink"/>
          <w:color w:val="000000"/>
          <w:sz w:val="20"/>
          <w:szCs w:val="20"/>
          <w:u w:val="none" w:color="0000EE"/>
          <w:vertAlign w:val="superscript"/>
          <w:lang w:val="el" w:eastAsia="el"/>
        </w:rPr>
        <w:footnoteReference w:id="7"/>
      </w:r>
    </w:p>
    <w:p>
      <w:pPr>
        <w:spacing w:before="240" w:after="240"/>
        <w:rPr>
          <w:lang w:val="el" w:eastAsia="el"/>
        </w:rPr>
      </w:pPr>
      <w:r>
        <w:rPr>
          <w:lang w:val="el" w:eastAsia="el"/>
        </w:rPr>
        <w:t>Από το έτος 2014, υπόχρεος σε υποβολή δήλωσης στοιχείων ακινήτων, είναι ο εργολάβος, για ακίνητο το οποίο, αν και συμφωνήθηκε να μεταβιβασθεί δεν έχει μεταβιβαστεί από τον γηπεδούχο στον εργολάβο ή σε τρίτα πρόσωπα που αυτός έχει υποδείξει, εφόσον έχουν παρέλθει τέσσερα (4) έτη από την ημερομηνία θεώ</w:t>
      </w:r>
      <w:r>
        <w:rPr>
          <w:lang w:val="el" w:eastAsia="el"/>
        </w:rPr>
        <w:softHyphen/>
        <w:t>ρησης από την Ελληνική Αστυνομία της οικοδομικής άδειας για την έναρξη των εργασιών ή έχουν εκμισθωθεί ή χρησιμοποιηθεί με οποιονδήποτε τρόπο εντός των τεσσάρων (4) αυτών ετών από τον εργολάβο.</w:t>
      </w:r>
      <w:r>
        <w:rPr>
          <w:rStyle w:val="Hyperlink"/>
          <w:color w:val="000000"/>
          <w:sz w:val="20"/>
          <w:szCs w:val="20"/>
          <w:u w:val="none" w:color="0000EE"/>
          <w:vertAlign w:val="superscript"/>
          <w:lang w:val="el" w:eastAsia="el"/>
        </w:rPr>
        <w:footnoteReference w:id="8"/>
      </w:r>
    </w:p>
    <w:p>
      <w:pPr>
        <w:spacing w:before="240" w:after="240"/>
        <w:rPr>
          <w:lang w:val="el" w:eastAsia="el"/>
        </w:rPr>
      </w:pPr>
      <w:r>
        <w:rPr>
          <w:lang w:val="el" w:eastAsia="el"/>
        </w:rPr>
        <w:t>Νομικά πρόσωπα που έχουν δηλώσει τα στοιχεία των ακινήτων τους, της 1ης Ιανουαρίου 2011, με την υποβολή ηλεκτρονικού αρχείου υπολογιστικών φύλλων εφαρμογών γραφείου, υποβάλλουν εμπρόθεσμα τις μεταβολές της περιουσιακής τους κατάστασης της 1ης Ιανουαρίου των ετών 2011, 2012, 2013 και 2014, εφόσον η υποβολή γίνει εντός προθεσμίας σαράντα πέντε (45) ημερών από την ανάρτηση από τη Φορολογική Διοίκηση της προσωρινής περιουσιακής τους εικόνας, βάσει των ανωτέρω υποβληθέντων ηλεκτρονικών αρχείων, και πάντως, το αργότερο μέχρι και τη 31η Μαρτίου 2015.</w:t>
      </w:r>
      <w:r>
        <w:rPr>
          <w:rStyle w:val="Hyperlink"/>
          <w:color w:val="000000"/>
          <w:sz w:val="20"/>
          <w:szCs w:val="20"/>
          <w:u w:val="none" w:color="0000EE"/>
          <w:vertAlign w:val="superscript"/>
          <w:lang w:val="el" w:eastAsia="el"/>
        </w:rPr>
        <w:footnoteReference w:id="9"/>
      </w:r>
    </w:p>
    <w:p>
      <w:pPr>
        <w:spacing w:before="240" w:after="240"/>
        <w:rPr>
          <w:lang w:val="el" w:eastAsia="el"/>
        </w:rPr>
      </w:pPr>
      <w:r>
        <w:rPr>
          <w:lang w:val="el" w:eastAsia="el"/>
        </w:rPr>
        <w:t>Ειδικά, για τα έτη 2012 έως και 2016, για τη χορήγηση του πιστοποιητικού του άρθρου 54Α του Ν. 4223/2013 , εφόσον δεν έχει υποβληθεί δήλωση για ακίνητο του πτωχού από τον υπόχρεο σε δήλωση, η δήλωση για το ακίνητο αυτό υποβάλλεται από τον κατά το χρόνο χορήγησης του πιστοποιητικού σύνδικο της πτώχευσης στο όνομα του πτωχού.</w:t>
      </w:r>
      <w:r>
        <w:rPr>
          <w:rStyle w:val="Hyperlink"/>
          <w:color w:val="000000"/>
          <w:sz w:val="20"/>
          <w:szCs w:val="20"/>
          <w:u w:val="none" w:color="0000EE"/>
          <w:vertAlign w:val="superscript"/>
          <w:lang w:val="el" w:eastAsia="el"/>
        </w:rPr>
        <w:footnoteReference w:id="10"/>
      </w:r>
    </w:p>
    <w:p>
      <w:pPr>
        <w:pStyle w:val="MainText"/>
        <w:spacing w:before="120" w:after="0"/>
        <w:rPr>
          <w:lang w:val="el" w:eastAsia="el"/>
        </w:rPr>
      </w:pPr>
      <w:r>
        <w:rPr>
          <w:b/>
          <w:bCs/>
          <w:lang w:val="el" w:eastAsia="el"/>
        </w:rPr>
        <w:t>1.</w:t>
      </w:r>
      <w:r>
        <w:rPr>
          <w:lang w:val="el" w:eastAsia="el"/>
        </w:rPr>
        <w:t xml:space="preserve"> α. Μετά τη σύνταξη υποσχετικής ή εκποιητικής δικαιοπραξίας, με την οποία συστήνονται, μεταβάλλονται, αλλοιώνονται ή μεταβιβάζονται από οποιαδήποτε αιτία δικαιώματα επί ακινήτου, ο συμβολαιογράφος υποχρεούται εντός τριάντα (30) ημερών σε υποβολή δήλωσης στοιχείων ακινήτων με τις μεταβολές της ακίνητης περιουσίας των συμβαλλομένων, με εξαίρεση την περίπτωση κατά την οποία δηλωθεί ρητά από τον ή από τους συμβαλλομένους ότι η σχετική δήλωση στοιχείων ακινήτων θα υποβληθεί από τους ίδιους. Τα ανωτέρω ισχύουν και κατά τη σύνταξη περίληψης κατακυρωτικής έκθεσης επί εκούσιου πλειστηριασμού. Στον συμβολαιογράφο που παραβαίνει την ανωτέρω υποχρέωση επιβάλλεται αυτοτελές πρόστιμο ύψους διακοσίων (200) ευρώ. Με απόφαση του Διοικητή της ΑΑΔΕ καθορίζεται ο τρόπος υποβολής των δηλώσεων, ο τύπος και το περιεχόμενο αυτών, η διαδικασία υποβολής, ο τρόπος αποκατάστασης των λαθών, καθώς και κάθε άλλο αναγκαίο θέμα για την εφαρμογή της παραγράφου αυτής.</w:t>
      </w:r>
      <w:r>
        <w:rPr>
          <w:rStyle w:val="Hyperlink"/>
          <w:color w:val="000000"/>
          <w:sz w:val="20"/>
          <w:szCs w:val="20"/>
          <w:u w:val="none" w:color="0000EE"/>
          <w:vertAlign w:val="superscript"/>
          <w:lang w:val="el" w:eastAsia="el"/>
        </w:rPr>
        <w:footnoteReference w:id="11"/>
      </w:r>
    </w:p>
    <w:p>
      <w:pPr>
        <w:pStyle w:val="MainText"/>
        <w:spacing w:before="120" w:after="0"/>
        <w:rPr>
          <w:lang w:val="el" w:eastAsia="el"/>
        </w:rPr>
      </w:pPr>
      <w:r>
        <w:rPr>
          <w:b/>
          <w:bCs/>
          <w:lang w:val="el" w:eastAsia="el"/>
        </w:rPr>
        <w:t>2.</w:t>
      </w:r>
      <w:r>
        <w:rPr>
          <w:lang w:val="el" w:eastAsia="el"/>
        </w:rPr>
        <w:t xml:space="preserve"> Το 2008 η δήλωση στοιχείων ακινήτων υποβάλλεται μέχρι την 31η Μαρτίου. Μέχρι την ημερομηνία αυτή παρέχεται η δυνατότητα στους υποχρέους να τροποποιήσουν τις δηλώσεις στοιχείων ακινήτων προηγούμενων ετών, χωρίς την επιβολή του αυτοτελούς προστίμου του άρθρου 4 του Ν. 2523/1997 (ΦΕΚ 179 Α΄). Ειδικά για νομικά πρόσωπα οι ως άνω δηλώσεις υποβάλλονται μέχρι και την 30ή Ιουνίου.</w:t>
      </w:r>
      <w:r>
        <w:rPr>
          <w:rStyle w:val="Hyperlink"/>
          <w:color w:val="000000"/>
          <w:sz w:val="20"/>
          <w:szCs w:val="20"/>
          <w:u w:val="none" w:color="0000EE"/>
          <w:vertAlign w:val="superscript"/>
          <w:lang w:val="el" w:eastAsia="el"/>
        </w:rPr>
        <w:footnoteReference w:id="12"/>
      </w:r>
    </w:p>
    <w:p>
      <w:pPr>
        <w:pStyle w:val="MainText"/>
        <w:spacing w:before="120" w:after="0"/>
        <w:rPr>
          <w:lang w:val="el" w:eastAsia="el"/>
        </w:rPr>
      </w:pPr>
      <w:r>
        <w:rPr>
          <w:b/>
          <w:bCs/>
          <w:lang w:val="el" w:eastAsia="el"/>
        </w:rPr>
        <w:t>3.</w:t>
      </w:r>
      <w:r>
        <w:rPr>
          <w:lang w:val="el" w:eastAsia="el"/>
        </w:rPr>
        <w:t xml:space="preserve"> α. Για τη σύσταση, απόκτηση και κάθε άλλη μεταβολή στα δικαιώματα της παρ. 1, ο υπόχρεος σε υποβολή δήλωσης στοιχείων ακινήτων υποβάλλει αυτήν μέχρι και την 31η Μαρτίου του επόμενου έτους από την ημέρα της σύστασης, απόκτησης και κάθε άλλης μεταβολής στα παραπάνω δικαιώματα, πλην της κληρονομικής διαδοχής, για την οποία ο φορολογούμενος υποχρεούται σε υποβολή δήλωσης στοιχείων ακινήτων μέχρι την τελευταία εργάσιμη ημέρα του επόμενου μήνα της λήξης της προθεσμίας αποποίησης της κληρονομίας. Με απόφαση του Υπουργού Οικονομικών δύναται να παρατείνεται η προθεσμία του προηγούμενου εδαφίου. β. Ειδικότερα οι δηλώσεις στοιχείων ακινήτων έτους 2014, που υποβάλλονται προκειμένου να απεικονισθεί η περιουσιακή κατάσταση της 1ης Ιανουαρίου 2014, υποβάλλονται εμπρόθεσμα μέχρι και τη 14η Ιουλίου 2014.</w:t>
      </w:r>
      <w:r>
        <w:rPr>
          <w:rStyle w:val="Hyperlink"/>
          <w:color w:val="000000"/>
          <w:sz w:val="20"/>
          <w:szCs w:val="20"/>
          <w:u w:val="none" w:color="0000EE"/>
          <w:vertAlign w:val="superscript"/>
          <w:lang w:val="el" w:eastAsia="el"/>
        </w:rPr>
        <w:footnoteReference w:id="13"/>
      </w:r>
    </w:p>
    <w:p>
      <w:pPr>
        <w:spacing w:before="240" w:after="240"/>
        <w:rPr>
          <w:lang w:val="el" w:eastAsia="el"/>
        </w:rPr>
      </w:pPr>
      <w:r>
        <w:rPr>
          <w:lang w:val="el" w:eastAsia="el"/>
        </w:rPr>
        <w:t>γ. Ειδικά, η δήλωση για κάθε σύσταση, απόκτηση και κάθε άλλη μεταβολή στοιχείων ακινήτων που έλαβε χώρα από την 1η Ιανουαρίου 2014 μέχρι και την 31η Δεκεμβρίου 2014, υποβάλλεται μέχρι και την 27 Ιουλίου 2015. Στην ίδια προθεσμία υποβάλλεται η δήλωση για κάθε σύσταση, απόκτηση και κάθε άλλη μεταβολή στοιχείων ακινήτων που έλαβε χώρα από την 1η Ιανουαρίου 2015 μέχρι και την 31η Μαΐου 2015. Νομικά πρόσωπα που έχουν δηλώσει τα στοιχεία των ακινήτων τους, της 1ης Ιανουαρίου 2011, με την υποβολή ηλεκτρονικού αρχείου υπολογιστικών φύλλων εφαρμογών γραφείου, υποβάλλουν εμπρόθεσμα τις μεταβολές της περιουσιακής τους κατάστασης της 1ης Ιανουαρίου των ετών 2011, 2012, 2013 και 2014, εφόσον η υποβολή γίνει το αργότερο εντός προθεσμίας σαράντα πέντε (45) ημερών από την ανάρτηση από τη Φορολογική Διοίκηση της προσωρινής περιουσιακής τους εικόνας, βάσει των ανωτέρω προβληθέντων ηλεκτρονικών αρχείων, και σε κάθε περίπτωση όχι αργότερα από την 30ή Ιουνίου 2015, ανεξάρτητα από την ανάρτηση.</w:t>
      </w:r>
      <w:r>
        <w:rPr>
          <w:rStyle w:val="Hyperlink"/>
          <w:color w:val="000000"/>
          <w:sz w:val="20"/>
          <w:szCs w:val="20"/>
          <w:u w:val="none" w:color="0000EE"/>
          <w:vertAlign w:val="superscript"/>
          <w:lang w:val="el" w:eastAsia="el"/>
        </w:rPr>
        <w:footnoteReference w:id="14"/>
      </w:r>
    </w:p>
    <w:p>
      <w:pPr>
        <w:pStyle w:val="MainText"/>
        <w:spacing w:before="120" w:after="0"/>
        <w:rPr>
          <w:lang w:val="el" w:eastAsia="el"/>
        </w:rPr>
      </w:pPr>
      <w:r>
        <w:rPr>
          <w:b/>
          <w:bCs/>
          <w:lang w:val="el" w:eastAsia="el"/>
        </w:rPr>
        <w:t>4.</w:t>
      </w:r>
      <w:r>
        <w:rPr>
          <w:lang w:val="el" w:eastAsia="el"/>
        </w:rPr>
        <w:t xml:space="preserve"> Οι διατάξεις του άρθρου αυτού δεν έχουν εφαρμογή για ακίνητα του Δημοσίου, του Ταμείου Αξιοποίησης Ιδιωτικής Περιουσίας του Δημοσίου (Τ.Α.Ι.ΠΕ.Δ.), της Εταιρείας Ακινήτων Δημοσίου (ΕΤ.Α.Δ.) Α.Ε., καθώς και για τα πρόσωπα της υποπερίπτωσης β΄ της περίπτωσης στ΄ της παρ. 1 του άρθρου 3 του Ν. 4223/2013 (Α΄ 287).</w:t>
      </w:r>
      <w:r>
        <w:rPr>
          <w:rStyle w:val="Hyperlink"/>
          <w:color w:val="000000"/>
          <w:sz w:val="20"/>
          <w:szCs w:val="20"/>
          <w:u w:val="none" w:color="0000EE"/>
          <w:vertAlign w:val="superscript"/>
          <w:lang w:val="el" w:eastAsia="el"/>
        </w:rPr>
        <w:footnoteReference w:id="15"/>
      </w:r>
    </w:p>
    <w:p>
      <w:pPr>
        <w:pStyle w:val="MainText"/>
        <w:spacing w:before="120" w:after="0"/>
        <w:rPr>
          <w:lang w:val="el" w:eastAsia="el"/>
        </w:rPr>
      </w:pPr>
      <w:r>
        <w:rPr>
          <w:b/>
          <w:bCs/>
          <w:lang w:val="el" w:eastAsia="el"/>
        </w:rPr>
        <w:t>5.</w:t>
      </w:r>
      <w:r>
        <w:rPr>
          <w:lang w:val="el" w:eastAsia="el"/>
        </w:rPr>
        <w:t xml:space="preserve"> Αρμόδιος για την παραλαβή των δηλώσεων στοιχείων ακινήτων, τον έλεγχό τους και την εξακρίβωση αυτών που δεν έχουν υποβάλει δηλώσεις είναι ο προϊστάμενος της αρμόδιας για τη φορολογία εισοδήματος Δημόσιας Οικονομικής Υπηρεσίας του υπόχρεου την 1η Ιανουαρίου του έτους κατά το οποίο γεννάται η φορολογική υποχρέωση.</w:t>
      </w:r>
      <w:r>
        <w:rPr>
          <w:rStyle w:val="Hyperlink"/>
          <w:color w:val="000000"/>
          <w:sz w:val="20"/>
          <w:szCs w:val="20"/>
          <w:u w:val="none" w:color="0000EE"/>
          <w:vertAlign w:val="superscript"/>
          <w:lang w:val="el" w:eastAsia="el"/>
        </w:rPr>
        <w:footnoteReference w:id="16"/>
      </w:r>
    </w:p>
    <w:p>
      <w:pPr>
        <w:pStyle w:val="MainText"/>
        <w:spacing w:before="120" w:after="0"/>
        <w:rPr>
          <w:lang w:val="el" w:eastAsia="el"/>
        </w:rPr>
      </w:pPr>
      <w:r>
        <w:rPr>
          <w:b/>
          <w:bCs/>
          <w:lang w:val="el" w:eastAsia="el"/>
        </w:rPr>
        <w:t>6.</w:t>
      </w:r>
      <w:r>
        <w:rPr>
          <w:lang w:val="el" w:eastAsia="el"/>
        </w:rPr>
        <w:t xml:space="preserve"> Η υποχρέωση του φορολογουμένου για την υποβολή δήλωσης στοιχείων ακινήτων δεν παραγράφεται.</w:t>
      </w:r>
      <w:r>
        <w:rPr>
          <w:rStyle w:val="Hyperlink"/>
          <w:color w:val="000000"/>
          <w:sz w:val="20"/>
          <w:szCs w:val="20"/>
          <w:u w:val="none" w:color="0000EE"/>
          <w:vertAlign w:val="superscript"/>
          <w:lang w:val="el" w:eastAsia="el"/>
        </w:rPr>
        <w:footnoteReference w:id="17"/>
      </w:r>
    </w:p>
    <w:p>
      <w:pPr>
        <w:pStyle w:val="MainText"/>
        <w:spacing w:before="120" w:after="0"/>
        <w:rPr>
          <w:lang w:val="el" w:eastAsia="el"/>
        </w:rPr>
      </w:pPr>
      <w:r>
        <w:rPr>
          <w:b/>
          <w:bCs/>
          <w:lang w:val="el" w:eastAsia="el"/>
        </w:rPr>
        <w:t>7.</w:t>
      </w:r>
      <w:r>
        <w:rPr>
          <w:lang w:val="el" w:eastAsia="el"/>
        </w:rPr>
        <w:t xml:space="preserve"> Οι δηλώσεις στοιχείων ακινήτων χρησιμοποιούνται αποκλειστικά για φορολογικούς σκοπούς και δεν επιτρέπεται η χρησιμοποίηση τους για δίωξη εκείνου που υπέβαλε τη δήλωση, για παράβαση των κειμένων διατάξεων. Οι δηλώσεις στοιχείων ακινήτων είναι απόρρητες και δεν επιτρέπεται η γνωστοποίησή τους σε οποιονδήποτε άλλον εκτός από τον φορολογούμενο στον οποίο αφορούν αυτές. Κατ΄ εξαίρεση επιτρέπεται, αποκλειστικά και μόνο:</w:t>
      </w:r>
      <w:r>
        <w:rPr>
          <w:rStyle w:val="Hyperlink"/>
          <w:color w:val="000000"/>
          <w:sz w:val="20"/>
          <w:szCs w:val="20"/>
          <w:u w:val="none" w:color="0000EE"/>
          <w:vertAlign w:val="superscript"/>
          <w:lang w:val="el" w:eastAsia="el"/>
        </w:rPr>
        <w:footnoteReference w:id="18"/>
      </w:r>
    </w:p>
    <w:p>
      <w:pPr>
        <w:pStyle w:val="StructureList1"/>
        <w:spacing w:before="120" w:after="0"/>
        <w:rPr>
          <w:lang w:val="el" w:eastAsia="el"/>
        </w:rPr>
      </w:pPr>
      <w:r>
        <w:rPr>
          <w:lang w:val="el" w:eastAsia="el"/>
        </w:rPr>
        <w:t>α)</w:t>
      </w:r>
      <w:r>
        <w:rPr>
          <w:lang w:val="en" w:eastAsia="en"/>
        </w:rPr>
        <w:tab/>
      </w:r>
      <w:r>
        <w:rPr>
          <w:lang w:val="el" w:eastAsia="el"/>
        </w:rPr>
        <w:t>Η χορήγηση στοιχείων στις υπηρεσίες του Υπουργείου Οικονομικών και στους ορκωτούς εκτιμητές για την άσκηση των καθηκόντων τους, καθώς και στις περιπτώσεις που ορίζονται από το άρθρο 1445 του Αστικού Κώδικα.</w:t>
      </w:r>
      <w:r>
        <w:rPr>
          <w:rStyle w:val="Hyperlink"/>
          <w:color w:val="000000"/>
          <w:sz w:val="20"/>
          <w:szCs w:val="20"/>
          <w:u w:val="none" w:color="0000EE"/>
          <w:vertAlign w:val="superscript"/>
          <w:lang w:val="el" w:eastAsia="el"/>
        </w:rPr>
        <w:footnoteReference w:id="19"/>
      </w:r>
    </w:p>
    <w:p>
      <w:pPr>
        <w:pStyle w:val="StructureList1"/>
        <w:spacing w:before="120" w:after="0"/>
        <w:rPr>
          <w:lang w:val="el" w:eastAsia="el"/>
        </w:rPr>
      </w:pPr>
      <w:r>
        <w:rPr>
          <w:lang w:val="el" w:eastAsia="el"/>
        </w:rPr>
        <w:t>β)</w:t>
      </w:r>
      <w:r>
        <w:rPr>
          <w:lang w:val="en" w:eastAsia="en"/>
        </w:rPr>
        <w:tab/>
      </w:r>
      <w:r>
        <w:rPr>
          <w:lang w:val="el" w:eastAsia="el"/>
        </w:rPr>
        <w:t>Η χορήγηση στοιχείων σε δημόσιες υπηρεσίες, νομικά πρόσωπα δημοσίου δικαίου και οργανισμούς που έχουν αρμοδιότητα διαχείρισης, παρακολούθησης ή ελέγχου των πάσης φύσεως χρηματοδοτήσεων, ενισχύσεων ή επιδοτήσεων που καταβάλλονται σε φυσικά ή νομικά πρόσωπα και φορείς και προέρχονται από εθνικούς ή κοινοτικούς πόρους, για την άσκηση αποκλειστικά των παραπάνω αρμοδιοτήτων τους.</w:t>
      </w:r>
      <w:r>
        <w:rPr>
          <w:rStyle w:val="Hyperlink"/>
          <w:color w:val="000000"/>
          <w:sz w:val="20"/>
          <w:szCs w:val="20"/>
          <w:u w:val="none" w:color="0000EE"/>
          <w:vertAlign w:val="superscript"/>
          <w:lang w:val="el" w:eastAsia="el"/>
        </w:rPr>
        <w:footnoteReference w:id="20"/>
      </w:r>
    </w:p>
    <w:p>
      <w:pPr>
        <w:pStyle w:val="StructureList1"/>
        <w:spacing w:before="120" w:after="0"/>
        <w:rPr>
          <w:lang w:val="el" w:eastAsia="el"/>
        </w:rPr>
      </w:pPr>
      <w:r>
        <w:rPr>
          <w:lang w:val="el" w:eastAsia="el"/>
        </w:rPr>
        <w:t>γ)</w:t>
      </w:r>
      <w:r>
        <w:rPr>
          <w:lang w:val="en" w:eastAsia="en"/>
        </w:rPr>
        <w:tab/>
      </w:r>
      <w:r>
        <w:rPr>
          <w:lang w:val="el" w:eastAsia="el"/>
        </w:rPr>
        <w:t>Η χορήγηση στοιχείων στα Γραφεία και τα μέλη του Νομικού Συμβουλίου του Κράτους για την υποστήριξη των δικαιωμάτων του Δημοσίου ή την απόκρουση των κατ΄ αυτού αξιώσεων τρίτων ενώπιον των δικαστηρίων.</w:t>
      </w:r>
      <w:r>
        <w:rPr>
          <w:rStyle w:val="Hyperlink"/>
          <w:color w:val="000000"/>
          <w:sz w:val="20"/>
          <w:szCs w:val="20"/>
          <w:u w:val="none" w:color="0000EE"/>
          <w:vertAlign w:val="superscript"/>
          <w:lang w:val="el" w:eastAsia="el"/>
        </w:rPr>
        <w:footnoteReference w:id="21"/>
      </w:r>
    </w:p>
    <w:p>
      <w:pPr>
        <w:pStyle w:val="StructureList1"/>
        <w:spacing w:before="120" w:after="0"/>
        <w:rPr>
          <w:lang w:val="el" w:eastAsia="el"/>
        </w:rPr>
      </w:pPr>
      <w:r>
        <w:rPr>
          <w:lang w:val="el" w:eastAsia="el"/>
        </w:rPr>
        <w:t>δ)</w:t>
      </w:r>
      <w:r>
        <w:rPr>
          <w:lang w:val="en" w:eastAsia="en"/>
        </w:rPr>
        <w:tab/>
      </w:r>
      <w:r>
        <w:rPr>
          <w:lang w:val="el" w:eastAsia="el"/>
        </w:rPr>
        <w:t>Η χορήγηση στοιχείων σε δικαστική αρχή, εάν έχει διαταχθεί προσηκόντως κύρια ανάκριση, προανάκριση ή τουλάχιστον προκαταρκτική εξέταση.</w:t>
      </w:r>
      <w:r>
        <w:rPr>
          <w:rStyle w:val="Hyperlink"/>
          <w:color w:val="000000"/>
          <w:sz w:val="20"/>
          <w:szCs w:val="20"/>
          <w:u w:val="none" w:color="0000EE"/>
          <w:vertAlign w:val="superscript"/>
          <w:lang w:val="el" w:eastAsia="el"/>
        </w:rPr>
        <w:footnoteReference w:id="22"/>
      </w:r>
    </w:p>
    <w:p>
      <w:pPr>
        <w:pStyle w:val="StructureList1"/>
        <w:spacing w:before="120" w:after="0"/>
        <w:rPr>
          <w:lang w:val="el" w:eastAsia="el"/>
        </w:rPr>
      </w:pPr>
      <w:r>
        <w:rPr>
          <w:lang w:val="el" w:eastAsia="el"/>
        </w:rPr>
        <w:t>ε)</w:t>
      </w:r>
      <w:r>
        <w:rPr>
          <w:lang w:val="en" w:eastAsia="en"/>
        </w:rPr>
        <w:tab/>
      </w:r>
      <w:r>
        <w:rPr>
          <w:lang w:val="el" w:eastAsia="el"/>
        </w:rPr>
        <w:t>Η χορήγηση στοιχείων των δηλώσεων στοιχείων ακινήτων του πτωχού στον σύνδικο της πτώχευσης.</w:t>
      </w:r>
      <w:r>
        <w:rPr>
          <w:rStyle w:val="Hyperlink"/>
          <w:color w:val="000000"/>
          <w:sz w:val="20"/>
          <w:szCs w:val="20"/>
          <w:u w:val="none" w:color="0000EE"/>
          <w:vertAlign w:val="superscript"/>
          <w:lang w:val="el" w:eastAsia="el"/>
        </w:rPr>
        <w:footnoteReference w:id="23"/>
      </w:r>
    </w:p>
    <w:p>
      <w:pPr>
        <w:pStyle w:val="StructureList1"/>
        <w:spacing w:before="120" w:after="0"/>
        <w:rPr>
          <w:lang w:val="el" w:eastAsia="el"/>
        </w:rPr>
      </w:pPr>
      <w:r>
        <w:rPr>
          <w:lang w:val="el" w:eastAsia="el"/>
        </w:rPr>
        <w:t>στ)</w:t>
      </w:r>
      <w:r>
        <w:rPr>
          <w:lang w:val="en" w:eastAsia="en"/>
        </w:rPr>
        <w:tab/>
      </w:r>
      <w:r>
        <w:rPr>
          <w:lang w:val="el" w:eastAsia="el"/>
        </w:rPr>
        <w:t>Η χορήγηση στοιχείων σε αναδόχους του Υπουργείου Οικονομικών ή όσους εκτελούν βάσει συμβάσεως συγκεκριμένο έργο προς όφελος του Δημοσίου.</w:t>
      </w:r>
      <w:r>
        <w:rPr>
          <w:rStyle w:val="Hyperlink"/>
          <w:color w:val="000000"/>
          <w:sz w:val="20"/>
          <w:szCs w:val="20"/>
          <w:u w:val="none" w:color="0000EE"/>
          <w:vertAlign w:val="superscript"/>
          <w:lang w:val="el" w:eastAsia="el"/>
        </w:rPr>
        <w:footnoteReference w:id="24"/>
      </w:r>
    </w:p>
    <w:p>
      <w:pPr>
        <w:spacing w:before="240" w:after="240"/>
        <w:rPr>
          <w:lang w:val="el" w:eastAsia="el"/>
        </w:rPr>
      </w:pPr>
      <w:r>
        <w:rPr>
          <w:lang w:val="el" w:eastAsia="el"/>
        </w:rPr>
        <w:t>Η παραβίαση του φορολογικού απορρήτου της παραγράφου αυτής συνιστά πειθαρχικό αδίκημα που τιμωρείται κατά τις οικείες διατάξεις του πειθαρχικού δικαίου και ποινικό αδίκημα που τιμωρείται κατά τις διατάξεις του Ποινικού Κώδικα για παράβαση καθήκοντος. Οι ευθύνες του προηγούμενου εδαφίου βαρύνουν και τα πρόσωπα, που είναι υπάλληλοι κατά την έννοια του άρθρου 13 του Ποινικού Κώδικα, τα οποία νόμιμα λαμβάνουν γνώση φορολογικών απορρήτων και χρησιμοποιούν αυτά για σκοπό διάφορο εκείνου που ο νόμος επιτρέπει ή τα ανακοινώνουν με κάθε τρόπο, άμεσο ή έμμεσο, σε τρίτους. Τα λοιπά πρόσωπα τιμωρούνται με ποινή φυλάκισης μέχρι έξι (6) μήνες μετά από έγκληση του προϊσταμένου της Δημόσιας Οικονομικής Υπηρεσίας ή του αρμόδιου επιθεωρητή προς τον εισαγγελέα πλημμελειοδικών στην περιφέρεια του οποίου υπάγεται η δημόσια οικονομική υπηρεσία και με το πρόστιμο που ορίζεται στο άρθρο 4 του Ν. 2523/1997, το οποίο επιβάλλεται με πράξη του προϊσταμένου της δημόσιας οικονομικής υπηρεσίας μετά την τελεσιδικία της απόφασης του ποινικού δικαστηρίου.</w:t>
      </w:r>
      <w:r>
        <w:rPr>
          <w:rStyle w:val="Hyperlink"/>
          <w:color w:val="000000"/>
          <w:sz w:val="20"/>
          <w:szCs w:val="20"/>
          <w:u w:val="none" w:color="0000EE"/>
          <w:vertAlign w:val="superscript"/>
          <w:lang w:val="el" w:eastAsia="el"/>
        </w:rPr>
        <w:footnoteReference w:id="25"/>
      </w:r>
    </w:p>
    <w:p>
      <w:pPr>
        <w:pStyle w:val="MainText"/>
        <w:spacing w:before="120" w:after="0"/>
        <w:rPr>
          <w:lang w:val="el" w:eastAsia="el"/>
        </w:rPr>
      </w:pPr>
      <w:r>
        <w:rPr>
          <w:b/>
          <w:bCs/>
          <w:lang w:val="el" w:eastAsia="el"/>
        </w:rPr>
        <w:t>8.</w:t>
      </w:r>
      <w:r>
        <w:rPr>
          <w:lang w:val="el" w:eastAsia="el"/>
        </w:rPr>
        <w:t xml:space="preserve"> Για τα θέματα τα οποία δεν ορίζονται ρητώς σε λοιπές διατάξεις για τις δηλώσεις στοιχείων ακινήτων εφαρμόζονται ανάλογα οι διατάξεις του Κώδικα Φορολογίας Εισοδήματος, που κυρώθηκε με το άρθρο πρώτο του Ν. 2238/1994, όπως ισχύει.</w:t>
      </w:r>
      <w:r>
        <w:rPr>
          <w:rStyle w:val="Hyperlink"/>
          <w:color w:val="000000"/>
          <w:sz w:val="20"/>
          <w:szCs w:val="20"/>
          <w:u w:val="none" w:color="0000EE"/>
          <w:vertAlign w:val="superscript"/>
          <w:lang w:val="el" w:eastAsia="el"/>
        </w:rPr>
        <w:footnoteReference w:id="26"/>
      </w:r>
    </w:p>
    <w:p>
      <w:pPr>
        <w:pStyle w:val="MainText"/>
        <w:spacing w:before="120" w:after="0"/>
        <w:rPr>
          <w:lang w:val="el" w:eastAsia="el"/>
        </w:rPr>
      </w:pPr>
      <w:r>
        <w:rPr>
          <w:b/>
          <w:bCs/>
          <w:lang w:val="el" w:eastAsia="el"/>
        </w:rPr>
        <w:t>9.</w:t>
      </w:r>
      <w:r>
        <w:rPr>
          <w:lang w:val="el" w:eastAsia="el"/>
        </w:rPr>
        <w:t xml:space="preserve"> Σε περίπτωση μη υποβολής, εκπρόθεσμης υποβολής ή υποβολής ανακριβούς δήλωσης στοιχείων ακινήτων εφαρμόζονται οι διατάξεις του Ν. 2523/1997, όπως ισχύουν. Οι διατάξεις του προηγούμενου εδαφίου δεν εφαρμόζονται στις δηλώσεις στοιχείων ακινήτων που υποβάλλονται μέχρι και την 30η Δεκεμβρίου 2014, για τη διόρθωση της περιουσιακής κατάστασης των ετών 2010 2011, 2012 και 2013, εκτός εάν προκύπτει ποσό φόρου ακίνητης περιουσίας προς επιστροφή. Στην περίπτωση κατά την οποία από τις δηλώσεις του προηγούμενου εδαφίου προκύπτει, κατά το οικείο έτος, ποσό φόρου ακίνητης περιουσίας προς επιστροφή, το ποσό αυτό συμψηφίζεται με το πρόστιμο και τυχόν διαφορά μέχρι του ποσού των εκατό (100) ευρώ δεν αναζητείται από τη Φορολογική Διοίκηση. Για τις αρχικές και τροποποιητικές δηλώσεις στοιχείων ακινήτων (Ε9) ετών 2010 και επόμενων, που υποβλήθηκαν ή θα υποβληθούν από την 31.12.2014 μέχρι και την 30.11.2016, το αυτοτελές πρόστιμο του άρθρου 4 του Ν. 2523/1997 (Α΄ 179) ή το πρόστιμο του άρθρου 54 του Ν. 4174/2013 (Α΄ 170) κατά περίπτωση, μειώνονται στο μισό.</w:t>
      </w:r>
      <w:r>
        <w:rPr>
          <w:rStyle w:val="Hyperlink"/>
          <w:color w:val="000000"/>
          <w:sz w:val="20"/>
          <w:szCs w:val="20"/>
          <w:u w:val="none" w:color="0000EE"/>
          <w:vertAlign w:val="superscript"/>
          <w:lang w:val="el" w:eastAsia="el"/>
        </w:rPr>
        <w:footnoteReference w:id="27"/>
      </w:r>
    </w:p>
    <w:p>
      <w:pPr>
        <w:pStyle w:val="MainText"/>
        <w:spacing w:before="120" w:after="0"/>
        <w:rPr>
          <w:lang w:val="el" w:eastAsia="el"/>
        </w:rPr>
      </w:pPr>
      <w:r>
        <w:rPr>
          <w:b/>
          <w:bCs/>
          <w:lang w:val="el" w:eastAsia="el"/>
        </w:rPr>
        <w:t>10.</w:t>
      </w:r>
      <w:r>
        <w:rPr>
          <w:lang w:val="el" w:eastAsia="el"/>
        </w:rPr>
        <w:t xml:space="preserve"> Οι διατάξεις της παραγράφου 15 του άρθρου 5 του Ν. 3296/2004 (ΦΕΚ 253 Α΄) καταργούνται.</w:t>
      </w:r>
      <w:r>
        <w:rPr>
          <w:rStyle w:val="Hyperlink"/>
          <w:color w:val="000000"/>
          <w:sz w:val="20"/>
          <w:szCs w:val="20"/>
          <w:u w:val="none" w:color="0000EE"/>
          <w:vertAlign w:val="superscript"/>
          <w:lang w:val="el" w:eastAsia="el"/>
        </w:rPr>
        <w:footnoteReference w:id="28"/>
      </w:r>
    </w:p>
    <w:p>
      <w:pPr>
        <w:pStyle w:val="Heading6"/>
        <w:spacing w:before="240" w:after="240"/>
        <w:rPr>
          <w:lang w:val="el" w:eastAsia="el"/>
        </w:rPr>
      </w:pPr>
      <w:r>
        <w:rPr>
          <w:b/>
          <w:bCs/>
          <w:lang w:val="el" w:eastAsia="el"/>
        </w:rPr>
        <w:t>Άρθρο 23Α.</w:t>
      </w:r>
    </w:p>
    <w:p>
      <w:pPr>
        <w:pStyle w:val="Heading6"/>
        <w:spacing w:before="240" w:after="240"/>
        <w:rPr>
          <w:lang w:val="el" w:eastAsia="el"/>
        </w:rPr>
      </w:pPr>
      <w:r>
        <w:rPr>
          <w:b/>
          <w:bCs/>
          <w:lang w:val="el" w:eastAsia="el"/>
        </w:rPr>
        <w:t>Περιουσιολόγιο Ακινήτων</w:t>
      </w:r>
    </w:p>
    <w:p>
      <w:pPr>
        <w:pStyle w:val="MainText"/>
        <w:spacing w:before="120" w:after="0"/>
        <w:rPr>
          <w:lang w:val="el" w:eastAsia="el"/>
        </w:rPr>
      </w:pPr>
      <w:r>
        <w:rPr>
          <w:b/>
          <w:bCs/>
          <w:lang w:val="el" w:eastAsia="el"/>
        </w:rPr>
        <w:t>1.</w:t>
      </w:r>
      <w:r>
        <w:rPr>
          <w:lang w:val="el" w:eastAsia="el"/>
        </w:rPr>
        <w:t xml:space="preserve"> Ως Περιουσιολόγιο Ακινήτων ορίζεται το σύνολο της ακίνητης περιουσίας κάθε φυσικού ή νομικού προσώπου, η οποία αποτελείται από τα εμπράγματα δικαιώματα της πλήρους ή ψιλής κυριότητας ή επικαρπίας ή οίκησης επί ακινήτων, καθώς και το δικαίωμα της αποκλειστικής χρήσης θέσεων στάθμευσης, βοηθητικών χώρων και κολυμβητικών δεξαμενών που βρίσκονται σε κοινόκτητο τμήμα υπογείου, πυλωτής, δώματος ή ακαλύπτου χώρου οικοδομής των πιο πάνω ακινήτων την 1η Ιανουαρίου κάθε έτους.</w:t>
      </w:r>
      <w:r>
        <w:rPr>
          <w:rStyle w:val="Hyperlink"/>
          <w:color w:val="000000"/>
          <w:sz w:val="20"/>
          <w:szCs w:val="20"/>
          <w:u w:val="none" w:color="0000EE"/>
          <w:vertAlign w:val="superscript"/>
          <w:lang w:val="el" w:eastAsia="el"/>
        </w:rPr>
        <w:footnoteReference w:id="29"/>
      </w:r>
    </w:p>
    <w:p>
      <w:pPr>
        <w:pStyle w:val="MainText"/>
        <w:spacing w:before="120" w:after="0"/>
        <w:rPr>
          <w:lang w:val="el" w:eastAsia="el"/>
        </w:rPr>
      </w:pPr>
      <w:r>
        <w:rPr>
          <w:b/>
          <w:bCs/>
          <w:lang w:val="el" w:eastAsia="el"/>
        </w:rPr>
        <w:t>2.</w:t>
      </w:r>
      <w:r>
        <w:rPr>
          <w:lang w:val="el" w:eastAsia="el"/>
        </w:rPr>
        <w:t xml:space="preserve"> Το Περιουσιολόγιο Ακινήτων προκύπτει από τη μηχανογραφική διαχείριση των δηλώσεων στοιχείων ακινήτων των ετών 2005 έως 2009, οι οποίες υποβάλλονται από τα υπόχρεα φυσικά και νομικά πρόσωπα. Έτος δημιουργίας του Περιουσιολογίου Ακινήτων ορίζεται το έτος 2009.</w:t>
      </w:r>
      <w:r>
        <w:rPr>
          <w:rStyle w:val="Hyperlink"/>
          <w:color w:val="000000"/>
          <w:sz w:val="20"/>
          <w:szCs w:val="20"/>
          <w:u w:val="none" w:color="0000EE"/>
          <w:vertAlign w:val="superscript"/>
          <w:lang w:val="el" w:eastAsia="el"/>
        </w:rPr>
        <w:footnoteReference w:id="30"/>
      </w:r>
    </w:p>
    <w:p>
      <w:pPr>
        <w:pStyle w:val="MainText"/>
        <w:spacing w:before="120" w:after="0"/>
        <w:rPr>
          <w:lang w:val="el" w:eastAsia="el"/>
        </w:rPr>
      </w:pPr>
      <w:r>
        <w:rPr>
          <w:b/>
          <w:bCs/>
          <w:lang w:val="el" w:eastAsia="el"/>
        </w:rPr>
        <w:t>3.</w:t>
      </w:r>
      <w:r>
        <w:rPr>
          <w:lang w:val="el" w:eastAsia="el"/>
        </w:rPr>
        <w:t xml:space="preserve"> Το Περιουσιολόγιο Ακινήτων ενημερώνεται μέσω των δηλώσεων στοιχείων ακινήτων, οι οποίες υποβάλλονται σύμφωνα με τα οριζόμενα στο άρθρο 23 του Ν. 3427/2005, όπως ισχύει.</w:t>
      </w:r>
      <w:r>
        <w:rPr>
          <w:rStyle w:val="Hyperlink"/>
          <w:color w:val="000000"/>
          <w:sz w:val="20"/>
          <w:szCs w:val="20"/>
          <w:u w:val="none" w:color="0000EE"/>
          <w:vertAlign w:val="superscript"/>
          <w:lang w:val="el" w:eastAsia="el"/>
        </w:rPr>
        <w:footnoteReference w:id="31"/>
      </w:r>
    </w:p>
    <w:p>
      <w:pPr>
        <w:pStyle w:val="MainText"/>
        <w:spacing w:before="120" w:after="0"/>
        <w:rPr>
          <w:lang w:val="el" w:eastAsia="el"/>
        </w:rPr>
      </w:pPr>
      <w:r>
        <w:rPr>
          <w:b/>
          <w:bCs/>
          <w:lang w:val="el" w:eastAsia="el"/>
        </w:rPr>
        <w:t>4.</w:t>
      </w:r>
      <w:r>
        <w:rPr>
          <w:lang w:val="el" w:eastAsia="el"/>
        </w:rPr>
        <w:t xml:space="preserve"> Το περιεχόμενο του Περιουσιολογίου Ακινήτων είναι απόρρητο, σύμφωνα με τα οριζόμενα στην παράγραφο 7 του άρθρου 23 του Ν. 3427/2005, όπως ισχύει.</w:t>
      </w:r>
      <w:r>
        <w:rPr>
          <w:rStyle w:val="Hyperlink"/>
          <w:color w:val="000000"/>
          <w:sz w:val="20"/>
          <w:szCs w:val="20"/>
          <w:u w:val="none" w:color="0000EE"/>
          <w:vertAlign w:val="superscript"/>
          <w:lang w:val="el" w:eastAsia="el"/>
        </w:rPr>
        <w:footnoteReference w:id="32"/>
      </w:r>
    </w:p>
    <w:p>
      <w:pPr>
        <w:pStyle w:val="MainText"/>
        <w:spacing w:before="120" w:after="0"/>
        <w:rPr>
          <w:lang w:val="el" w:eastAsia="el"/>
        </w:rPr>
      </w:pPr>
      <w:r>
        <w:rPr>
          <w:b/>
          <w:bCs/>
          <w:lang w:val="el" w:eastAsia="el"/>
        </w:rPr>
        <w:t>5.</w:t>
      </w:r>
      <w:r>
        <w:rPr>
          <w:lang w:val="el" w:eastAsia="el"/>
        </w:rPr>
        <w:t xml:space="preserve"> Το περιεχόμενο του Περιουσιολογίου Ακινήτων διαφυλάσσεται και διατηρείται στο διηνεκές από το Υπουργείο Οικονομικών.</w:t>
      </w:r>
      <w:r>
        <w:rPr>
          <w:rStyle w:val="Hyperlink"/>
          <w:color w:val="000000"/>
          <w:sz w:val="20"/>
          <w:szCs w:val="20"/>
          <w:u w:val="none" w:color="0000EE"/>
          <w:vertAlign w:val="superscript"/>
          <w:lang w:val="el" w:eastAsia="el"/>
        </w:rPr>
        <w:footnoteReference w:id="33"/>
      </w:r>
    </w:p>
    <w:p>
      <w:pPr>
        <w:pStyle w:val="MainText"/>
        <w:spacing w:before="120" w:after="0"/>
        <w:rPr>
          <w:lang w:val="el" w:eastAsia="el"/>
        </w:rPr>
      </w:pPr>
      <w:r>
        <w:rPr>
          <w:b/>
          <w:bCs/>
          <w:lang w:val="el" w:eastAsia="el"/>
        </w:rPr>
        <w:t>6.</w:t>
      </w:r>
      <w:r>
        <w:rPr>
          <w:lang w:val="el" w:eastAsia="el"/>
        </w:rPr>
        <w:t xml:space="preserve"> Ο Υπουργός Οικονομικών με αποφάσεις του, που δημοσιεύονται στην Εφημερίδα της Κυβερνήσεως, προσδιορίζει, εγκρίνει και δίνει εντολές για κάθε δαπάνη που είναι αναγκαία για την εκτέλεση και εφαρμογή των διατάξεων του παρόντος άρθρου, η οποία καταλογίζεται στα έξοδα βεβαίωσης των άμεσων φόρων, όπου από τις διατάξεις που ισχύουν δεν ορίζεται διαφορετικά, και καθορίζει κάθε αναγκαία λεπτομέρεια και γενικά όσα αφορούν την εκτέλεση των διατάξεων του άρθρου αυτού.</w:t>
      </w:r>
      <w:r>
        <w:rPr>
          <w:rStyle w:val="Hyperlink"/>
          <w:color w:val="000000"/>
          <w:sz w:val="20"/>
          <w:szCs w:val="20"/>
          <w:u w:val="none" w:color="0000EE"/>
          <w:vertAlign w:val="superscript"/>
          <w:lang w:val="el" w:eastAsia="el"/>
        </w:rPr>
        <w:footnoteReference w:id="34"/>
      </w:r>
    </w:p>
    <w:p>
      <w:pPr>
        <w:spacing w:before="240" w:after="240"/>
        <w:rPr>
          <w:lang w:val="el" w:eastAsia="el"/>
        </w:rPr>
      </w:pPr>
      <w:r>
        <w:rPr>
          <w:lang w:val="el" w:eastAsia="el"/>
        </w:rPr>
        <w:t>Αθήνα, 23 Δεκεμβρίου 2005</w:t>
      </w:r>
    </w:p>
    <w:p>
      <w:pPr>
        <w:spacing w:before="240" w:after="240"/>
        <w:rPr>
          <w:lang w:val="el" w:eastAsia="el"/>
        </w:rPr>
      </w:pPr>
      <w:r>
        <w:rPr>
          <w:lang w:val="el" w:eastAsia="el"/>
        </w:rPr>
        <w:t>Ο ΠΡΟΕΔΡΟΣ ΤΗΣ ΔΗΜΟΚΡΑΤΙΑΣ</w:t>
      </w:r>
    </w:p>
    <w:p>
      <w:pPr>
        <w:spacing w:before="240" w:after="240"/>
        <w:rPr>
          <w:lang w:val="el" w:eastAsia="el"/>
        </w:rPr>
      </w:pPr>
      <w:r>
        <w:rPr>
          <w:lang w:val="el" w:eastAsia="el"/>
        </w:rPr>
        <w:t>ΚΑΡΟΛΟΣ ΓΡ. ΠΑΠΟΥΛΙΑΣ</w:t>
      </w:r>
    </w:p>
    <w:p>
      <w:pPr>
        <w:spacing w:before="240" w:after="240"/>
        <w:rPr>
          <w:lang w:val="el" w:eastAsia="el"/>
        </w:rPr>
      </w:pPr>
      <w:r>
        <w:rPr>
          <w:lang w:val="el" w:eastAsia="el"/>
        </w:rPr>
        <w:t>ΟΙ ΥΠΟΥΡΓΟΙ</w:t>
      </w:r>
    </w:p>
    <w:p>
      <w:pPr>
        <w:spacing w:before="240" w:after="240"/>
        <w:rPr>
          <w:lang w:val="el" w:eastAsia="el"/>
        </w:rPr>
      </w:pPr>
      <w:r>
        <w:rPr>
          <w:lang w:val="el" w:eastAsia="el"/>
        </w:rPr>
        <w:t>ΟΙΚΟΝΟΜΙΑΣ ΚΑΙ ΟΙΚΟΝΟΜΙΚΩΝ</w:t>
      </w:r>
    </w:p>
    <w:p>
      <w:pPr>
        <w:spacing w:before="240" w:after="240"/>
        <w:rPr>
          <w:lang w:val="el" w:eastAsia="el"/>
        </w:rPr>
      </w:pPr>
      <w:r>
        <w:rPr>
          <w:lang w:val="el" w:eastAsia="el"/>
        </w:rPr>
        <w:t>Γ. ΑΛΟΓΟΣΚΟΥΦΗΣ</w:t>
      </w:r>
    </w:p>
    <w:p>
      <w:pPr>
        <w:spacing w:before="240" w:after="240"/>
        <w:rPr>
          <w:lang w:val="el" w:eastAsia="el"/>
        </w:rPr>
      </w:pPr>
      <w:r>
        <w:rPr>
          <w:lang w:val="el" w:eastAsia="el"/>
        </w:rPr>
        <w:t>ΑΝΑΠΤΥΞΗΣ</w:t>
      </w:r>
    </w:p>
    <w:p>
      <w:pPr>
        <w:spacing w:before="240" w:after="240"/>
        <w:rPr>
          <w:lang w:val="el" w:eastAsia="el"/>
        </w:rPr>
      </w:pPr>
      <w:r>
        <w:rPr>
          <w:lang w:val="el" w:eastAsia="el"/>
        </w:rPr>
        <w:t>Δ . ΣΙΟΥΦΑΣ</w:t>
      </w:r>
    </w:p>
    <w:p>
      <w:pPr>
        <w:spacing w:before="240" w:after="240"/>
        <w:rPr>
          <w:lang w:val="el" w:eastAsia="el"/>
        </w:rPr>
      </w:pPr>
      <w:r>
        <w:rPr>
          <w:lang w:val="el" w:eastAsia="el"/>
        </w:rPr>
        <w:t>ΑΠΑΣΧΟΛΗΣΗΣ ΚΑΙ ΚΟΙΝΩΝΙΚΗΣ ΑΛΛΗΛΕΓΓΥΗΣ</w:t>
      </w:r>
    </w:p>
    <w:p>
      <w:pPr>
        <w:spacing w:before="240" w:after="240"/>
        <w:rPr>
          <w:lang w:val="el" w:eastAsia="el"/>
        </w:rPr>
      </w:pPr>
      <w:r>
        <w:rPr>
          <w:lang w:val="el" w:eastAsia="el"/>
        </w:rPr>
        <w:t>Π. ΠΑΝΑΓΙΩΤΟΠΟΥΛΟΣ</w:t>
      </w:r>
    </w:p>
    <w:p>
      <w:pPr>
        <w:spacing w:before="240" w:after="240"/>
        <w:rPr>
          <w:lang w:val="el" w:eastAsia="el"/>
        </w:rPr>
      </w:pPr>
      <w:r>
        <w:rPr>
          <w:lang w:val="el" w:eastAsia="el"/>
        </w:rPr>
        <w:t>ΔΗΜΟΣΙΑΣ ΤΑΞΗΣ</w:t>
      </w:r>
    </w:p>
    <w:p>
      <w:pPr>
        <w:spacing w:before="240" w:after="240"/>
        <w:rPr>
          <w:lang w:val="el" w:eastAsia="el"/>
        </w:rPr>
      </w:pPr>
      <w:r>
        <w:rPr>
          <w:lang w:val="el" w:eastAsia="el"/>
        </w:rPr>
        <w:t>Γ. ΒΟΥΛΓΑΡΑΚΗΣ</w:t>
      </w:r>
    </w:p>
    <w:p>
      <w:pPr>
        <w:spacing w:before="240" w:after="240"/>
        <w:rPr>
          <w:lang w:val="el" w:eastAsia="el"/>
        </w:rPr>
      </w:pPr>
      <w:r>
        <w:rPr>
          <w:lang w:val="el" w:eastAsia="el"/>
        </w:rPr>
        <w:t>Θεωρήθηκε και τέθηκε η Μεγάλη Σφραγίδα του Κράτους</w:t>
      </w:r>
    </w:p>
    <w:p>
      <w:pPr>
        <w:spacing w:before="240" w:after="240"/>
        <w:rPr>
          <w:lang w:val="el" w:eastAsia="el"/>
        </w:rPr>
      </w:pPr>
      <w:r>
        <w:rPr>
          <w:lang w:val="el" w:eastAsia="el"/>
        </w:rPr>
        <w:t>Αθήνα, 27 Δεκεμβρίου 2005</w:t>
      </w:r>
    </w:p>
    <w:p>
      <w:pPr>
        <w:spacing w:before="240" w:after="240"/>
        <w:rPr>
          <w:lang w:val="el" w:eastAsia="el"/>
        </w:rPr>
      </w:pPr>
      <w:r>
        <w:rPr>
          <w:lang w:val="el" w:eastAsia="el"/>
        </w:rPr>
        <w:t>Ο ΕΠΙ ΤΗΣ ΔΙΚΑΙΟΣΥΝΗΣ ΥΠΟΥΡΓΟΣ</w:t>
      </w:r>
    </w:p>
    <w:p>
      <w:pPr>
        <w:spacing w:before="240" w:after="240"/>
        <w:rPr>
          <w:lang w:val="el" w:eastAsia="el"/>
        </w:rPr>
      </w:pPr>
      <w:r>
        <w:rPr>
          <w:lang w:val="el" w:eastAsia="el"/>
        </w:rPr>
        <w:t>Α. ΠΑΠΑΛΗΓΟΥΡΑΣ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12" w:history="1">
        <w:r>
          <w:rPr>
            <w:rStyle w:val="Hyperlink"/>
            <w:color w:val="0000EE"/>
            <w:u w:color="0000EE"/>
            <w:lang w:val="el" w:eastAsia="el"/>
          </w:rPr>
          <w:t>Τροποποίηση 4223/2013, Άρθρο 12</w:t>
        </w:r>
      </w:hyperlink>
      <w:r>
        <w:rPr>
          <w:lang w:val="el" w:eastAsia="el"/>
        </w:rPr>
        <w:t xml:space="preserve">; </w:t>
      </w:r>
      <w:hyperlink r:id="rId2" w:anchor="art_19" w:history="1">
        <w:r>
          <w:rPr>
            <w:rStyle w:val="Hyperlink"/>
            <w:color w:val="0000EE"/>
            <w:u w:color="0000EE"/>
            <w:lang w:val="el" w:eastAsia="el"/>
          </w:rPr>
          <w:t>Προσθήκη 4110/2013, Άρθρο 19</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4916/2022, Άρθρο 48</w:t>
      </w:r>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12" w:history="1">
        <w:r>
          <w:rPr>
            <w:rStyle w:val="Hyperlink"/>
            <w:color w:val="0000EE"/>
            <w:u w:color="0000EE"/>
            <w:lang w:val="el" w:eastAsia="el"/>
          </w:rPr>
          <w:t>Τροποποίηση 4223/2013, Άρθρο 12</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13" w:history="1">
        <w:r>
          <w:rPr>
            <w:rStyle w:val="Hyperlink"/>
            <w:color w:val="0000EE"/>
            <w:u w:color="0000EE"/>
            <w:lang w:val="el" w:eastAsia="el"/>
          </w:rPr>
          <w:t>Τροποποίηση 4474/2017, Άρθρο 13</w:t>
        </w:r>
      </w:hyperlink>
      <w:r>
        <w:rPr>
          <w:lang w:val="el" w:eastAsia="el"/>
        </w:rPr>
        <w:t xml:space="preserve">; </w:t>
      </w:r>
      <w:hyperlink r:id="rId5" w:anchor="art_49" w:history="1">
        <w:r>
          <w:rPr>
            <w:rStyle w:val="Hyperlink"/>
            <w:color w:val="0000EE"/>
            <w:u w:color="0000EE"/>
            <w:lang w:val="el" w:eastAsia="el"/>
          </w:rPr>
          <w:t>Τροποποίηση 4410/2016, Άρθρο 49</w:t>
        </w:r>
      </w:hyperlink>
      <w:r>
        <w:rPr>
          <w:lang w:val="el" w:eastAsia="el"/>
        </w:rPr>
        <w:t xml:space="preserve">; </w:t>
      </w:r>
      <w:hyperlink r:id="rId6" w:anchor="art_12" w:history="1">
        <w:r>
          <w:rPr>
            <w:rStyle w:val="Hyperlink"/>
            <w:color w:val="0000EE"/>
            <w:u w:color="0000EE"/>
            <w:lang w:val="el" w:eastAsia="el"/>
          </w:rPr>
          <w:t>Προσθήκη 4223/2013, Άρθρο 12</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art_51" w:history="1">
        <w:r>
          <w:rPr>
            <w:rStyle w:val="Hyperlink"/>
            <w:color w:val="0000EE"/>
            <w:u w:color="0000EE"/>
            <w:lang w:val="el" w:eastAsia="el"/>
          </w:rPr>
          <w:t>Προσθήκη 3842/2010, Άρθρο 51</w:t>
        </w:r>
      </w:hyperlink>
      <w:r>
        <w:rPr>
          <w:lang w:val="el" w:eastAsia="el"/>
        </w:rPr>
        <w:t xml:space="preserve">; </w:t>
      </w:r>
      <w:hyperlink r:id="rId8" w:anchor="art_20" w:history="1">
        <w:r>
          <w:rPr>
            <w:rStyle w:val="Hyperlink"/>
            <w:color w:val="0000EE"/>
            <w:u w:color="0000EE"/>
            <w:lang w:val="el" w:eastAsia="el"/>
          </w:rPr>
          <w:t>Αφαίρεση 3634/2008, Άρθρο 20</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 w:anchor="art_12" w:history="1">
        <w:r>
          <w:rPr>
            <w:rStyle w:val="Hyperlink"/>
            <w:color w:val="0000EE"/>
            <w:u w:color="0000EE"/>
            <w:lang w:val="el" w:eastAsia="el"/>
          </w:rPr>
          <w:t>Προσθήκη 4223/2013, Άρθρο 12</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 w:anchor="art_12" w:history="1">
        <w:r>
          <w:rPr>
            <w:rStyle w:val="Hyperlink"/>
            <w:color w:val="0000EE"/>
            <w:u w:color="0000EE"/>
            <w:lang w:val="el" w:eastAsia="el"/>
          </w:rPr>
          <w:t>Προσθήκη 4239/2014, Άρθρο 12</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 w:anchor="art_86" w:history="1">
        <w:r>
          <w:rPr>
            <w:rStyle w:val="Hyperlink"/>
            <w:color w:val="0000EE"/>
            <w:u w:color="0000EE"/>
            <w:lang w:val="el" w:eastAsia="el"/>
          </w:rPr>
          <w:t>Τροποποίηση 4316/2014, Άρθρο 86</w:t>
        </w:r>
      </w:hyperlink>
      <w:r>
        <w:rPr>
          <w:lang w:val="el" w:eastAsia="el"/>
        </w:rPr>
        <w:t xml:space="preserve">; </w:t>
      </w:r>
      <w:hyperlink r:id="rId12" w:anchor="art_52" w:history="1">
        <w:r>
          <w:rPr>
            <w:rStyle w:val="Hyperlink"/>
            <w:color w:val="0000EE"/>
            <w:u w:color="0000EE"/>
            <w:lang w:val="el" w:eastAsia="el"/>
          </w:rPr>
          <w:t>Προσθήκη 4276/2014, Άρθρο 52</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 w:anchor="art_13" w:history="1">
        <w:r>
          <w:rPr>
            <w:rStyle w:val="Hyperlink"/>
            <w:color w:val="0000EE"/>
            <w:u w:color="0000EE"/>
            <w:lang w:val="el" w:eastAsia="el"/>
          </w:rPr>
          <w:t>Προσθήκη 4474/2017, Άρθρο 13</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 w:anchor="art_14" w:history="1">
        <w:r>
          <w:rPr>
            <w:rStyle w:val="Hyperlink"/>
            <w:color w:val="0000EE"/>
            <w:u w:color="0000EE"/>
            <w:lang w:val="el" w:eastAsia="el"/>
          </w:rPr>
          <w:t>Τροποποίηση 4652/2020, Άρθρο 14</w:t>
        </w:r>
      </w:hyperlink>
      <w:r>
        <w:rPr>
          <w:lang w:val="el" w:eastAsia="el"/>
        </w:rPr>
        <w:t xml:space="preserve">; </w:t>
      </w:r>
      <w:hyperlink r:id="rId15" w:anchor="art_49" w:history="1">
        <w:r>
          <w:rPr>
            <w:rStyle w:val="Hyperlink"/>
            <w:color w:val="0000EE"/>
            <w:u w:color="0000EE"/>
            <w:lang w:val="el" w:eastAsia="el"/>
          </w:rPr>
          <w:t>Προσθήκη 4646/2019, Άρθρο 49</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 w:anchor="art_20" w:history="1">
        <w:r>
          <w:rPr>
            <w:rStyle w:val="Hyperlink"/>
            <w:color w:val="0000EE"/>
            <w:u w:color="0000EE"/>
            <w:lang w:val="el" w:eastAsia="el"/>
          </w:rPr>
          <w:t>Προσθήκη 3634/2008, Άρθρο 20</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4916/2022, Άρθρο 48; </w:t>
      </w:r>
      <w:hyperlink r:id="rId17" w:anchor="art_73" w:history="1">
        <w:r>
          <w:rPr>
            <w:rStyle w:val="Hyperlink"/>
            <w:color w:val="0000EE"/>
            <w:u w:color="0000EE"/>
            <w:lang w:val="el" w:eastAsia="el"/>
          </w:rPr>
          <w:t>Τροποποίηση 4607/2019, Άρθρο 73</w:t>
        </w:r>
      </w:hyperlink>
      <w:r>
        <w:rPr>
          <w:lang w:val="el" w:eastAsia="el"/>
        </w:rPr>
        <w:t xml:space="preserve">; </w:t>
      </w:r>
      <w:hyperlink r:id="rId18" w:anchor="art_86" w:history="1">
        <w:r>
          <w:rPr>
            <w:rStyle w:val="Hyperlink"/>
            <w:color w:val="0000EE"/>
            <w:u w:color="0000EE"/>
            <w:lang w:val="el" w:eastAsia="el"/>
          </w:rPr>
          <w:t>Τροποποίηση 4316/2014, Άρθρο 86</w:t>
        </w:r>
      </w:hyperlink>
      <w:r>
        <w:rPr>
          <w:lang w:val="el" w:eastAsia="el"/>
        </w:rPr>
        <w:t xml:space="preserve">; </w:t>
      </w:r>
      <w:hyperlink r:id="rId19" w:anchor="art_18" w:history="1">
        <w:r>
          <w:rPr>
            <w:rStyle w:val="Hyperlink"/>
            <w:color w:val="0000EE"/>
            <w:u w:color="0000EE"/>
            <w:lang w:val="el" w:eastAsia="el"/>
          </w:rPr>
          <w:t>Τροποποίηση 4286/2014, Άρθρο 18</w:t>
        </w:r>
      </w:hyperlink>
      <w:r>
        <w:rPr>
          <w:lang w:val="el" w:eastAsia="el"/>
        </w:rPr>
        <w:t xml:space="preserve">; </w:t>
      </w:r>
      <w:hyperlink r:id="rId20" w:anchor="art_52" w:history="1">
        <w:r>
          <w:rPr>
            <w:rStyle w:val="Hyperlink"/>
            <w:color w:val="0000EE"/>
            <w:u w:color="0000EE"/>
            <w:lang w:val="el" w:eastAsia="el"/>
          </w:rPr>
          <w:t>Τροποποίηση 4276/2014, Άρθρο 52</w:t>
        </w:r>
      </w:hyperlink>
      <w:r>
        <w:rPr>
          <w:lang w:val="el" w:eastAsia="el"/>
        </w:rPr>
        <w:t xml:space="preserve">; </w:t>
      </w:r>
      <w:hyperlink r:id="rId21" w:anchor="art_52" w:history="1">
        <w:r>
          <w:rPr>
            <w:rStyle w:val="Hyperlink"/>
            <w:color w:val="0000EE"/>
            <w:u w:color="0000EE"/>
            <w:lang w:val="el" w:eastAsia="el"/>
          </w:rPr>
          <w:t>Προσθήκη 4276/2014, Άρθρο 52</w:t>
        </w:r>
      </w:hyperlink>
      <w:r>
        <w:rPr>
          <w:lang w:val="el" w:eastAsia="el"/>
        </w:rPr>
        <w:t xml:space="preserve">; </w:t>
      </w:r>
      <w:hyperlink r:id="rId22" w:anchor="art_53" w:history="1">
        <w:r>
          <w:rPr>
            <w:rStyle w:val="Hyperlink"/>
            <w:color w:val="0000EE"/>
            <w:u w:color="0000EE"/>
            <w:lang w:val="el" w:eastAsia="el"/>
          </w:rPr>
          <w:t>Τροποποίηση 4274/2014, Άρθρο 53</w:t>
        </w:r>
      </w:hyperlink>
      <w:r>
        <w:rPr>
          <w:lang w:val="el" w:eastAsia="el"/>
        </w:rPr>
        <w:t xml:space="preserve">; </w:t>
      </w:r>
      <w:hyperlink r:id="rId23" w:anchor="art_3" w:history="1">
        <w:r>
          <w:rPr>
            <w:rStyle w:val="Hyperlink"/>
            <w:color w:val="0000EE"/>
            <w:u w:color="0000EE"/>
            <w:lang w:val="el" w:eastAsia="el"/>
          </w:rPr>
          <w:t>Τροποποίηση 4254/2014, Άρθρο 3</w:t>
        </w:r>
      </w:hyperlink>
      <w:r>
        <w:rPr>
          <w:lang w:val="el" w:eastAsia="el"/>
        </w:rPr>
        <w:t xml:space="preserve">; </w:t>
      </w:r>
      <w:hyperlink r:id="rId24" w:anchor="art_51" w:history="1">
        <w:r>
          <w:rPr>
            <w:rStyle w:val="Hyperlink"/>
            <w:color w:val="0000EE"/>
            <w:u w:color="0000EE"/>
            <w:lang w:val="el" w:eastAsia="el"/>
          </w:rPr>
          <w:t>Προσθήκη 3842/2010, Άρθρο 51</w:t>
        </w:r>
      </w:hyperlink>
      <w:r>
        <w:rPr>
          <w:lang w:val="el" w:eastAsia="el"/>
        </w:rPr>
        <w:t xml:space="preserve">; </w:t>
      </w:r>
      <w:hyperlink r:id="rId25" w:anchor="art_7" w:history="1">
        <w:r>
          <w:rPr>
            <w:rStyle w:val="Hyperlink"/>
            <w:color w:val="0000EE"/>
            <w:u w:color="0000EE"/>
            <w:lang w:val="el" w:eastAsia="el"/>
          </w:rPr>
          <w:t>Τροποποίηση 3763/2009, Άρθρο 7</w:t>
        </w:r>
      </w:hyperlink>
      <w:r>
        <w:rPr>
          <w:lang w:val="el" w:eastAsia="el"/>
        </w:rPr>
        <w:t xml:space="preserve">; </w:t>
      </w:r>
      <w:hyperlink r:id="rId26" w:anchor="art_20" w:history="1">
        <w:r>
          <w:rPr>
            <w:rStyle w:val="Hyperlink"/>
            <w:color w:val="0000EE"/>
            <w:u w:color="0000EE"/>
            <w:lang w:val="el" w:eastAsia="el"/>
          </w:rPr>
          <w:t>Τροποποίηση 3634/2008, Άρθρο 20</w:t>
        </w:r>
      </w:hyperlink>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 w:anchor="art_47" w:history="1">
        <w:r>
          <w:rPr>
            <w:rStyle w:val="Hyperlink"/>
            <w:color w:val="0000EE"/>
            <w:u w:color="0000EE"/>
            <w:lang w:val="el" w:eastAsia="el"/>
          </w:rPr>
          <w:t>Τροποποίηση 4331/2015, Άρθρο 47</w:t>
        </w:r>
      </w:hyperlink>
      <w:r>
        <w:rPr>
          <w:lang w:val="el" w:eastAsia="el"/>
        </w:rPr>
        <w:t xml:space="preserve">; </w:t>
      </w:r>
      <w:hyperlink r:id="rId28" w:anchor="art_6" w:history="1">
        <w:r>
          <w:rPr>
            <w:rStyle w:val="Hyperlink"/>
            <w:color w:val="0000EE"/>
            <w:u w:color="0000EE"/>
            <w:lang w:val="el" w:eastAsia="el"/>
          </w:rPr>
          <w:t>Προσθήκη 4328/2015, Άρθρο 6</w:t>
        </w:r>
      </w:hyperlink>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 w:anchor="art_10" w:history="1">
        <w:r>
          <w:rPr>
            <w:rStyle w:val="Hyperlink"/>
            <w:color w:val="0000EE"/>
            <w:u w:color="0000EE"/>
            <w:lang w:val="el" w:eastAsia="el"/>
          </w:rPr>
          <w:t>Τροποποίηση 4474/2017, Άρθρο 10</w:t>
        </w:r>
      </w:hyperlink>
      <w:r>
        <w:rPr>
          <w:lang w:val="el" w:eastAsia="el"/>
        </w:rPr>
        <w:t xml:space="preserve">; </w:t>
      </w:r>
      <w:hyperlink r:id="rId30" w:anchor="art_2" w:history="1">
        <w:r>
          <w:rPr>
            <w:rStyle w:val="Hyperlink"/>
            <w:color w:val="0000EE"/>
            <w:u w:color="0000EE"/>
            <w:lang w:val="el" w:eastAsia="el"/>
          </w:rPr>
          <w:t>Τροποποίηση 4337/2015, Άρθρο 2</w:t>
        </w:r>
      </w:hyperlink>
      <w:r>
        <w:rPr>
          <w:lang w:val="el" w:eastAsia="el"/>
        </w:rPr>
        <w:t xml:space="preserve">; </w:t>
      </w:r>
      <w:hyperlink r:id="rId31" w:anchor="art_21" w:history="1">
        <w:r>
          <w:rPr>
            <w:rStyle w:val="Hyperlink"/>
            <w:color w:val="0000EE"/>
            <w:u w:color="0000EE"/>
            <w:lang w:val="el" w:eastAsia="el"/>
          </w:rPr>
          <w:t>Τροποποίηση 4283/2014, Άρθρο 21</w:t>
        </w:r>
      </w:hyperlink>
      <w:r>
        <w:rPr>
          <w:lang w:val="el" w:eastAsia="el"/>
        </w:rPr>
        <w:t xml:space="preserve">; </w:t>
      </w:r>
      <w:hyperlink r:id="rId32" w:anchor="art_20" w:history="1">
        <w:r>
          <w:rPr>
            <w:rStyle w:val="Hyperlink"/>
            <w:color w:val="0000EE"/>
            <w:u w:color="0000EE"/>
            <w:lang w:val="el" w:eastAsia="el"/>
          </w:rPr>
          <w:t>Τροποποίηση 3634/2008, Άρθρο 20</w:t>
        </w:r>
      </w:hyperlink>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 w:anchor="art_51" w:history="1">
        <w:r>
          <w:rPr>
            <w:rStyle w:val="Hyperlink"/>
            <w:color w:val="0000EE"/>
            <w:u w:color="0000EE"/>
            <w:lang w:val="el" w:eastAsia="el"/>
          </w:rPr>
          <w:t>Τροποποίηση 3842/2010, Άρθρο 51</w:t>
        </w:r>
      </w:hyperlink>
      <w:r>
        <w:rPr>
          <w:lang w:val="el" w:eastAsia="el"/>
        </w:rPr>
        <w:t xml:space="preserve">; </w:t>
      </w:r>
      <w:hyperlink r:id="rId34" w:anchor="art_20" w:history="1">
        <w:r>
          <w:rPr>
            <w:rStyle w:val="Hyperlink"/>
            <w:color w:val="0000EE"/>
            <w:u w:color="0000EE"/>
            <w:lang w:val="el" w:eastAsia="el"/>
          </w:rPr>
          <w:t>Τροποποίηση 3634/2008, Άρθρο 20</w:t>
        </w:r>
      </w:hyperlink>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 w:anchor="art_51" w:history="1">
        <w:r>
          <w:rPr>
            <w:rStyle w:val="Hyperlink"/>
            <w:color w:val="0000EE"/>
            <w:u w:color="0000EE"/>
            <w:lang w:val="el" w:eastAsia="el"/>
          </w:rPr>
          <w:t>Προσθήκη 3842/2010, Άρθρο 51</w:t>
        </w:r>
      </w:hyperlink>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 w:anchor="art_51" w:history="1">
        <w:r>
          <w:rPr>
            <w:rStyle w:val="Hyperlink"/>
            <w:color w:val="0000EE"/>
            <w:u w:color="0000EE"/>
            <w:lang w:val="el" w:eastAsia="el"/>
          </w:rPr>
          <w:t>Προσθήκη 3842/2010, Άρθρο 51</w:t>
        </w:r>
      </w:hyperlink>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 w:anchor="art_51" w:history="1">
        <w:r>
          <w:rPr>
            <w:rStyle w:val="Hyperlink"/>
            <w:color w:val="0000EE"/>
            <w:u w:color="0000EE"/>
            <w:lang w:val="el" w:eastAsia="el"/>
          </w:rPr>
          <w:t>Προσθήκη 3842/2010, Άρθρο 51</w:t>
        </w:r>
      </w:hyperlink>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 w:anchor="art_51" w:history="1">
        <w:r>
          <w:rPr>
            <w:rStyle w:val="Hyperlink"/>
            <w:color w:val="0000EE"/>
            <w:u w:color="0000EE"/>
            <w:lang w:val="el" w:eastAsia="el"/>
          </w:rPr>
          <w:t>Προσθήκη 3842/2010, Άρθρο 51</w:t>
        </w:r>
      </w:hyperlink>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 w:anchor="art_51" w:history="1">
        <w:r>
          <w:rPr>
            <w:rStyle w:val="Hyperlink"/>
            <w:color w:val="0000EE"/>
            <w:u w:color="0000EE"/>
            <w:lang w:val="el" w:eastAsia="el"/>
          </w:rPr>
          <w:t>Προσθήκη 3842/2010, Άρθρο 51</w:t>
        </w:r>
      </w:hyperlink>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 w:anchor="art_51" w:history="1">
        <w:r>
          <w:rPr>
            <w:rStyle w:val="Hyperlink"/>
            <w:color w:val="0000EE"/>
            <w:u w:color="0000EE"/>
            <w:lang w:val="el" w:eastAsia="el"/>
          </w:rPr>
          <w:t>Προσθήκη 3842/2010, Άρθρο 51</w:t>
        </w:r>
      </w:hyperlink>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 w:anchor="art_51" w:history="1">
        <w:r>
          <w:rPr>
            <w:rStyle w:val="Hyperlink"/>
            <w:color w:val="0000EE"/>
            <w:u w:color="0000EE"/>
            <w:lang w:val="el" w:eastAsia="el"/>
          </w:rPr>
          <w:t>Προσθήκη 3842/2010, Άρθρο 51</w:t>
        </w:r>
      </w:hyperlink>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 w:anchor="art_18" w:history="1">
        <w:r>
          <w:rPr>
            <w:rStyle w:val="Hyperlink"/>
            <w:color w:val="0000EE"/>
            <w:u w:color="0000EE"/>
            <w:lang w:val="el" w:eastAsia="el"/>
          </w:rPr>
          <w:t>Προσθήκη 4002/2011, Άρθρο 18</w:t>
        </w:r>
      </w:hyperlink>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 w:anchor="art_51" w:history="1">
        <w:r>
          <w:rPr>
            <w:rStyle w:val="Hyperlink"/>
            <w:color w:val="0000EE"/>
            <w:u w:color="0000EE"/>
            <w:lang w:val="el" w:eastAsia="el"/>
          </w:rPr>
          <w:t>Προσθήκη 3842/2010, Άρθρο 51</w:t>
        </w:r>
      </w:hyperlink>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 w:anchor="art_51" w:history="1">
        <w:r>
          <w:rPr>
            <w:rStyle w:val="Hyperlink"/>
            <w:color w:val="0000EE"/>
            <w:u w:color="0000EE"/>
            <w:lang w:val="el" w:eastAsia="el"/>
          </w:rPr>
          <w:t>Προσθήκη 3842/2010, Άρθρο 51</w:t>
        </w:r>
      </w:hyperlink>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 w:anchor="art_84" w:history="1">
        <w:r>
          <w:rPr>
            <w:rStyle w:val="Hyperlink"/>
            <w:color w:val="0000EE"/>
            <w:u w:color="0000EE"/>
            <w:lang w:val="el" w:eastAsia="el"/>
          </w:rPr>
          <w:t>Τροποποίηση 4413/2016, Άρθρο 84</w:t>
        </w:r>
      </w:hyperlink>
      <w:r>
        <w:rPr>
          <w:lang w:val="el" w:eastAsia="el"/>
        </w:rPr>
        <w:t xml:space="preserve">; </w:t>
      </w:r>
      <w:hyperlink r:id="rId46" w:anchor="art_51" w:history="1">
        <w:r>
          <w:rPr>
            <w:rStyle w:val="Hyperlink"/>
            <w:color w:val="0000EE"/>
            <w:u w:color="0000EE"/>
            <w:lang w:val="el" w:eastAsia="el"/>
          </w:rPr>
          <w:t>Προσθήκη 4389/2016, Άρθρο 51</w:t>
        </w:r>
      </w:hyperlink>
      <w:r>
        <w:rPr>
          <w:lang w:val="el" w:eastAsia="el"/>
        </w:rPr>
        <w:t xml:space="preserve">; </w:t>
      </w:r>
      <w:hyperlink r:id="rId47" w:anchor="art_86" w:history="1">
        <w:r>
          <w:rPr>
            <w:rStyle w:val="Hyperlink"/>
            <w:color w:val="0000EE"/>
            <w:u w:color="0000EE"/>
            <w:lang w:val="el" w:eastAsia="el"/>
          </w:rPr>
          <w:t>Τροποποίηση 4316/2014, Άρθρο 86</w:t>
        </w:r>
      </w:hyperlink>
      <w:r>
        <w:rPr>
          <w:lang w:val="el" w:eastAsia="el"/>
        </w:rPr>
        <w:t xml:space="preserve">; </w:t>
      </w:r>
      <w:hyperlink r:id="rId48" w:anchor="art_42" w:history="1">
        <w:r>
          <w:rPr>
            <w:rStyle w:val="Hyperlink"/>
            <w:color w:val="0000EE"/>
            <w:u w:color="0000EE"/>
            <w:lang w:val="el" w:eastAsia="el"/>
          </w:rPr>
          <w:t>Τροποποίηση 4308/2014, Άρθρο 42</w:t>
        </w:r>
      </w:hyperlink>
      <w:r>
        <w:rPr>
          <w:lang w:val="el" w:eastAsia="el"/>
        </w:rPr>
        <w:t xml:space="preserve">; </w:t>
      </w:r>
      <w:hyperlink r:id="rId49" w:anchor="art_52" w:history="1">
        <w:r>
          <w:rPr>
            <w:rStyle w:val="Hyperlink"/>
            <w:color w:val="0000EE"/>
            <w:u w:color="0000EE"/>
            <w:lang w:val="el" w:eastAsia="el"/>
          </w:rPr>
          <w:t>Προσθήκη 4276/2014, Άρθρο 52</w:t>
        </w:r>
      </w:hyperlink>
      <w:r>
        <w:rPr>
          <w:lang w:val="el" w:eastAsia="el"/>
        </w:rPr>
        <w:t xml:space="preserve">; </w:t>
      </w:r>
      <w:hyperlink r:id="rId50" w:anchor="art_51" w:history="1">
        <w:r>
          <w:rPr>
            <w:rStyle w:val="Hyperlink"/>
            <w:color w:val="0000EE"/>
            <w:u w:color="0000EE"/>
            <w:lang w:val="el" w:eastAsia="el"/>
          </w:rPr>
          <w:t>Προσθήκη 3842/2010, Άρθρο 51</w:t>
        </w:r>
      </w:hyperlink>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 w:anchor="art_51" w:history="1">
        <w:r>
          <w:rPr>
            <w:rStyle w:val="Hyperlink"/>
            <w:color w:val="0000EE"/>
            <w:u w:color="0000EE"/>
            <w:lang w:val="el" w:eastAsia="el"/>
          </w:rPr>
          <w:t>Προσθήκη 3842/2010, Άρθρο 51</w:t>
        </w:r>
      </w:hyperlink>
    </w:p>
  </w:footnote>
  <w:footnote w:id="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 w:anchor="art_52" w:history="1">
        <w:r>
          <w:rPr>
            <w:rStyle w:val="Hyperlink"/>
            <w:color w:val="0000EE"/>
            <w:u w:color="0000EE"/>
            <w:lang w:val="el" w:eastAsia="el"/>
          </w:rPr>
          <w:t>Προσθήκη 3842/2010, Άρθρο 52</w:t>
        </w:r>
      </w:hyperlink>
    </w:p>
  </w:footnote>
  <w:footnote w:id="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 w:anchor="art_24" w:history="1">
        <w:r>
          <w:rPr>
            <w:rStyle w:val="Hyperlink"/>
            <w:color w:val="0000EE"/>
            <w:u w:color="0000EE"/>
            <w:lang w:val="el" w:eastAsia="el"/>
          </w:rPr>
          <w:t>Τροποποίηση 3943/2011, Άρθρο 24</w:t>
        </w:r>
      </w:hyperlink>
      <w:r>
        <w:rPr>
          <w:lang w:val="el" w:eastAsia="el"/>
        </w:rPr>
        <w:t xml:space="preserve">; </w:t>
      </w:r>
      <w:hyperlink r:id="rId54" w:anchor="art_52" w:history="1">
        <w:r>
          <w:rPr>
            <w:rStyle w:val="Hyperlink"/>
            <w:color w:val="0000EE"/>
            <w:u w:color="0000EE"/>
            <w:lang w:val="el" w:eastAsia="el"/>
          </w:rPr>
          <w:t>Προσθήκη 3842/2010, Άρθρο 52</w:t>
        </w:r>
      </w:hyperlink>
    </w:p>
  </w:footnote>
  <w:footnote w:id="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 w:anchor="art_52" w:history="1">
        <w:r>
          <w:rPr>
            <w:rStyle w:val="Hyperlink"/>
            <w:color w:val="0000EE"/>
            <w:u w:color="0000EE"/>
            <w:lang w:val="el" w:eastAsia="el"/>
          </w:rPr>
          <w:t>Προσθήκη 3842/2010, Άρθρο 52</w:t>
        </w:r>
      </w:hyperlink>
    </w:p>
  </w:footnote>
  <w:footnote w:id="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 w:anchor="art_52" w:history="1">
        <w:r>
          <w:rPr>
            <w:rStyle w:val="Hyperlink"/>
            <w:color w:val="0000EE"/>
            <w:u w:color="0000EE"/>
            <w:lang w:val="el" w:eastAsia="el"/>
          </w:rPr>
          <w:t>Προσθήκη 3842/2010, Άρθρο 52</w:t>
        </w:r>
      </w:hyperlink>
    </w:p>
  </w:footnote>
  <w:footnote w:id="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 w:anchor="art_52" w:history="1">
        <w:r>
          <w:rPr>
            <w:rStyle w:val="Hyperlink"/>
            <w:color w:val="0000EE"/>
            <w:u w:color="0000EE"/>
            <w:lang w:val="el" w:eastAsia="el"/>
          </w:rPr>
          <w:t>Προσθήκη 3842/2010, Άρθρο 52</w:t>
        </w:r>
      </w:hyperlink>
    </w:p>
  </w:footnote>
  <w:footnote w:id="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 w:anchor="art_52" w:history="1">
        <w:r>
          <w:rPr>
            <w:rStyle w:val="Hyperlink"/>
            <w:color w:val="0000EE"/>
            <w:u w:color="0000EE"/>
            <w:lang w:val="el" w:eastAsia="el"/>
          </w:rPr>
          <w:t>Προσθήκη 3842/2010, Άρθρο 52</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13/12/31/4223" TargetMode="External" /><Relationship Id="rId10" Type="http://schemas.openxmlformats.org/officeDocument/2006/relationships/hyperlink" Target="http://data.aade.gr/eli/pri/law/2014/02/20/4239" TargetMode="External" /><Relationship Id="rId11" Type="http://schemas.openxmlformats.org/officeDocument/2006/relationships/hyperlink" Target="http://data.aade.gr/eli/pri/law/2014/12/24/4316" TargetMode="External" /><Relationship Id="rId12" Type="http://schemas.openxmlformats.org/officeDocument/2006/relationships/hyperlink" Target="http://data.aade.gr/eli/pri/law/2014/07/30/4276" TargetMode="External" /><Relationship Id="rId13" Type="http://schemas.openxmlformats.org/officeDocument/2006/relationships/hyperlink" Target="http://data.aade.gr/eli/pri/law/2017/06/07/4474" TargetMode="External" /><Relationship Id="rId14" Type="http://schemas.openxmlformats.org/officeDocument/2006/relationships/hyperlink" Target="http://data.aade.gr/eli/pri/law/2020/01/23/4652" TargetMode="External" /><Relationship Id="rId15" Type="http://schemas.openxmlformats.org/officeDocument/2006/relationships/hyperlink" Target="http://data.aade.gr/eli/pri/law/2019/12/12/4646" TargetMode="External" /><Relationship Id="rId16" Type="http://schemas.openxmlformats.org/officeDocument/2006/relationships/hyperlink" Target="http://data.aade.gr/eli/pri/law/2008/01/29/3634" TargetMode="External" /><Relationship Id="rId17" Type="http://schemas.openxmlformats.org/officeDocument/2006/relationships/hyperlink" Target="http://data.aade.gr/eli/pri/law/2019/04/24/4607" TargetMode="External" /><Relationship Id="rId18" Type="http://schemas.openxmlformats.org/officeDocument/2006/relationships/hyperlink" Target="http://data.aade.gr/eli/pri/law/2014/12/24/4316" TargetMode="External" /><Relationship Id="rId19" Type="http://schemas.openxmlformats.org/officeDocument/2006/relationships/hyperlink" Target="http://data.aade.gr/eli/pri/law/2014/09/19/4286" TargetMode="External" /><Relationship Id="rId2" Type="http://schemas.openxmlformats.org/officeDocument/2006/relationships/hyperlink" Target="http://data.aade.gr/eli/pri/law/2013/01/23/4110" TargetMode="External" /><Relationship Id="rId20" Type="http://schemas.openxmlformats.org/officeDocument/2006/relationships/hyperlink" Target="http://data.aade.gr/eli/pri/law/2014/07/30/4276" TargetMode="External" /><Relationship Id="rId21" Type="http://schemas.openxmlformats.org/officeDocument/2006/relationships/hyperlink" Target="http://data.aade.gr/eli/pri/law/2014/07/30/4276" TargetMode="External" /><Relationship Id="rId22" Type="http://schemas.openxmlformats.org/officeDocument/2006/relationships/hyperlink" Target="http://data.aade.gr/eli/pri/law/2014/07/14/4274" TargetMode="External" /><Relationship Id="rId23" Type="http://schemas.openxmlformats.org/officeDocument/2006/relationships/hyperlink" Target="http://data.aade.gr/eli/pri/law/2014/04/07/4254" TargetMode="External" /><Relationship Id="rId24" Type="http://schemas.openxmlformats.org/officeDocument/2006/relationships/hyperlink" Target="http://data.aade.gr/eli/pri/law/2010/04/23/3842" TargetMode="External" /><Relationship Id="rId25" Type="http://schemas.openxmlformats.org/officeDocument/2006/relationships/hyperlink" Target="http://data.aade.gr/eli/pri/law/2009/05/27/3763" TargetMode="External" /><Relationship Id="rId26" Type="http://schemas.openxmlformats.org/officeDocument/2006/relationships/hyperlink" Target="http://data.aade.gr/eli/pri/law/2008/01/29/3634" TargetMode="External" /><Relationship Id="rId27" Type="http://schemas.openxmlformats.org/officeDocument/2006/relationships/hyperlink" Target="http://data.aade.gr/eli/pri/law/2015/07/02/4331" TargetMode="External" /><Relationship Id="rId28" Type="http://schemas.openxmlformats.org/officeDocument/2006/relationships/hyperlink" Target="http://data.aade.gr/eli/pri/law/2015/05/14/4328" TargetMode="External" /><Relationship Id="rId29" Type="http://schemas.openxmlformats.org/officeDocument/2006/relationships/hyperlink" Target="http://data.aade.gr/eli/pri/law/2017/06/07/4474" TargetMode="External" /><Relationship Id="rId3" Type="http://schemas.openxmlformats.org/officeDocument/2006/relationships/hyperlink" Target="http://data.aade.gr/eli/pri/law/2013/12/31/4223" TargetMode="External" /><Relationship Id="rId30" Type="http://schemas.openxmlformats.org/officeDocument/2006/relationships/hyperlink" Target="http://data.aade.gr/eli/pri/law/2015/10/17/4337" TargetMode="External" /><Relationship Id="rId31" Type="http://schemas.openxmlformats.org/officeDocument/2006/relationships/hyperlink" Target="http://data.aade.gr/eli/pri/law/2014/09/10/4283" TargetMode="External" /><Relationship Id="rId32" Type="http://schemas.openxmlformats.org/officeDocument/2006/relationships/hyperlink" Target="http://data.aade.gr/eli/pri/law/2008/01/29/3634" TargetMode="External" /><Relationship Id="rId33" Type="http://schemas.openxmlformats.org/officeDocument/2006/relationships/hyperlink" Target="http://data.aade.gr/eli/pri/law/2010/04/23/3842" TargetMode="External" /><Relationship Id="rId34" Type="http://schemas.openxmlformats.org/officeDocument/2006/relationships/hyperlink" Target="http://data.aade.gr/eli/pri/law/2008/01/29/3634" TargetMode="External" /><Relationship Id="rId35" Type="http://schemas.openxmlformats.org/officeDocument/2006/relationships/hyperlink" Target="http://data.aade.gr/eli/pri/law/2010/04/23/3842" TargetMode="External" /><Relationship Id="rId36" Type="http://schemas.openxmlformats.org/officeDocument/2006/relationships/hyperlink" Target="http://data.aade.gr/eli/pri/law/2010/04/23/3842" TargetMode="External" /><Relationship Id="rId37" Type="http://schemas.openxmlformats.org/officeDocument/2006/relationships/hyperlink" Target="http://data.aade.gr/eli/pri/law/2010/04/23/3842" TargetMode="External" /><Relationship Id="rId38" Type="http://schemas.openxmlformats.org/officeDocument/2006/relationships/hyperlink" Target="http://data.aade.gr/eli/pri/law/2010/04/23/3842" TargetMode="External" /><Relationship Id="rId39" Type="http://schemas.openxmlformats.org/officeDocument/2006/relationships/hyperlink" Target="http://data.aade.gr/eli/pri/law/2010/04/23/3842" TargetMode="External" /><Relationship Id="rId4" Type="http://schemas.openxmlformats.org/officeDocument/2006/relationships/hyperlink" Target="http://data.aade.gr/eli/pri/law/2017/06/07/4474" TargetMode="External" /><Relationship Id="rId40" Type="http://schemas.openxmlformats.org/officeDocument/2006/relationships/hyperlink" Target="http://data.aade.gr/eli/pri/law/2010/04/23/3842" TargetMode="External" /><Relationship Id="rId41" Type="http://schemas.openxmlformats.org/officeDocument/2006/relationships/hyperlink" Target="http://data.aade.gr/eli/pri/law/2010/04/23/3842" TargetMode="External" /><Relationship Id="rId42" Type="http://schemas.openxmlformats.org/officeDocument/2006/relationships/hyperlink" Target="http://data.aade.gr/eli/pri/law/2011/08/22/4002" TargetMode="External" /><Relationship Id="rId43" Type="http://schemas.openxmlformats.org/officeDocument/2006/relationships/hyperlink" Target="http://data.aade.gr/eli/pri/law/2010/04/23/3842" TargetMode="External" /><Relationship Id="rId44" Type="http://schemas.openxmlformats.org/officeDocument/2006/relationships/hyperlink" Target="http://data.aade.gr/eli/pri/law/2010/04/23/3842" TargetMode="External" /><Relationship Id="rId45" Type="http://schemas.openxmlformats.org/officeDocument/2006/relationships/hyperlink" Target="http://data.aade.gr/eli/pri/law/2016/08/08/4413" TargetMode="External" /><Relationship Id="rId46" Type="http://schemas.openxmlformats.org/officeDocument/2006/relationships/hyperlink" Target="http://data.aade.gr/eli/pri/law/2016/05/27/4389" TargetMode="External" /><Relationship Id="rId47" Type="http://schemas.openxmlformats.org/officeDocument/2006/relationships/hyperlink" Target="http://data.aade.gr/eli/pri/law/2014/12/24/4316" TargetMode="External" /><Relationship Id="rId48" Type="http://schemas.openxmlformats.org/officeDocument/2006/relationships/hyperlink" Target="http://data.aade.gr/eli/pri/law/2014/11/24/4308" TargetMode="External" /><Relationship Id="rId49" Type="http://schemas.openxmlformats.org/officeDocument/2006/relationships/hyperlink" Target="http://data.aade.gr/eli/pri/law/2014/07/30/4276" TargetMode="External" /><Relationship Id="rId5" Type="http://schemas.openxmlformats.org/officeDocument/2006/relationships/hyperlink" Target="http://data.aade.gr/eli/pri/law/2016/08/03/4410" TargetMode="External" /><Relationship Id="rId50" Type="http://schemas.openxmlformats.org/officeDocument/2006/relationships/hyperlink" Target="http://data.aade.gr/eli/pri/law/2010/04/23/3842" TargetMode="External" /><Relationship Id="rId51" Type="http://schemas.openxmlformats.org/officeDocument/2006/relationships/hyperlink" Target="http://data.aade.gr/eli/pri/law/2010/04/23/3842" TargetMode="External" /><Relationship Id="rId52" Type="http://schemas.openxmlformats.org/officeDocument/2006/relationships/hyperlink" Target="http://data.aade.gr/eli/pri/law/2010/04/23/3842" TargetMode="External" /><Relationship Id="rId53" Type="http://schemas.openxmlformats.org/officeDocument/2006/relationships/hyperlink" Target="http://data.aade.gr/eli/pri/law/2011/03/31/3943" TargetMode="External" /><Relationship Id="rId54" Type="http://schemas.openxmlformats.org/officeDocument/2006/relationships/hyperlink" Target="http://data.aade.gr/eli/pri/law/2010/04/23/3842" TargetMode="External" /><Relationship Id="rId55" Type="http://schemas.openxmlformats.org/officeDocument/2006/relationships/hyperlink" Target="http://data.aade.gr/eli/pri/law/2010/04/23/3842" TargetMode="External" /><Relationship Id="rId56" Type="http://schemas.openxmlformats.org/officeDocument/2006/relationships/hyperlink" Target="http://data.aade.gr/eli/pri/law/2010/04/23/3842" TargetMode="External" /><Relationship Id="rId57" Type="http://schemas.openxmlformats.org/officeDocument/2006/relationships/hyperlink" Target="http://data.aade.gr/eli/pri/law/2010/04/23/3842" TargetMode="External" /><Relationship Id="rId58" Type="http://schemas.openxmlformats.org/officeDocument/2006/relationships/hyperlink" Target="http://data.aade.gr/eli/pri/law/2010/04/23/3842" TargetMode="External" /><Relationship Id="rId6" Type="http://schemas.openxmlformats.org/officeDocument/2006/relationships/hyperlink" Target="http://data.aade.gr/eli/pri/law/2013/12/31/4223" TargetMode="External" /><Relationship Id="rId7" Type="http://schemas.openxmlformats.org/officeDocument/2006/relationships/hyperlink" Target="http://data.aade.gr/eli/pri/law/2010/04/23/3842" TargetMode="External" /><Relationship Id="rId8" Type="http://schemas.openxmlformats.org/officeDocument/2006/relationships/hyperlink" Target="http://data.aade.gr/eli/pri/law/2008/01/29/3634" TargetMode="External" /><Relationship Id="rId9" Type="http://schemas.openxmlformats.org/officeDocument/2006/relationships/hyperlink" Target="http://data.aade.gr/eli/pri/law/2013/12/31/4223"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