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δγ)</w:t>
      </w:r>
      <w:r>
        <w:rPr>
          <w:lang w:val="en" w:eastAsia="en"/>
        </w:rPr>
        <w:tab/>
      </w:r>
      <w:r>
        <w:rPr>
          <w:lang w:val="el" w:eastAsia="el"/>
        </w:rPr>
        <w:t>από τους μετά από αποποιήσεις κληρονόμους κατά το ποσοστό τους, από το επόμενο έτος του θανάτου του κληρονομουμένου ή, στην περίπτωση που έχει δημοσιευθεί διαθήκη, από το επόμενο έτος της δημοσίευσης αυτής, χωρίς την επιβολή προστίμου, εφόσον η δήλωση υποβληθεί μέχρι την τελευταία εργάσιμη ημέρα του επόμενου μήνα της λήξης της προθεσμίας αποποίησης,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διαχωρισμένη από την ατομική του περιουσία, για όσο διάστημα τη διαχειρίζεται, ια) 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λογαριασμό του πτωχού,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Ειδικά, για τα έτη 2012 έως και 2016, για τη χορήγηση του πιστοποιητικού του άρθρου 54Α του Ν. 4223/2013 , εφόσον δεν έχει υποβληθεί δήλωση για ακίνητο του πτωχού από τον υπόχρεο σε δήλωση, η δήλωση για το ακίνητο αυτό υποβάλλεται από τον κατά το χρόνο χορήγησης του πιστοποιητικού σύνδικο της πτώχευσης στο όνομα του πτωχού.</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α. Μετά τη σύνταξη υποσχετικής ή εκποιητικής δικαιοπραξίας, με την οποία συστήνονται, μεταβάλλονται, αλλοιώνονται ή μεταβιβάζονται από οποιαδήποτε αιτία δικαιώματα επί ακινήτου, ο συμβολαιογράφος υποχρεούται εντός τριάντα (30) ημερών σε υποβολή δήλωσης στοιχείων ακινήτων με τις μεταβολές της ακίνητης περιουσίας των συμβαλλομένων, με εξαίρεση την περίπτωση κατά την οποία δηλωθεί ρητά από τον ή από τους συμβαλλομένους ότι η σχετική δήλωση στοιχείων ακινήτων θα υποβληθεί από τους ίδιους. Τα ανωτέρω ισχύουν και κατά τη σύνταξη περίληψης κατακυρωτικής έκθεσης επί εκούσιου πλειστηριασμού. Στον συμβολαιογράφο που παραβαίνει την ανωτέρω υποχρέωση επιβάλλεται αυτοτελές πρόστιμο ύψους διακοσίων (200) ευρώ. Με απόφαση του Διοικητή της ΑΑΔΕ καθορίζεται ο τρόπος υποβολής των δηλώσεων, ο τύπος και το περιεχόμενο αυτών, η διαδικασία υποβολής, ο τρόπος αποκατάστασης των λαθών, καθώς και κάθε άλλο αναγκαίο θέμα για την εφαρμογή της παραγράφου αυτής.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α. Για τη σύσταση, απόκτηση και κάθε άλλη μεταβολή στα δικαιώματα της παρ. 1, ο υπόχρεος σε υποβολή δήλωσης στοιχείων ακινήτων υποβάλλει αυτήν μέχρι και την 31η Μαρτίου του επόμενου έτους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μέχρι την τελευταία εργάσιμη ημέρα του επόμενου μήνα της λήξης της προθεσμίας αποποίησης της κληρονομίας. Με απόφαση του Υπουργού Οικονομικών δύναται να παρατείνεται η προθεσμία του προηγούμενου εδαφίου.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του Ταμείου Αξιοποίησης Ιδιωτικής Περιουσίας του Δημοσίου (Τ.Α.Ι.ΠΕ.Δ.), της Εταιρείας Ακινήτων Δημοσίου (ΕΤ.Α.Δ.) Α.Ε., καθώς και για τα πρόσωπα της υποπερίπτωσης β΄ της περίπτωσης στ΄ της παρ. 1 του άρθρου 3 του Ν. 4223/2013 (Α΄ 287).</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 Για τις αρχικές και τροποποιητικές δηλώσεις στοιχείων ακινήτων (Ε9) ετών 2010 και επόμενων, που υποβλήθηκαν ή θα υποβληθούν από την 31.12.2014 μέχρι και την 30.11.2016, το αυτοτελές πρόστιμο του άρθρου 4 του Ν. 2523/1997 (Α΄ 179) ή το πρόστιμο του άρθρου 54 του Ν. 4174/2013 (Α΄ 170) κατά περίπτωση, μειώνονται στο μισό.</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11.</w:t>
      </w:r>
      <w:r>
        <w:rPr>
          <w:lang w:val="el" w:eastAsia="el"/>
        </w:rPr>
        <w:t xml:space="preserve"> Σε περίπτωση μεταβίβασης ακινήτου πριν από την υποβολή της οικείας δήλωσης φόρου δωρεάς ή γονικής παροχής ακινήτου ή φόρου μεταβίβασης ακινήτου, ο μεταβιβάζων επικαιροποιεί τα στοιχεία του μεταβιβαζόμενου ακινήτου από την περιουσιακή του κατάσταση στο Ολοκληρωμένο Πληροφοριακό Σύστημα (Ο.Π.Σ.) Περιουσιολογίου Ακινήτων. Την ίδια υποχρέωση έχει και ο αποκτών το ακίνητο, εφόσον έχει ήδη δικαίωμα επί του μεταβιβαζόμενου ακινήτου. Το πρώτο και το δεύτερο εδάφιο εφαρμόζονται ανάλογα και πριν από την υποβολή δήλωσης φόρου κληρονομιάς ακινήτου. Με την ανάρτηση από τον συμβολαιογράφο στην εφαρμογή «myPROPERTY» του συμβολαίου, με το οποίο συστήνεται, μετατίθεται, μεταβάλλεται ή καταργείται δικαίωμα σε ακίνητο της παρ. 1, δημιουργείται αυτόματα ψηφιακή δήλωση στοιχείων ακινήτων (Ε9) των συμβαλλομένων με τις μεταβολές της ακίνητης περιουσίας αυτών και μεταβάλλεται, αντίστοιχα, η περιουσιακή κατάσταση των συμβαλλομένων στο Ο.Π.Σ. Περιουσιολογίου Ακινήτων. Με απόφαση του Διοικητή της Α.Α.Δ.Ε. καθορίζονται ο τρόπος σύνθεσης και ο τύπος της δήλωσης, η διαδικασία υποβολής της, ο χρόνος έναρξης λειτουργίας κάθε σταδίου της ψηφιακής εφαρμογής, καθώς και κάθε άλλο αναγκαίο θέμα για την υλοποίηση και εφαρμογή της παρούσας.</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3" w:history="1">
        <w:r>
          <w:rPr>
            <w:rStyle w:val="Hyperlink"/>
            <w:color w:val="0000EE"/>
            <w:u w:color="0000EE"/>
            <w:lang w:val="el" w:eastAsia="el"/>
          </w:rPr>
          <w:t>Τροποποίηση 4474/2017, Άρθρο 13</w:t>
        </w:r>
      </w:hyperlink>
      <w:r>
        <w:rPr>
          <w:lang w:val="el" w:eastAsia="el"/>
        </w:rPr>
        <w:t xml:space="preserve">; </w:t>
      </w:r>
      <w:hyperlink r:id="rId5" w:anchor="art_49" w:history="1">
        <w:r>
          <w:rPr>
            <w:rStyle w:val="Hyperlink"/>
            <w:color w:val="0000EE"/>
            <w:u w:color="0000EE"/>
            <w:lang w:val="el" w:eastAsia="el"/>
          </w:rPr>
          <w:t>Τροποποίηση 4410/2016, Άρθρο 49</w:t>
        </w:r>
      </w:hyperlink>
      <w:r>
        <w:rPr>
          <w:lang w:val="el" w:eastAsia="el"/>
        </w:rPr>
        <w:t xml:space="preserve">; </w:t>
      </w:r>
      <w:hyperlink r:id="rId6" w:anchor="art_12" w:history="1">
        <w:r>
          <w:rPr>
            <w:rStyle w:val="Hyperlink"/>
            <w:color w:val="0000EE"/>
            <w:u w:color="0000EE"/>
            <w:lang w:val="el" w:eastAsia="el"/>
          </w:rPr>
          <w:t>Προσθήκη 4223/2013, Άρθρο 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1" w:history="1">
        <w:r>
          <w:rPr>
            <w:rStyle w:val="Hyperlink"/>
            <w:color w:val="0000EE"/>
            <w:u w:color="0000EE"/>
            <w:lang w:val="el" w:eastAsia="el"/>
          </w:rPr>
          <w:t>Προσθήκη 3842/2010, Άρθρο 51</w:t>
        </w:r>
      </w:hyperlink>
      <w:r>
        <w:rPr>
          <w:lang w:val="el" w:eastAsia="el"/>
        </w:rPr>
        <w:t xml:space="preserve">; </w:t>
      </w:r>
      <w:hyperlink r:id="rId8" w:anchor="art_20" w:history="1">
        <w:r>
          <w:rPr>
            <w:rStyle w:val="Hyperlink"/>
            <w:color w:val="0000EE"/>
            <w:u w:color="0000EE"/>
            <w:lang w:val="el" w:eastAsia="el"/>
          </w:rPr>
          <w:t>Αφαίρεση 3634/2008,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Προσθήκη 4223/2013,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2" w:history="1">
        <w:r>
          <w:rPr>
            <w:rStyle w:val="Hyperlink"/>
            <w:color w:val="0000EE"/>
            <w:u w:color="0000EE"/>
            <w:lang w:val="el" w:eastAsia="el"/>
          </w:rPr>
          <w:t>Προσθήκη 4239/2014,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6" w:history="1">
        <w:r>
          <w:rPr>
            <w:rStyle w:val="Hyperlink"/>
            <w:color w:val="0000EE"/>
            <w:u w:color="0000EE"/>
            <w:lang w:val="el" w:eastAsia="el"/>
          </w:rPr>
          <w:t>Τροποποίηση 4316/2014, Άρθρο 86</w:t>
        </w:r>
      </w:hyperlink>
      <w:r>
        <w:rPr>
          <w:lang w:val="el" w:eastAsia="el"/>
        </w:rPr>
        <w:t xml:space="preserve">; </w:t>
      </w:r>
      <w:hyperlink r:id="rId12" w:anchor="art_52" w:history="1">
        <w:r>
          <w:rPr>
            <w:rStyle w:val="Hyperlink"/>
            <w:color w:val="0000EE"/>
            <w:u w:color="0000EE"/>
            <w:lang w:val="el" w:eastAsia="el"/>
          </w:rPr>
          <w:t>Προσθήκη 4276/2014, Άρθρο 52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Προσθήκη 4474/2017, Άρθρο 13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4" w:history="1">
        <w:r>
          <w:rPr>
            <w:rStyle w:val="Hyperlink"/>
            <w:color w:val="0000EE"/>
            <w:u w:color="0000EE"/>
            <w:lang w:val="el" w:eastAsia="el"/>
          </w:rPr>
          <w:t>Τροποποίηση 4652/2020, Άρθρο 14</w:t>
        </w:r>
      </w:hyperlink>
      <w:r>
        <w:rPr>
          <w:lang w:val="el" w:eastAsia="el"/>
        </w:rPr>
        <w:t xml:space="preserve">; </w:t>
      </w:r>
      <w:hyperlink r:id="rId15" w:anchor="art_49" w:history="1">
        <w:r>
          <w:rPr>
            <w:rStyle w:val="Hyperlink"/>
            <w:color w:val="0000EE"/>
            <w:u w:color="0000EE"/>
            <w:lang w:val="el" w:eastAsia="el"/>
          </w:rPr>
          <w:t>Προσθήκη 4646/2019, Άρθρο 49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48; </w:t>
      </w:r>
      <w:hyperlink r:id="rId17" w:anchor="art_73" w:history="1">
        <w:r>
          <w:rPr>
            <w:rStyle w:val="Hyperlink"/>
            <w:color w:val="0000EE"/>
            <w:u w:color="0000EE"/>
            <w:lang w:val="el" w:eastAsia="el"/>
          </w:rPr>
          <w:t>Τροποποίηση 4607/2019, Άρθρο 73</w:t>
        </w:r>
      </w:hyperlink>
      <w:r>
        <w:rPr>
          <w:lang w:val="el" w:eastAsia="el"/>
        </w:rPr>
        <w:t xml:space="preserve">; </w:t>
      </w:r>
      <w:hyperlink r:id="rId18" w:anchor="art_86" w:history="1">
        <w:r>
          <w:rPr>
            <w:rStyle w:val="Hyperlink"/>
            <w:color w:val="0000EE"/>
            <w:u w:color="0000EE"/>
            <w:lang w:val="el" w:eastAsia="el"/>
          </w:rPr>
          <w:t>Τροποποίηση 4316/2014, Άρθρο 86</w:t>
        </w:r>
      </w:hyperlink>
      <w:r>
        <w:rPr>
          <w:lang w:val="el" w:eastAsia="el"/>
        </w:rPr>
        <w:t xml:space="preserve">; </w:t>
      </w:r>
      <w:hyperlink r:id="rId19" w:anchor="art_18" w:history="1">
        <w:r>
          <w:rPr>
            <w:rStyle w:val="Hyperlink"/>
            <w:color w:val="0000EE"/>
            <w:u w:color="0000EE"/>
            <w:lang w:val="el" w:eastAsia="el"/>
          </w:rPr>
          <w:t>Τροποποίηση 4286/2014, Άρθρο 18</w:t>
        </w:r>
      </w:hyperlink>
      <w:r>
        <w:rPr>
          <w:lang w:val="el" w:eastAsia="el"/>
        </w:rPr>
        <w:t xml:space="preserve">; </w:t>
      </w:r>
      <w:hyperlink r:id="rId20" w:anchor="art_52" w:history="1">
        <w:r>
          <w:rPr>
            <w:rStyle w:val="Hyperlink"/>
            <w:color w:val="0000EE"/>
            <w:u w:color="0000EE"/>
            <w:lang w:val="el" w:eastAsia="el"/>
          </w:rPr>
          <w:t>Τροποποίηση 4276/2014, Άρθρο 52</w:t>
        </w:r>
      </w:hyperlink>
      <w:r>
        <w:rPr>
          <w:lang w:val="el" w:eastAsia="el"/>
        </w:rPr>
        <w:t xml:space="preserve">; </w:t>
      </w:r>
      <w:hyperlink r:id="rId21" w:anchor="art_52" w:history="1">
        <w:r>
          <w:rPr>
            <w:rStyle w:val="Hyperlink"/>
            <w:color w:val="0000EE"/>
            <w:u w:color="0000EE"/>
            <w:lang w:val="el" w:eastAsia="el"/>
          </w:rPr>
          <w:t>Προσθήκη 4276/2014, Άρθρο 52</w:t>
        </w:r>
      </w:hyperlink>
      <w:r>
        <w:rPr>
          <w:lang w:val="el" w:eastAsia="el"/>
        </w:rPr>
        <w:t xml:space="preserve">; </w:t>
      </w:r>
      <w:hyperlink r:id="rId22" w:anchor="art_53" w:history="1">
        <w:r>
          <w:rPr>
            <w:rStyle w:val="Hyperlink"/>
            <w:color w:val="0000EE"/>
            <w:u w:color="0000EE"/>
            <w:lang w:val="el" w:eastAsia="el"/>
          </w:rPr>
          <w:t>Τροποποίηση 4274/2014, Άρθρο 53</w:t>
        </w:r>
      </w:hyperlink>
      <w:r>
        <w:rPr>
          <w:lang w:val="el" w:eastAsia="el"/>
        </w:rPr>
        <w:t xml:space="preserve">; </w:t>
      </w:r>
      <w:hyperlink r:id="rId23" w:anchor="art_3" w:history="1">
        <w:r>
          <w:rPr>
            <w:rStyle w:val="Hyperlink"/>
            <w:color w:val="0000EE"/>
            <w:u w:color="0000EE"/>
            <w:lang w:val="el" w:eastAsia="el"/>
          </w:rPr>
          <w:t>Τροποποίηση 4254/2014, Άρθρο 3</w:t>
        </w:r>
      </w:hyperlink>
      <w:r>
        <w:rPr>
          <w:lang w:val="el" w:eastAsia="el"/>
        </w:rPr>
        <w:t xml:space="preserve">; </w:t>
      </w:r>
      <w:hyperlink r:id="rId24" w:anchor="art_51" w:history="1">
        <w:r>
          <w:rPr>
            <w:rStyle w:val="Hyperlink"/>
            <w:color w:val="0000EE"/>
            <w:u w:color="0000EE"/>
            <w:lang w:val="el" w:eastAsia="el"/>
          </w:rPr>
          <w:t>Προσθήκη 3842/2010, Άρθρο 51</w:t>
        </w:r>
      </w:hyperlink>
      <w:r>
        <w:rPr>
          <w:lang w:val="el" w:eastAsia="el"/>
        </w:rPr>
        <w:t xml:space="preserve">; </w:t>
      </w:r>
      <w:hyperlink r:id="rId25" w:anchor="art_7" w:history="1">
        <w:r>
          <w:rPr>
            <w:rStyle w:val="Hyperlink"/>
            <w:color w:val="0000EE"/>
            <w:u w:color="0000EE"/>
            <w:lang w:val="el" w:eastAsia="el"/>
          </w:rPr>
          <w:t>Τροποποίηση 3763/2009, Άρθρο 7</w:t>
        </w:r>
      </w:hyperlink>
      <w:r>
        <w:rPr>
          <w:lang w:val="el" w:eastAsia="el"/>
        </w:rPr>
        <w:t xml:space="preserve">; </w:t>
      </w:r>
      <w:hyperlink r:id="rId26" w:anchor="art_20" w:history="1">
        <w:r>
          <w:rPr>
            <w:rStyle w:val="Hyperlink"/>
            <w:color w:val="0000EE"/>
            <w:u w:color="0000EE"/>
            <w:lang w:val="el" w:eastAsia="el"/>
          </w:rPr>
          <w:t>Τροποποίηση 3634/2008,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7" w:history="1">
        <w:r>
          <w:rPr>
            <w:rStyle w:val="Hyperlink"/>
            <w:color w:val="0000EE"/>
            <w:u w:color="0000EE"/>
            <w:lang w:val="el" w:eastAsia="el"/>
          </w:rPr>
          <w:t>Τροποποίηση 4331/2015, Άρθρο 47</w:t>
        </w:r>
      </w:hyperlink>
      <w:r>
        <w:rPr>
          <w:lang w:val="el" w:eastAsia="el"/>
        </w:rPr>
        <w:t xml:space="preserve">; </w:t>
      </w:r>
      <w:hyperlink r:id="rId28" w:anchor="art_6" w:history="1">
        <w:r>
          <w:rPr>
            <w:rStyle w:val="Hyperlink"/>
            <w:color w:val="0000EE"/>
            <w:u w:color="0000EE"/>
            <w:lang w:val="el" w:eastAsia="el"/>
          </w:rPr>
          <w:t>Προσθήκη 4328/2015, Άρθρο 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4474/2017, Άρθρο 10</w:t>
        </w:r>
      </w:hyperlink>
      <w:r>
        <w:rPr>
          <w:lang w:val="el" w:eastAsia="el"/>
        </w:rPr>
        <w:t xml:space="preserve">; </w:t>
      </w:r>
      <w:hyperlink r:id="rId30" w:anchor="art_2" w:history="1">
        <w:r>
          <w:rPr>
            <w:rStyle w:val="Hyperlink"/>
            <w:color w:val="0000EE"/>
            <w:u w:color="0000EE"/>
            <w:lang w:val="el" w:eastAsia="el"/>
          </w:rPr>
          <w:t>Τροποποίηση 4337/2015, Άρθρο 2</w:t>
        </w:r>
      </w:hyperlink>
      <w:r>
        <w:rPr>
          <w:lang w:val="el" w:eastAsia="el"/>
        </w:rPr>
        <w:t xml:space="preserve">; </w:t>
      </w:r>
      <w:hyperlink r:id="rId31" w:anchor="art_21" w:history="1">
        <w:r>
          <w:rPr>
            <w:rStyle w:val="Hyperlink"/>
            <w:color w:val="0000EE"/>
            <w:u w:color="0000EE"/>
            <w:lang w:val="el" w:eastAsia="el"/>
          </w:rPr>
          <w:t>Τροποποίηση 4283/2014, Άρθρο 21</w:t>
        </w:r>
      </w:hyperlink>
      <w:r>
        <w:rPr>
          <w:lang w:val="el" w:eastAsia="el"/>
        </w:rPr>
        <w:t xml:space="preserve">; </w:t>
      </w:r>
      <w:hyperlink r:id="rId32" w:anchor="art_20" w:history="1">
        <w:r>
          <w:rPr>
            <w:rStyle w:val="Hyperlink"/>
            <w:color w:val="0000EE"/>
            <w:u w:color="0000EE"/>
            <w:lang w:val="el" w:eastAsia="el"/>
          </w:rPr>
          <w:t>Τροποποίηση 3634/2008, Άρθρο 20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Τροποποίηση 3842/2010, Άρθρο 51</w:t>
        </w:r>
      </w:hyperlink>
      <w:r>
        <w:rPr>
          <w:lang w:val="el" w:eastAsia="el"/>
        </w:rPr>
        <w:t xml:space="preserve">; </w:t>
      </w:r>
      <w:hyperlink r:id="rId34" w:anchor="art_20" w:history="1">
        <w:r>
          <w:rPr>
            <w:rStyle w:val="Hyperlink"/>
            <w:color w:val="0000EE"/>
            <w:u w:color="0000EE"/>
            <w:lang w:val="el" w:eastAsia="el"/>
          </w:rPr>
          <w:t>Τροποποίηση 3634/2008, Άρθρο 20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4002/2011,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1" w:history="1">
        <w:r>
          <w:rPr>
            <w:rStyle w:val="Hyperlink"/>
            <w:color w:val="0000EE"/>
            <w:u w:color="0000EE"/>
            <w:lang w:val="el" w:eastAsia="el"/>
          </w:rPr>
          <w:t>Προσθήκη 3842/2010, Άρθρο 51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4" w:history="1">
        <w:r>
          <w:rPr>
            <w:rStyle w:val="Hyperlink"/>
            <w:color w:val="0000EE"/>
            <w:u w:color="0000EE"/>
            <w:lang w:val="el" w:eastAsia="el"/>
          </w:rPr>
          <w:t>Τροποποίηση 4413/2016, Άρθρο 84</w:t>
        </w:r>
      </w:hyperlink>
      <w:r>
        <w:rPr>
          <w:lang w:val="el" w:eastAsia="el"/>
        </w:rPr>
        <w:t xml:space="preserve">; </w:t>
      </w:r>
      <w:hyperlink r:id="rId46" w:anchor="art_51" w:history="1">
        <w:r>
          <w:rPr>
            <w:rStyle w:val="Hyperlink"/>
            <w:color w:val="0000EE"/>
            <w:u w:color="0000EE"/>
            <w:lang w:val="el" w:eastAsia="el"/>
          </w:rPr>
          <w:t>Προσθήκη 4389/2016, Άρθρο 51</w:t>
        </w:r>
      </w:hyperlink>
      <w:r>
        <w:rPr>
          <w:lang w:val="el" w:eastAsia="el"/>
        </w:rPr>
        <w:t xml:space="preserve">; </w:t>
      </w:r>
      <w:hyperlink r:id="rId47" w:anchor="art_86" w:history="1">
        <w:r>
          <w:rPr>
            <w:rStyle w:val="Hyperlink"/>
            <w:color w:val="0000EE"/>
            <w:u w:color="0000EE"/>
            <w:lang w:val="el" w:eastAsia="el"/>
          </w:rPr>
          <w:t>Τροποποίηση 4316/2014, Άρθρο 86</w:t>
        </w:r>
      </w:hyperlink>
      <w:r>
        <w:rPr>
          <w:lang w:val="el" w:eastAsia="el"/>
        </w:rPr>
        <w:t xml:space="preserve">; </w:t>
      </w:r>
      <w:hyperlink r:id="rId48" w:anchor="art_42" w:history="1">
        <w:r>
          <w:rPr>
            <w:rStyle w:val="Hyperlink"/>
            <w:color w:val="0000EE"/>
            <w:u w:color="0000EE"/>
            <w:lang w:val="el" w:eastAsia="el"/>
          </w:rPr>
          <w:t>Τροποποίηση 4308/2014, Άρθρο 42</w:t>
        </w:r>
      </w:hyperlink>
      <w:r>
        <w:rPr>
          <w:lang w:val="el" w:eastAsia="el"/>
        </w:rPr>
        <w:t xml:space="preserve">; </w:t>
      </w:r>
      <w:hyperlink r:id="rId49" w:anchor="art_52" w:history="1">
        <w:r>
          <w:rPr>
            <w:rStyle w:val="Hyperlink"/>
            <w:color w:val="0000EE"/>
            <w:u w:color="0000EE"/>
            <w:lang w:val="el" w:eastAsia="el"/>
          </w:rPr>
          <w:t>Προσθήκη 4276/2014, Άρθρο 52</w:t>
        </w:r>
      </w:hyperlink>
      <w:r>
        <w:rPr>
          <w:lang w:val="el" w:eastAsia="el"/>
        </w:rPr>
        <w:t xml:space="preserve">; </w:t>
      </w:r>
      <w:hyperlink r:id="rId50" w:anchor="art_51" w:history="1">
        <w:r>
          <w:rPr>
            <w:rStyle w:val="Hyperlink"/>
            <w:color w:val="0000EE"/>
            <w:u w:color="0000EE"/>
            <w:lang w:val="el" w:eastAsia="el"/>
          </w:rPr>
          <w:t>Προσθήκη 3842/2010, Άρθρο 51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1" w:history="1">
        <w:r>
          <w:rPr>
            <w:rStyle w:val="Hyperlink"/>
            <w:color w:val="0000EE"/>
            <w:u w:color="0000EE"/>
            <w:lang w:val="el" w:eastAsia="el"/>
          </w:rPr>
          <w:t>Προσθήκη 3842/2010, Άρθρο 51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5" w:history="1">
        <w:r>
          <w:rPr>
            <w:rStyle w:val="Hyperlink"/>
            <w:color w:val="0000EE"/>
            <w:u w:color="0000EE"/>
            <w:lang w:val="el" w:eastAsia="el"/>
          </w:rPr>
          <w:t>Προσθήκη 5036/2023, Άρθρο 25</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4" w:history="1">
        <w:r>
          <w:rPr>
            <w:rStyle w:val="Hyperlink"/>
            <w:color w:val="0000EE"/>
            <w:u w:color="0000EE"/>
            <w:lang w:val="el" w:eastAsia="el"/>
          </w:rPr>
          <w:t>Τροποποίηση 3943/2011, Άρθρο 24</w:t>
        </w:r>
      </w:hyperlink>
      <w:r>
        <w:rPr>
          <w:lang w:val="el" w:eastAsia="el"/>
        </w:rPr>
        <w:t xml:space="preserve">; </w:t>
      </w:r>
      <w:hyperlink r:id="rId55" w:anchor="art_52" w:history="1">
        <w:r>
          <w:rPr>
            <w:rStyle w:val="Hyperlink"/>
            <w:color w:val="0000EE"/>
            <w:u w:color="0000EE"/>
            <w:lang w:val="el" w:eastAsia="el"/>
          </w:rPr>
          <w:t>Προσθήκη 3842/2010,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2" w:history="1">
        <w:r>
          <w:rPr>
            <w:rStyle w:val="Hyperlink"/>
            <w:color w:val="0000EE"/>
            <w:u w:color="0000EE"/>
            <w:lang w:val="el" w:eastAsia="el"/>
          </w:rPr>
          <w:t>Προσθήκη 3842/2010,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2" w:history="1">
        <w:r>
          <w:rPr>
            <w:rStyle w:val="Hyperlink"/>
            <w:color w:val="0000EE"/>
            <w:u w:color="0000EE"/>
            <w:lang w:val="el" w:eastAsia="el"/>
          </w:rPr>
          <w:t>Προσθήκη 3842/2010, Άρθρο 52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2" w:history="1">
        <w:r>
          <w:rPr>
            <w:rStyle w:val="Hyperlink"/>
            <w:color w:val="0000EE"/>
            <w:u w:color="0000EE"/>
            <w:lang w:val="el" w:eastAsia="el"/>
          </w:rPr>
          <w:t>Προσθήκη 3842/2010, Άρθρο 52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2/20/4239" TargetMode="External" /><Relationship Id="rId11" Type="http://schemas.openxmlformats.org/officeDocument/2006/relationships/hyperlink" Target="http://data.aade.gr/eli/pri/law/2014/12/24/431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7/06/07/4474" TargetMode="External" /><Relationship Id="rId14" Type="http://schemas.openxmlformats.org/officeDocument/2006/relationships/hyperlink" Target="http://data.aade.gr/eli/pri/law/2020/01/23/4652"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08/01/29/3634" TargetMode="External" /><Relationship Id="rId17" Type="http://schemas.openxmlformats.org/officeDocument/2006/relationships/hyperlink" Target="http://data.aade.gr/eli/pri/law/2019/04/24/4607" TargetMode="External" /><Relationship Id="rId18" Type="http://schemas.openxmlformats.org/officeDocument/2006/relationships/hyperlink" Target="http://data.aade.gr/eli/pri/law/2014/12/24/431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4/07/30/4276" TargetMode="External" /><Relationship Id="rId22" Type="http://schemas.openxmlformats.org/officeDocument/2006/relationships/hyperlink" Target="http://data.aade.gr/eli/pri/law/2014/07/14/4274" TargetMode="External" /><Relationship Id="rId23" Type="http://schemas.openxmlformats.org/officeDocument/2006/relationships/hyperlink" Target="http://data.aade.gr/eli/pri/law/2014/04/07/4254"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09/05/27/3763" TargetMode="External" /><Relationship Id="rId26" Type="http://schemas.openxmlformats.org/officeDocument/2006/relationships/hyperlink" Target="http://data.aade.gr/eli/pri/law/2008/01/29/3634" TargetMode="External" /><Relationship Id="rId27" Type="http://schemas.openxmlformats.org/officeDocument/2006/relationships/hyperlink" Target="http://data.aade.gr/eli/pri/law/2015/07/02/4331" TargetMode="External" /><Relationship Id="rId28" Type="http://schemas.openxmlformats.org/officeDocument/2006/relationships/hyperlink" Target="http://data.aade.gr/eli/pri/law/2015/05/14/4328" TargetMode="External" /><Relationship Id="rId29" Type="http://schemas.openxmlformats.org/officeDocument/2006/relationships/hyperlink" Target="http://data.aade.gr/eli/pri/law/2017/06/07/4474"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5/10/17/4337" TargetMode="External" /><Relationship Id="rId31" Type="http://schemas.openxmlformats.org/officeDocument/2006/relationships/hyperlink" Target="http://data.aade.gr/eli/pri/law/2014/09/10/4283" TargetMode="External" /><Relationship Id="rId32" Type="http://schemas.openxmlformats.org/officeDocument/2006/relationships/hyperlink" Target="http://data.aade.gr/eli/pri/law/2008/01/29/3634"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08/01/29/3634"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7/06/07/4474"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1/08/22/400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6/08/08/4413" TargetMode="External" /><Relationship Id="rId46" Type="http://schemas.openxmlformats.org/officeDocument/2006/relationships/hyperlink" Target="http://data.aade.gr/eli/pri/law/2016/05/27/4389"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4/11/24/4308" TargetMode="External" /><Relationship Id="rId49" Type="http://schemas.openxmlformats.org/officeDocument/2006/relationships/hyperlink" Target="http://data.aade.gr/eli/pri/law/2014/07/30/4276" TargetMode="External" /><Relationship Id="rId5" Type="http://schemas.openxmlformats.org/officeDocument/2006/relationships/hyperlink" Target="http://data.aade.gr/eli/pri/law/2016/08/03/4410"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52" Type="http://schemas.openxmlformats.org/officeDocument/2006/relationships/hyperlink" Target="http://data.aade.gr/eli/pri/law/2023/03/27/5036" TargetMode="External" /><Relationship Id="rId53" Type="http://schemas.openxmlformats.org/officeDocument/2006/relationships/hyperlink" Target="http://data.aade.gr/eli/pri/law/2010/04/23/3842" TargetMode="External" /><Relationship Id="rId54" Type="http://schemas.openxmlformats.org/officeDocument/2006/relationships/hyperlink" Target="http://data.aade.gr/eli/pri/law/2011/03/31/3943" TargetMode="External" /><Relationship Id="rId55" Type="http://schemas.openxmlformats.org/officeDocument/2006/relationships/hyperlink" Target="http://data.aade.gr/eli/pri/law/2010/04/23/3842"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10/04/23/3842"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08/01/29/3634" TargetMode="External" /><Relationship Id="rId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