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5</w:t>
      </w:r>
    </w:p>
    <w:p>
      <w:pPr>
        <w:pStyle w:val="PreambelText"/>
        <w:spacing w:before="240" w:after="240"/>
        <w:rPr>
          <w:lang w:val="el" w:eastAsia="el"/>
        </w:rPr>
      </w:pPr>
      <w:r>
        <w:rPr>
          <w:lang w:val="el" w:eastAsia="el"/>
        </w:rPr>
        <w:t>26 Ιανουαρίου 2010</w:t>
      </w:r>
    </w:p>
    <w:p>
      <w:pPr>
        <w:pStyle w:val="enacting"/>
        <w:spacing w:before="120" w:after="0"/>
        <w:rPr>
          <w:lang w:val="el" w:eastAsia="el"/>
        </w:rPr>
      </w:pPr>
      <w:r>
        <w:rPr>
          <w:lang w:val="el" w:eastAsia="el"/>
        </w:rPr>
        <w:t>NOMOΣ ΥΠ’ ΑΡΙΘ. 3815</w:t>
      </w:r>
    </w:p>
    <w:p>
      <w:pPr>
        <w:pStyle w:val="PreambelText"/>
        <w:spacing w:before="240" w:after="240"/>
        <w:rPr>
          <w:lang w:val="el" w:eastAsia="el"/>
        </w:rPr>
      </w:pPr>
      <w:r>
        <w:rPr>
          <w:lang w:val="el" w:eastAsia="el"/>
        </w:rPr>
        <w:t>Τροποποίηση του Κώδικα Φορολογίας Κληρονομιών, Δωρεών, Γονικών Παροχών, Προικών και Κερδών από Λαχεία και του Εθνικού Τελωνειακού Κώδικα.</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παράγραφος 2 του άρθρου 29 του Κώδικα Φορολογίας Κληρονομιών, Δωρεών, Γονικών Παροχών, Προικών και Κερδών από Λαχεία, ο οποίος κυρώθηκε με το ν. 2961/2001 (ΦΕΚ 266 Α΄), αντικαθίσταται ως εξής:</w:t>
      </w:r>
    </w:p>
    <w:p>
      <w:pPr>
        <w:spacing w:before="240" w:after="240"/>
        <w:rPr>
          <w:lang w:val="el" w:eastAsia="el"/>
        </w:rPr>
      </w:pPr>
      <w:r>
        <w:rPr>
          <w:lang w:val="el" w:eastAsia="el"/>
        </w:rPr>
        <w:t>«2.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p>
    <w:p>
      <w:pPr>
        <w:spacing w:before="240" w:after="240"/>
        <w:rPr>
          <w:lang w:val="el" w:eastAsia="el"/>
        </w:rPr>
      </w:pPr>
      <w:r>
        <w:rPr>
          <w:b/>
          <w:bCs/>
          <w:lang w:val="el" w:eastAsia="el"/>
        </w:rPr>
        <w:t>ΚΑΤΗΓΟΡΙΑ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2069"/>
        <w:gridCol w:w="1733"/>
        <w:gridCol w:w="2128"/>
        <w:gridCol w:w="16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ΚΑΤΗΓΟΡΙΑ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2069"/>
        <w:gridCol w:w="1733"/>
        <w:gridCol w:w="2128"/>
        <w:gridCol w:w="16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2. Οι παράγραφοι 4 και 5 του άρθρου 29 του Κώδικα Φορολογίας Κληρονομιών, Δωρεών, Γονικών Παροχών,</w:t>
      </w:r>
    </w:p>
    <w:p>
      <w:pPr>
        <w:spacing w:before="240" w:after="240"/>
        <w:rPr>
          <w:lang w:val="el" w:eastAsia="el"/>
        </w:rPr>
      </w:pPr>
      <w:r>
        <w:rPr>
          <w:lang w:val="el" w:eastAsia="el"/>
        </w:rPr>
        <w:t>Προικών και Κερδών από Λαχεία αντικαθίστανται ως εξής:</w:t>
      </w:r>
    </w:p>
    <w:p>
      <w:pPr>
        <w:spacing w:before="240" w:after="240"/>
        <w:rPr>
          <w:lang w:val="el" w:eastAsia="el"/>
        </w:rPr>
      </w:pPr>
      <w:r>
        <w:rPr>
          <w:lang w:val="el" w:eastAsia="el"/>
        </w:rPr>
        <w:t>«4. Η αιτία θανάτου κτήση χρηματικών ποσών υπό- 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p>
    <w:p>
      <w:pPr>
        <w:spacing w:before="240" w:after="240"/>
        <w:rPr>
          <w:lang w:val="el" w:eastAsia="el"/>
        </w:rPr>
      </w:pPr>
      <w:r>
        <w:rPr>
          <w:lang w:val="el" w:eastAsia="el"/>
        </w:rPr>
        <w:t>5.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w:t>
      </w:r>
    </w:p>
    <w:p>
      <w:pPr>
        <w:pStyle w:val="MainText"/>
        <w:spacing w:before="120" w:after="0"/>
        <w:rPr>
          <w:lang w:val="el" w:eastAsia="el"/>
        </w:rPr>
      </w:pPr>
      <w:r>
        <w:rPr>
          <w:b/>
          <w:bCs/>
          <w:lang w:val="el" w:eastAsia="el"/>
        </w:rPr>
        <w:t>3.</w:t>
      </w:r>
      <w:r>
        <w:rPr>
          <w:lang w:val="el" w:eastAsia="el"/>
        </w:rPr>
        <w:t xml:space="preserve"> Προστίθεται παράγραφος 9 στο άρθρο 29 του Κώδικα Φορολογίας Κληρονομιών, Δωρεών, Γονικών Παροχών, Προικών και Κερδών από Λαχεία, η οποία έχει ως εξής:</w:t>
      </w:r>
    </w:p>
    <w:p>
      <w:pPr>
        <w:spacing w:before="240" w:after="240"/>
        <w:rPr>
          <w:lang w:val="el" w:eastAsia="el"/>
        </w:rPr>
      </w:pPr>
      <w:r>
        <w:rPr>
          <w:lang w:val="el" w:eastAsia="el"/>
        </w:rPr>
        <w:t>«9.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p>
    <w:p>
      <w:pPr>
        <w:pStyle w:val="MainText"/>
        <w:spacing w:before="120" w:after="0"/>
        <w:rPr>
          <w:lang w:val="el" w:eastAsia="el"/>
        </w:rPr>
      </w:pPr>
      <w:r>
        <w:rPr>
          <w:b/>
          <w:bCs/>
          <w:lang w:val="el" w:eastAsia="el"/>
        </w:rPr>
        <w:t>4.</w:t>
      </w:r>
      <w:r>
        <w:rPr>
          <w:lang w:val="el" w:eastAsia="el"/>
        </w:rPr>
        <w:t xml:space="preserve"> Η παράγραφος 1 του άρθρου 44 του Κώδικα Φορολογίας Κληρονομιών, Δωρεών, Γονικών Παροχών, Προικών και Κερδών από Λαχεία αντικαθίσταται ως εξής:</w:t>
      </w:r>
    </w:p>
    <w:p>
      <w:pPr>
        <w:spacing w:before="240" w:after="240"/>
        <w:rPr>
          <w:lang w:val="el" w:eastAsia="el"/>
        </w:rPr>
      </w:pPr>
      <w:r>
        <w:rPr>
          <w:lang w:val="el" w:eastAsia="el"/>
        </w:rPr>
        <w:t>«1.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p>
    <w:p>
      <w:pPr>
        <w:pStyle w:val="MainText"/>
        <w:spacing w:before="120" w:after="0"/>
        <w:rPr>
          <w:lang w:val="el" w:eastAsia="el"/>
        </w:rPr>
      </w:pPr>
      <w:r>
        <w:rPr>
          <w:b/>
          <w:bCs/>
          <w:lang w:val="el" w:eastAsia="el"/>
        </w:rPr>
        <w:t>5.</w:t>
      </w:r>
      <w:r>
        <w:rPr>
          <w:lang w:val="el" w:eastAsia="el"/>
        </w:rPr>
        <w:t xml:space="preserve"> Η παράγραφος 2 του άρθρου 44 του Κώδικα Φορολογίας Κληρονομιών, Δωρεών, Γονικών Παροχών, Προικών και Κερδών από Λαχεία καταργείται και οι επόμενες παράγραφοι του ίδιου άρθρου, αναριθμούνται αντίστοιχα.</w:t>
      </w:r>
    </w:p>
    <w:p>
      <w:pPr>
        <w:pStyle w:val="MainText"/>
        <w:spacing w:before="120" w:after="0"/>
        <w:rPr>
          <w:lang w:val="el" w:eastAsia="el"/>
        </w:rPr>
      </w:pPr>
      <w:r>
        <w:rPr>
          <w:b/>
          <w:bCs/>
          <w:lang w:val="el" w:eastAsia="el"/>
        </w:rPr>
        <w:t>6.</w:t>
      </w:r>
      <w:r>
        <w:rPr>
          <w:lang w:val="el" w:eastAsia="el"/>
        </w:rPr>
        <w:t xml:space="preserve"> Το τελευταίο εδάφιο της παραγράφου 6 του άρθρου 24 του Κώδικα Φορολογίας Κληρονομιών, Δωρεών, Γονικών Παροχών, Προικών και Κερδών από Λαχεία αντικαθίσταται ως εξής:</w:t>
      </w:r>
    </w:p>
    <w:p>
      <w:pPr>
        <w:spacing w:before="240" w:after="240"/>
        <w:rPr>
          <w:lang w:val="el" w:eastAsia="el"/>
        </w:rPr>
      </w:pPr>
      <w:r>
        <w:rPr>
          <w:lang w:val="el" w:eastAsia="el"/>
        </w:rPr>
        <w:t>«Προκειμένου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p>
    <w:p>
      <w:pPr>
        <w:pStyle w:val="MainText"/>
        <w:spacing w:before="120" w:after="0"/>
        <w:rPr>
          <w:lang w:val="el" w:eastAsia="el"/>
        </w:rPr>
      </w:pPr>
      <w:r>
        <w:rPr>
          <w:b/>
          <w:bCs/>
          <w:lang w:val="el" w:eastAsia="el"/>
        </w:rPr>
        <w:t>7.</w:t>
      </w:r>
      <w:r>
        <w:rPr>
          <w:lang w:val="el" w:eastAsia="el"/>
        </w:rPr>
        <w:t xml:space="preserve"> Η περίπτωση ζ΄ της παραγράφου 2 του άρθρου 25 του Κώδικα Φορολογίας Κληρονομιών, Δωρεών, Γονικών Παροχών, Προικών και Κερδών από Λαχεία αντικαθίσταται ως εξής:</w:t>
      </w:r>
    </w:p>
    <w:p>
      <w:pPr>
        <w:spacing w:before="240" w:after="240"/>
        <w:rPr>
          <w:lang w:val="el" w:eastAsia="el"/>
        </w:rPr>
      </w:pPr>
      <w:r>
        <w:rPr>
          <w:lang w:val="el" w:eastAsia="el"/>
        </w:rPr>
        <w:t>«ζ) 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p>
    <w:p>
      <w:pPr>
        <w:pStyle w:val="MainText"/>
        <w:spacing w:before="120" w:after="0"/>
        <w:rPr>
          <w:lang w:val="el" w:eastAsia="el"/>
        </w:rPr>
      </w:pPr>
      <w:r>
        <w:rPr>
          <w:b/>
          <w:bCs/>
          <w:lang w:val="el" w:eastAsia="el"/>
        </w:rPr>
        <w:t>8.</w:t>
      </w:r>
      <w:r>
        <w:rPr>
          <w:lang w:val="el" w:eastAsia="el"/>
        </w:rPr>
        <w:t xml:space="preserve"> Το τελευταίο εδάφιο της παραγράφου 1 του άρθρου 28 του Κώδικα Φορολογίας Κληρονομιών, Δωρεών, Γονικών Παροχών, Προικών και Κερδών από Λαχεία καταργείται.</w:t>
      </w:r>
    </w:p>
    <w:p>
      <w:pPr>
        <w:pStyle w:val="MainText"/>
        <w:spacing w:before="120" w:after="0"/>
        <w:rPr>
          <w:lang w:val="el" w:eastAsia="el"/>
        </w:rPr>
      </w:pPr>
      <w:r>
        <w:rPr>
          <w:b/>
          <w:bCs/>
          <w:lang w:val="el" w:eastAsia="el"/>
        </w:rPr>
        <w:t>9.</w:t>
      </w:r>
      <w:r>
        <w:rPr>
          <w:lang w:val="el" w:eastAsia="el"/>
        </w:rPr>
        <w:t xml:space="preserve"> Το πρώτο εδάφιο της παραγράφου 1 του άρθρου 82 του Κώδικα Φορολογίας Κληρονομιών, Δωρεών, Γονικών Παροχών, Προικών και Κερδών από Λαχεία αντικαθίσταται ως εξής:</w:t>
      </w:r>
    </w:p>
    <w:p>
      <w:pPr>
        <w:spacing w:before="240" w:after="240"/>
        <w:rPr>
          <w:lang w:val="el" w:eastAsia="el"/>
        </w:rPr>
      </w:pPr>
      <w:r>
        <w:rPr>
          <w:lang w:val="el" w:eastAsia="el"/>
        </w:rPr>
        <w:t>«1.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w:t>
      </w:r>
    </w:p>
    <w:p>
      <w:pPr>
        <w:pStyle w:val="MainText"/>
        <w:spacing w:before="120" w:after="0"/>
        <w:rPr>
          <w:lang w:val="el" w:eastAsia="el"/>
        </w:rPr>
      </w:pPr>
      <w:r>
        <w:rPr>
          <w:b/>
          <w:bCs/>
          <w:lang w:val="el" w:eastAsia="el"/>
        </w:rPr>
        <w:t>10.</w:t>
      </w:r>
      <w:r>
        <w:rPr>
          <w:lang w:val="el" w:eastAsia="el"/>
        </w:rPr>
        <w:t xml:space="preserve"> Το άρθρο 90 του Κώδικα Φορολογίας Κληρονομιών, Δωρεών, Γονικών Παροχών, Προικών και Κερδών από Λαχεία αντικαθίσταται ως εξής:</w:t>
      </w:r>
    </w:p>
    <w:p>
      <w:pPr>
        <w:spacing w:before="240" w:after="240"/>
        <w:rPr>
          <w:lang w:val="el" w:eastAsia="el"/>
        </w:rPr>
      </w:pPr>
      <w:r>
        <w:rPr>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p>
    <w:p>
      <w:pPr>
        <w:pStyle w:val="MainText"/>
        <w:spacing w:before="120" w:after="0"/>
        <w:rPr>
          <w:lang w:val="el" w:eastAsia="el"/>
        </w:rPr>
      </w:pPr>
      <w:r>
        <w:rPr>
          <w:b/>
          <w:bCs/>
          <w:lang w:val="el" w:eastAsia="el"/>
        </w:rPr>
        <w:t>11.</w:t>
      </w:r>
      <w:r>
        <w:rPr>
          <w:lang w:val="el" w:eastAsia="el"/>
        </w:rPr>
        <w:t xml:space="preserve"> Σε υποθέσεις φορολογίας κληρονομιών, δωρεών και γονικών παροχών στις οποίες η φορολογική υποχρέωση γεννάται μετά την έναρξη ισχύος των διατάξεων του άρθρου αυτού, συνυπολογίζονται όλες οι δωρεές εν ζωή ή αιτία θανάτου, οι γονικές παροχές και οι προίκες κατά τις διατάξεις των άρθρων 4, 36 και 47 του Κώδικα Φορολογίας Κληρονομιών, Δωρεών, Γονικών Παροχών, Προικών και Κερδών από Λαχεία.</w:t>
      </w:r>
    </w:p>
    <w:p>
      <w:pPr>
        <w:pStyle w:val="MainText"/>
        <w:spacing w:before="120" w:after="0"/>
        <w:rPr>
          <w:lang w:val="el" w:eastAsia="el"/>
        </w:rPr>
      </w:pPr>
      <w:r>
        <w:rPr>
          <w:b/>
          <w:bCs/>
          <w:lang w:val="el" w:eastAsia="el"/>
        </w:rPr>
        <w:t>12.</w:t>
      </w:r>
      <w:r>
        <w:rPr>
          <w:lang w:val="el" w:eastAsia="el"/>
        </w:rPr>
        <w:t xml:space="preserve"> Οι διατάξεις του άρθρου αυτού ισχύουν για κτήσεις περιουσίας αιτία δωρεάς ή γονικής παροχής στις οποίες η φορολογική υποχρέωση γεννιέται από την 8η Ιανουαρίου 2010.</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Τροποποιήσεις στον Εθνικό Τελωνειακό Κώδικα</w:t>
      </w:r>
    </w:p>
    <w:p>
      <w:pPr>
        <w:pStyle w:val="MainText"/>
        <w:spacing w:before="120" w:after="0"/>
        <w:rPr>
          <w:lang w:val="el" w:eastAsia="el"/>
        </w:rPr>
      </w:pPr>
      <w:r>
        <w:rPr>
          <w:b/>
          <w:bCs/>
          <w:lang w:val="el" w:eastAsia="el"/>
        </w:rPr>
        <w:t>1.</w:t>
      </w:r>
      <w:r>
        <w:rPr>
          <w:lang w:val="el" w:eastAsia="el"/>
        </w:rPr>
        <w:t xml:space="preserve"> Οι παράγραφοι 2 και 3 του άρθρου 81 του Εθνικού Τελωνειακού Κώδικα, που κυρώθηκε με το ν. 2960/2001 (ΦΕΚ 265 Α΄), αντικαθίστανται ως εξής:</w:t>
      </w:r>
    </w:p>
    <w:p>
      <w:pPr>
        <w:spacing w:before="240" w:after="240"/>
        <w:rPr>
          <w:lang w:val="el" w:eastAsia="el"/>
        </w:rPr>
      </w:pPr>
      <w:r>
        <w:rPr>
          <w:lang w:val="el" w:eastAsia="el"/>
        </w:rPr>
        <w:t>«2 . Ο συντελεστής του ειδικού φόρου κατανάλωσης αιθυλικής αλκοόλης καθορίζεται σε χίλια πεντακόσια εβδομήντα (1.570) ευρώ, ανά εκατόλιτρο άνυδρης αιθυλικής αλκοόλης.</w:t>
      </w:r>
    </w:p>
    <w:p>
      <w:pPr>
        <w:spacing w:before="240" w:after="240"/>
        <w:rPr>
          <w:lang w:val="el" w:eastAsia="el"/>
        </w:rPr>
      </w:pPr>
      <w:r>
        <w:rPr>
          <w:lang w:val="el" w:eastAsia="el"/>
        </w:rPr>
        <w:t>3. 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επτακόσια ογδόντα πέντε (785) ευρώ, ανά εκατόλιτρο άνυδρης αιθυλικής αλκοόλης.</w:t>
      </w:r>
    </w:p>
    <w:p>
      <w:pPr>
        <w:spacing w:before="240" w:after="240"/>
        <w:rPr>
          <w:lang w:val="el" w:eastAsia="el"/>
        </w:rPr>
      </w:pPr>
      <w:r>
        <w:rPr>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2.</w:t>
      </w:r>
      <w:r>
        <w:rPr>
          <w:lang w:val="el" w:eastAsia="el"/>
        </w:rPr>
        <w:t xml:space="preserve"> Οι παράγραφοι 2 και 3 του άρθρου 87 του Εθνικού Τελωνειακού Κώδικα αντικαθίστανται ως εξής:</w:t>
      </w:r>
    </w:p>
    <w:p>
      <w:pPr>
        <w:spacing w:before="240" w:after="240"/>
        <w:rPr>
          <w:lang w:val="el" w:eastAsia="el"/>
        </w:rPr>
      </w:pPr>
      <w:r>
        <w:rPr>
          <w:lang w:val="el" w:eastAsia="el"/>
        </w:rPr>
        <w:t>«2. Ο φόρος αυτός ορίζεται σε ένα ευρώ και εξήντα τρία λεπτά (1,63) ανά βαθμό PLATO κατά όγκο και εκα- τόλιτρο μπύρας.</w:t>
      </w:r>
    </w:p>
    <w:p>
      <w:pPr>
        <w:spacing w:before="240" w:after="240"/>
        <w:rPr>
          <w:lang w:val="el" w:eastAsia="el"/>
        </w:rPr>
      </w:pPr>
      <w:r>
        <w:rPr>
          <w:lang w:val="el" w:eastAsia="el"/>
        </w:rPr>
        <w:t>3. Εφαρμόζεται μειωμένος κατά πενήντα τοις εκατό (50%) ο συντελεστής ειδικού φόρου κατανάλωσης μπύ- 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spacing w:before="240" w:after="240"/>
        <w:rPr>
          <w:lang w:val="el" w:eastAsia="el"/>
        </w:rPr>
      </w:pPr>
      <w:r>
        <w:rPr>
          <w:lang w:val="el" w:eastAsia="el"/>
        </w:rPr>
        <w:t>- είναι νομικώς και οικονομικώς ανεξάρτητο από οποιοδήποτε άλλο,</w:t>
      </w:r>
    </w:p>
    <w:p>
      <w:pPr>
        <w:spacing w:before="240" w:after="240"/>
        <w:rPr>
          <w:lang w:val="el" w:eastAsia="el"/>
        </w:rPr>
      </w:pPr>
      <w:r>
        <w:rPr>
          <w:lang w:val="el" w:eastAsia="el"/>
        </w:rPr>
        <w:t>- χρησιμοποιεί δικές του εγκαταστάσεις και</w:t>
      </w:r>
    </w:p>
    <w:p>
      <w:pPr>
        <w:spacing w:before="240" w:after="240"/>
        <w:rPr>
          <w:lang w:val="el" w:eastAsia="el"/>
        </w:rPr>
      </w:pPr>
      <w:r>
        <w:rPr>
          <w:lang w:val="el" w:eastAsia="el"/>
        </w:rPr>
        <w:t>- δεν λειτουργεί βάσει άδειας εκμεταλλεύσεως άλλου επιτηδευματία.</w:t>
      </w:r>
    </w:p>
    <w:p>
      <w:pPr>
        <w:spacing w:before="240" w:after="240"/>
        <w:rPr>
          <w:lang w:val="el" w:eastAsia="el"/>
        </w:rPr>
      </w:pPr>
      <w:r>
        <w:rPr>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lang w:val="el" w:eastAsia="el"/>
        </w:rPr>
        <w:t>Ο μειωμένος αυτός συντελεστής καθορίζεται σε ογδόντα δύο λεπτά (0,82) ευρώ ανά βαθμό PLATO κατά όγκο και εκατόλιτρο μπύρας.</w:t>
      </w:r>
    </w:p>
    <w:p>
      <w:pPr>
        <w:spacing w:before="240" w:after="240"/>
        <w:rPr>
          <w:lang w:val="el" w:eastAsia="el"/>
        </w:rPr>
      </w:pPr>
      <w:r>
        <w:rPr>
          <w:lang w:val="el" w:eastAsia="el"/>
        </w:rPr>
        <w:t>Οι λεπτομέρειες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Το άρθρο 89 του Εθνικού Τελωνειακού Κώδικα αντικαθίσταται ως εξής:</w:t>
      </w:r>
    </w:p>
    <w:p>
      <w:pPr>
        <w:spacing w:before="240" w:after="240"/>
        <w:rPr>
          <w:lang w:val="el" w:eastAsia="el"/>
        </w:rPr>
      </w:pPr>
      <w:r>
        <w:rPr>
          <w:lang w:val="el" w:eastAsia="el"/>
        </w:rPr>
        <w:t>« Άρθρο 89</w:t>
      </w:r>
    </w:p>
    <w:p>
      <w:pPr>
        <w:spacing w:before="240" w:after="240"/>
        <w:rPr>
          <w:lang w:val="el" w:eastAsia="el"/>
        </w:rPr>
      </w:pPr>
      <w:r>
        <w:rPr>
          <w:lang w:val="el" w:eastAsia="el"/>
        </w:rPr>
        <w:t>Συντελεστές Ειδικού Φόρου Κατανάλωσης</w:t>
      </w:r>
    </w:p>
    <w:p>
      <w:pPr>
        <w:spacing w:before="240" w:after="240"/>
        <w:rPr>
          <w:lang w:val="el" w:eastAsia="el"/>
        </w:rPr>
      </w:pPr>
      <w:r>
        <w:rPr>
          <w:lang w:val="el" w:eastAsia="el"/>
        </w:rPr>
        <w:t>Ο συντελεστής του ειδικού φόρου κατανάλωσης που επιβάλλεται στα προϊόντα του προηγούμενου άρθρου ορίζεται σε εξήντα πέντε (65) ευρώ ανά εκατόλιτρο τελικού προϊόντος, με εξαίρεση τα προϊόντα που ορίζονται στις παραγράφους 6 και 7 του σημείου Β του παραρτήματος ΙΙΙ του Κανονισμού (ΕΚ) του Συμβουλίου 606/2009 (EEL 193/24.7.2009) για τα οποία ο συντελεστής ορίζεται σε τριάντα δύο ευρώ και πενήντα λεπτά (32,50) ανά εκατόλιτρο τελικού προϊόντος.»</w:t>
      </w:r>
    </w:p>
    <w:p>
      <w:pPr>
        <w:pStyle w:val="MainText"/>
        <w:spacing w:before="120" w:after="0"/>
        <w:rPr>
          <w:lang w:val="el" w:eastAsia="el"/>
        </w:rPr>
      </w:pPr>
      <w:r>
        <w:rPr>
          <w:b/>
          <w:bCs/>
          <w:lang w:val="el" w:eastAsia="el"/>
        </w:rPr>
        <w:t>4.</w:t>
      </w:r>
      <w:r>
        <w:rPr>
          <w:lang w:val="el" w:eastAsia="el"/>
        </w:rPr>
        <w:t xml:space="preserve"> Οι παράγραφοι 1 και 2 του άρθρου 97 του Εθνικού Τελωνειακού Κώδικα αντικαθίστανται ως εξής:</w:t>
      </w:r>
    </w:p>
    <w:p>
      <w:pPr>
        <w:spacing w:before="240" w:after="240"/>
        <w:rPr>
          <w:lang w:val="el" w:eastAsia="el"/>
        </w:rPr>
      </w:pPr>
      <w:r>
        <w:rPr>
          <w:lang w:val="el" w:eastAsia="el"/>
        </w:rPr>
        <w:t>«1. Στα τσιγάρα και στα προϊόντα που εξομοιώνονται με αυτά, ως βάση υπολογισμού του φόρου λαμβάνεται, σύμφωνα με τα στοιχεία φορολογίας που είναι γνωστά κατά την 1η Ιανουαρίου κάθε έτους, η πλέον ζητούμενη τιμή λιανικής πώλησης αυτών, ανεξάρτητα από το σήμα και την προέλευσή τους. Στην τιμή αυτή ο συντελεστής του ειδικού φόρου κατανάλωσης ορίζεται σε ποσοστό 63%, με ελάχιστο φόρο είσπραξης, τα 75,60 ευρώ ανά 1.000 τσιγάρα.</w:t>
      </w:r>
    </w:p>
    <w:p>
      <w:pPr>
        <w:spacing w:before="240" w:after="240"/>
        <w:rPr>
          <w:lang w:val="el" w:eastAsia="el"/>
        </w:rPr>
      </w:pPr>
      <w:r>
        <w:rPr>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της 1ης και 16ης Ιανουαρίου κάθε έτους.</w:t>
      </w:r>
    </w:p>
    <w:p>
      <w:pPr>
        <w:spacing w:before="240" w:after="240"/>
        <w:rPr>
          <w:lang w:val="el" w:eastAsia="el"/>
        </w:rPr>
      </w:pPr>
      <w:r>
        <w:rPr>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lang w:val="el" w:eastAsia="el"/>
        </w:rPr>
        <w:t>Ο ειδικός φόρος κατανάλωσης διαρθρώνεται:</w:t>
      </w:r>
    </w:p>
    <w:p>
      <w:pPr>
        <w:spacing w:before="240" w:after="240"/>
        <w:rPr>
          <w:lang w:val="el" w:eastAsia="el"/>
        </w:rPr>
      </w:pPr>
      <w:r>
        <w:rPr>
          <w:lang w:val="el" w:eastAsia="el"/>
        </w:rPr>
        <w:t>α) σε έναν πάγιο φόρο, ο οποίος επιβάλλεται ανά μονάδα προϊόντος, το ποσό του οποίου είναι ίσο προς 7,5% της συνολικής φορολογικής επιβάρυνσης, η οποία προκύπτει από το άθροισμα του ειδικού φόρου κατανάλωσης καπνού και του φόρου προστιθέμενης αξίας,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 και</w:t>
      </w:r>
    </w:p>
    <w:p>
      <w:pPr>
        <w:spacing w:before="240" w:after="240"/>
        <w:rPr>
          <w:lang w:val="el" w:eastAsia="el"/>
        </w:rPr>
      </w:pPr>
      <w:r>
        <w:rPr>
          <w:lang w:val="el" w:eastAsia="el"/>
        </w:rPr>
        <w:t>β) σε έναν αναλογικό φόρο ο συντελεστής του οποίου είναι 57,07725% και προκύπτει από το κλάσμα που έχει ως αριθμητή το γινόμενο του συντελεστή του ειδικού φόρου κατανάλωσης επί την πλέον ζητούμενη τιμή μείον τον πάγιο φόρο και παρονομαστή την πλέον ζητούμενη τιμή.</w:t>
      </w:r>
    </w:p>
    <w:p>
      <w:pPr>
        <w:spacing w:before="240" w:after="240"/>
        <w:rPr>
          <w:lang w:val="el" w:eastAsia="el"/>
        </w:rPr>
      </w:pPr>
      <w:r>
        <w:rPr>
          <w:lang w:val="el" w:eastAsia="el"/>
        </w:rPr>
        <w:t>Ο αναλογικός συντελεστής 57,07725%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Στα τσιγάρα που πωλούνται σε τιμή μικρότερη από την τιμή λιανικής πώλησης των τσιγάρων της πλέον ζητούμενης κατηγορίας τιμών, το συνολικό ποσό του ειδικού φόρου κατανάλωσης, που υπολογίζεται σύμφωνα με τις ανωτέρω περιπτώσεις α) και β) δεν μπορεί να είναι κατώτερο του εβδομήντα πέντε τοις εκατό (75%) του συνολικού ειδικού φόρου κατανάλωσης που επιβάλλεται στα τσιγάρα της πλέον ζητούμενης κατηγορίας τιμών.</w:t>
      </w:r>
    </w:p>
    <w:p>
      <w:pPr>
        <w:spacing w:before="240" w:after="240"/>
        <w:rPr>
          <w:lang w:val="el" w:eastAsia="el"/>
        </w:rPr>
      </w:pPr>
      <w:r>
        <w:rPr>
          <w:lang w:val="el" w:eastAsia="el"/>
        </w:rPr>
        <w:t>2. Στα λοιπά βιομηχανοποιημένα καπνά ο συντελεστής του ειδικού φόρου κατανάλωσης ορίζεται ως εξής:</w:t>
      </w:r>
    </w:p>
    <w:p>
      <w:pPr>
        <w:spacing w:before="240" w:after="240"/>
        <w:rPr>
          <w:lang w:val="el" w:eastAsia="el"/>
        </w:rPr>
      </w:pPr>
      <w:r>
        <w:rPr>
          <w:lang w:val="el" w:eastAsia="el"/>
        </w:rPr>
        <w:t>α) Στα πούρα ή σιγαρίλλος σε ποσοστό 30% επί της κατά χιλιόγραμμο τιμής λιανικής πώλησής τους.</w:t>
      </w:r>
    </w:p>
    <w:p>
      <w:pPr>
        <w:spacing w:before="240" w:after="240"/>
        <w:rPr>
          <w:lang w:val="el" w:eastAsia="el"/>
        </w:rPr>
      </w:pPr>
      <w:r>
        <w:rPr>
          <w:lang w:val="el" w:eastAsia="el"/>
        </w:rPr>
        <w:t>β) Στο λεπτοκομμένο καπνό, ο οποίος προορίζεται για την κατασκευή χειροποίητων τσιγάρων και στα άλλα καπνά για κάπνισμα, σε ποσοστό 65% επί της κατά χιλιόγραμμο τιμής λιανικής πώλησής τους.»</w:t>
      </w:r>
    </w:p>
    <w:p>
      <w:pPr>
        <w:pStyle w:val="MainText"/>
        <w:spacing w:before="120" w:after="0"/>
        <w:rPr>
          <w:lang w:val="el" w:eastAsia="el"/>
        </w:rPr>
      </w:pPr>
      <w:r>
        <w:rPr>
          <w:b/>
          <w:bCs/>
          <w:lang w:val="el" w:eastAsia="el"/>
        </w:rPr>
        <w:t>5.</w:t>
      </w:r>
      <w:r>
        <w:rPr>
          <w:lang w:val="el" w:eastAsia="el"/>
        </w:rPr>
        <w:t xml:space="preserve"> Η ισχύς των διατάξεων των παραγράφων 1 έως και 3 του άρθρου αυτού αρχίζει από 8.1.2010. Η ισχύς των διατάξεων της παραγράφου 4 αρχίζει από 18.1.2010 (ημερομηνία συζητήσεως του σχεδίου νόμου στην αρμόδια Επιτροπή της Βουλής).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3Έναρξη ισχύος</w:t>
      </w:r>
    </w:p>
    <w:p>
      <w:pPr>
        <w:spacing w:before="240" w:after="240"/>
        <w:rPr>
          <w:lang w:val="el" w:eastAsia="el"/>
        </w:rPr>
      </w:pPr>
      <w:r>
        <w:rPr>
          <w:lang w:val="el" w:eastAsia="el"/>
        </w:rPr>
        <w:t>Η ισχύς των διατάξεων του νόμου αυτού αρχίζει από την ημερομηνία δημοσιεύσεως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Ιανουαρίου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ΥΠΟΥΡΓΟΣ ΟΙΚΟΝΟΜΙΚΩΝ</w:t>
      </w:r>
    </w:p>
    <w:p>
      <w:pPr>
        <w:spacing w:before="240" w:after="240"/>
        <w:rPr>
          <w:lang w:val="el" w:eastAsia="el"/>
        </w:rPr>
      </w:pPr>
      <w:r>
        <w:rPr>
          <w:b/>
          <w:bCs/>
          <w:lang w:val="el" w:eastAsia="el"/>
        </w:rPr>
        <w:t>Γ. ΠΑΠΑΚΩΝΣΤΑΝΤΙΝΟΥ</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26 Ιανουαρίου 2010</w:t>
      </w:r>
    </w:p>
    <w:p>
      <w:pPr>
        <w:spacing w:before="240" w:after="240"/>
        <w:rPr>
          <w:lang w:val="el" w:eastAsia="el"/>
        </w:rPr>
      </w:pPr>
      <w:r>
        <w:rPr>
          <w:lang w:val="el" w:eastAsia="el"/>
        </w:rPr>
        <w:t>Ο ΕΠΙ ΤΗΣ ΔΙΚΑΙΟΣΥΝΗΣ, ΔΙΑΦΑΝΕΙΑΣΚΑΙ ΑΝΘΡΩΠΙΝΩΝ ΔΙΚΑΙΩΜΑΤΩΝ ΥΠΟΥΡΓΟΣ</w:t>
      </w:r>
    </w:p>
    <w:p>
      <w:pPr>
        <w:spacing w:before="240" w:after="240"/>
        <w:rPr>
          <w:lang w:val="el" w:eastAsia="el"/>
        </w:rPr>
      </w:pPr>
      <w:r>
        <w:rPr>
          <w:b/>
          <w:bCs/>
          <w:lang w:val="el" w:eastAsia="el"/>
        </w:rPr>
        <w:t>Χ. ΚΑΣΤΑΝΙΔΗΣ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4"/>
        <w:gridCol w:w="1865"/>
        <w:gridCol w:w="2291"/>
        <w:gridCol w:w="20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 xml:space="preserve">Το τεύχος Α.Σ.Ε.Π. (έντυπη μορφή) θα αποστέλλεται σε συνδρομητές ταχυδρομικά, με την επιβάρυνση των 70 €, ποσό το οποίο αφορά τα ταχυδρομικά έξοδα. 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Το ποσό υπέρ Τ.Α.Π.Ε.Τ. [5% επί του ποσού συνδρομής (τρέχον έτος + παλαιότητα)], καταβάλλεται ολόκληρο (Κ.Α.Ε. 3512) και υπολογίζεται πριν την έκπτωση.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u w:val="single"/>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