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399</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31</w:t>
      </w:r>
    </w:p>
    <w:p>
      <w:pPr>
        <w:pStyle w:val="PreambelText"/>
        <w:spacing w:before="240" w:after="240"/>
        <w:rPr>
          <w:lang w:val="el" w:eastAsia="el"/>
        </w:rPr>
      </w:pPr>
      <w:r>
        <w:rPr>
          <w:lang w:val="el" w:eastAsia="el"/>
        </w:rPr>
        <w:t>25 Φεβρουαρίου 2010</w:t>
      </w:r>
    </w:p>
    <w:p>
      <w:pPr>
        <w:pStyle w:val="enacting"/>
        <w:spacing w:before="120" w:after="0"/>
        <w:rPr>
          <w:lang w:val="el" w:eastAsia="el"/>
        </w:rPr>
      </w:pPr>
      <w:r>
        <w:rPr>
          <w:lang w:val="el" w:eastAsia="el"/>
        </w:rPr>
        <w:t>NOMOΣ ΥΠ’ ΑΡΙΘ. 3828</w:t>
      </w:r>
      <w:r>
        <w:rPr>
          <w:lang w:val="el" w:eastAsia="el"/>
        </w:rPr>
        <w:br/>
      </w:r>
      <w:r>
        <w:rPr>
          <w:i/>
          <w:iCs/>
          <w:lang w:val="el" w:eastAsia="el"/>
        </w:rPr>
        <w:t>Διαρρυθμίσειςστηφορολογίατωνπετρελαιοειδώνπροϊόντων</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Ειδικός φόρος κατανάλωσηςπετρελαιοειδών προϊόντων</w:t>
      </w:r>
    </w:p>
    <w:p>
      <w:pPr>
        <w:pStyle w:val="MainText"/>
        <w:spacing w:before="120" w:after="0"/>
        <w:rPr>
          <w:lang w:val="el" w:eastAsia="el"/>
        </w:rPr>
      </w:pPr>
      <w:r>
        <w:rPr>
          <w:b/>
          <w:bCs/>
          <w:lang w:val="el" w:eastAsia="el"/>
        </w:rPr>
        <w:t>1.</w:t>
      </w:r>
      <w:r>
        <w:rPr>
          <w:lang w:val="el" w:eastAsia="el"/>
        </w:rPr>
        <w:t xml:space="preserve"> Οι περιπτώσεις α) μέχρι και ιβ), καθώς και η περίπτωση κστ) του πίνακα, της παραγράφου 1 του άρθρου 73 του ν. 2960/2001 (ΦΕΚ 265 Α΄), όπως τροποποιήθηκε και ισχύει, αντικαθίστανται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87"/>
        <w:gridCol w:w="2640"/>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ΚΩΔΙΚΟΣ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ΣΥΝΔΥΑΣΜΕΝΗΣ</w:t>
            </w:r>
          </w:p>
          <w:p>
            <w:pPr>
              <w:spacing w:before="240"/>
              <w:rPr>
                <w:b w:val="0"/>
                <w:bCs w:val="0"/>
                <w:i w:val="0"/>
                <w:iCs w:val="0"/>
                <w:smallCaps w:val="0"/>
                <w:color w:val="000000"/>
                <w:lang w:val="el" w:eastAsia="el"/>
              </w:rPr>
            </w:pPr>
            <w:r>
              <w:rPr>
                <w:b w:val="0"/>
                <w:bCs w:val="0"/>
                <w:i w:val="0"/>
                <w:iCs w:val="0"/>
                <w:smallCaps w:val="0"/>
                <w:color w:val="000000"/>
                <w:lang w:val="el" w:eastAsia="el"/>
              </w:rPr>
              <w:t>ΟΝΟΜΑΤΟΛΟΓΙΑΣ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27101151 και 27101159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 με αριθμό οκτανίων μέχρι και 96,5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27101141 και ΕΧ 27101145</w:t>
            </w:r>
          </w:p>
          <w:p>
            <w:pPr>
              <w:spacing w:before="240"/>
              <w:rPr>
                <w:b w:val="0"/>
                <w:bCs w:val="0"/>
                <w:i w:val="0"/>
                <w:iCs w:val="0"/>
                <w:smallCaps w:val="0"/>
                <w:color w:val="000000"/>
                <w:lang w:val="el" w:eastAsia="el"/>
              </w:rPr>
            </w:pPr>
            <w:r>
              <w:rPr>
                <w:b w:val="0"/>
                <w:bCs w:val="0"/>
                <w:i w:val="0"/>
                <w:iCs w:val="0"/>
                <w:smallCaps w:val="0"/>
                <w:color w:val="000000"/>
                <w:lang w:val="el" w:eastAsia="el"/>
              </w:rPr>
              <w:t>ΕΧ2710 1145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11 51 και 2711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27101141, 27101145 και</w:t>
            </w:r>
          </w:p>
          <w:p>
            <w:pPr>
              <w:spacing w:before="240"/>
              <w:rPr>
                <w:b w:val="0"/>
                <w:bCs w:val="0"/>
                <w:i w:val="0"/>
                <w:iCs w:val="0"/>
                <w:smallCaps w:val="0"/>
                <w:color w:val="000000"/>
                <w:lang w:val="el" w:eastAsia="el"/>
              </w:rPr>
            </w:pPr>
            <w:r>
              <w:rPr>
                <w:b w:val="0"/>
                <w:bCs w:val="0"/>
                <w:i w:val="0"/>
                <w:iCs w:val="0"/>
                <w:smallCaps w:val="0"/>
                <w:color w:val="000000"/>
                <w:lang w:val="el" w:eastAsia="el"/>
              </w:rPr>
              <w:t>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27101941 27101945 και</w:t>
            </w:r>
          </w:p>
          <w:p>
            <w:pPr>
              <w:spacing w:before="240"/>
              <w:rPr>
                <w:b w:val="0"/>
                <w:bCs w:val="0"/>
                <w:i w:val="0"/>
                <w:iCs w:val="0"/>
                <w:smallCaps w:val="0"/>
                <w:color w:val="000000"/>
                <w:lang w:val="el" w:eastAsia="el"/>
              </w:rPr>
            </w:pPr>
            <w:r>
              <w:rPr>
                <w:b w:val="0"/>
                <w:bCs w:val="0"/>
                <w:i w:val="0"/>
                <w:iCs w:val="0"/>
                <w:smallCaps w:val="0"/>
                <w:color w:val="000000"/>
                <w:lang w:val="el" w:eastAsia="el"/>
              </w:rPr>
              <w:t>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27101941 27101945 271019</w:t>
            </w:r>
          </w:p>
          <w:p>
            <w:pPr>
              <w:spacing w:before="240"/>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27101941 27101945 και</w:t>
            </w:r>
          </w:p>
          <w:p>
            <w:pPr>
              <w:spacing w:before="240"/>
              <w:rPr>
                <w:b w:val="0"/>
                <w:bCs w:val="0"/>
                <w:i w:val="0"/>
                <w:iCs w:val="0"/>
                <w:smallCaps w:val="0"/>
                <w:color w:val="000000"/>
                <w:lang w:val="el" w:eastAsia="el"/>
              </w:rPr>
            </w:pPr>
            <w:r>
              <w:rPr>
                <w:b w:val="0"/>
                <w:bCs w:val="0"/>
                <w:i w:val="0"/>
                <w:iCs w:val="0"/>
                <w:smallCaps w:val="0"/>
                <w:color w:val="000000"/>
                <w:lang w:val="el" w:eastAsia="el"/>
              </w:rPr>
              <w:t>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 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27101961 27101963</w:t>
            </w:r>
          </w:p>
          <w:p>
            <w:pPr>
              <w:spacing w:before="240"/>
              <w:rPr>
                <w:b w:val="0"/>
                <w:bCs w:val="0"/>
                <w:i w:val="0"/>
                <w:iCs w:val="0"/>
                <w:smallCaps w:val="0"/>
                <w:color w:val="000000"/>
                <w:lang w:val="el" w:eastAsia="el"/>
              </w:rPr>
            </w:pPr>
            <w:r>
              <w:rPr>
                <w:b w:val="0"/>
                <w:bCs w:val="0"/>
                <w:i w:val="0"/>
                <w:iCs w:val="0"/>
                <w:smallCaps w:val="0"/>
                <w:color w:val="000000"/>
                <w:lang w:val="el" w:eastAsia="el"/>
              </w:rPr>
              <w:t>27101965 271019 69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nou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ουτές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Ι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lang w:val="el" w:eastAsia="el"/>
        </w:rPr>
        <w:t xml:space="preserve"> Η περίπτωση δ) του πίνακα της παραγράφου 2 του άρθρου 78 του ν. 2960/2001, όπως τροποποιήθηκε και ισχύει, αντικαθίσταται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66"/>
        <w:gridCol w:w="1508"/>
        <w:gridCol w:w="1196"/>
        <w:gridCol w:w="16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αποκλειστικά για την ποραγωγή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Επιβολή εφάπαξ φόρου επί των αποθεμάτωνπετρελαίου θέρμανσης</w:t>
      </w:r>
    </w:p>
    <w:p>
      <w:pPr>
        <w:pStyle w:val="MainText"/>
        <w:spacing w:before="120" w:after="0"/>
        <w:rPr>
          <w:lang w:val="el" w:eastAsia="el"/>
        </w:rPr>
      </w:pPr>
      <w:r>
        <w:rPr>
          <w:b/>
          <w:bCs/>
          <w:lang w:val="el" w:eastAsia="el"/>
        </w:rPr>
        <w:t>1.</w:t>
      </w:r>
      <w:r>
        <w:rPr>
          <w:lang w:val="el" w:eastAsia="el"/>
        </w:rPr>
        <w:t xml:space="preserve"> Στα αποθέματα πετρελαίου εσωτερικής καύσης (DIESEL) - θέρμανσης που έχει στην κυριότητά του, την 8.2.2010 κάθε επιτηδευματίας, που έχει λάβει αριθμό μητρώου Διακινητών Πετρελαίου Θέρμανσης (ΔΙ.ΠΕ.ΘΕ.), τα οποία έχουν τεθεί σε ανάλωση και έχει πραγματοποιηθεί η φυσική τους έξοδος από τις φορολογικές αποθήκες, αλλά δεν έχουν διατεθεί στην κατανάλωση, επιβάλλεται εφάπαξ φόρος ισόποσος με τη διαφορά των φορολογικών επιβαρύνσεων που εφαρμόζονται από 9.2.2010 ήτοι του ειδικού φόρου κατανάλωσης και του αναλογούντος φόρου προστιθέμενης αξίας (Φ.Π.Α.), και των ήδη καταβληθέντων κατά την έξοδό τους από τη φορολογική αποθήκη ειδικού φόρου κατανάλωσης και του αναλογούντος Φ.Π.Α.</w:t>
      </w:r>
    </w:p>
    <w:p>
      <w:pPr>
        <w:pStyle w:val="MainText"/>
        <w:spacing w:before="120" w:after="0"/>
        <w:rPr>
          <w:lang w:val="el" w:eastAsia="el"/>
        </w:rPr>
      </w:pPr>
      <w:r>
        <w:rPr>
          <w:b/>
          <w:bCs/>
          <w:lang w:val="el" w:eastAsia="el"/>
        </w:rPr>
        <w:t>2.</w:t>
      </w:r>
      <w:r>
        <w:rPr>
          <w:lang w:val="el" w:eastAsia="el"/>
        </w:rPr>
        <w:t xml:space="preserve"> Ο εφάπαξ φόρος επιβάλλεται στα αποθέματα της προηγούμενης παραγράφου που έχει στην κυριότητά του ο επιτηδευματίας ΔΙ.ΠΕ.ΘΕ., την 8.2.2010 σε εγκαταστάσεις του ή σε εγκαταστάσεις τρίτων, ανεξάρτητα από το χρόνο λήξης της διαχειριστικής του περιόδου ή την κατηγορία των βιβλίων που τηρεί ή την απαλλαγή από την τήρηση βιβλίων.</w:t>
      </w:r>
    </w:p>
    <w:p>
      <w:pPr>
        <w:pStyle w:val="MainText"/>
        <w:spacing w:before="120" w:after="0"/>
        <w:rPr>
          <w:lang w:val="el" w:eastAsia="el"/>
        </w:rPr>
      </w:pPr>
      <w:r>
        <w:rPr>
          <w:b/>
          <w:bCs/>
          <w:lang w:val="el" w:eastAsia="el"/>
        </w:rPr>
        <w:t>3.</w:t>
      </w:r>
      <w:r>
        <w:rPr>
          <w:lang w:val="el" w:eastAsia="el"/>
        </w:rPr>
        <w:t xml:space="preserve"> Σε περίπτωση που ο επιτηδευματίας ΔΙ.ΠΕ.ΘΕ. πραγματοποιεί πωλήσεις σε δικαιούχους χρήσης πετρελαίου θέρμανσης και δικαιούται επιστροφής, τότε ο οφειλόμενος εφάπαξ φόρος συμψηφίζεται με τα προς επιστροφή ποσά των φορολογικών επιβαρύνσεων, λόγω της εξομοίωσης του ειδικού φόρου κατανάλωσης του πετρελαίου εσωτερικής καύσης (DIESEL)-θέρμανσης με το πετρέλαιο κίνησης, σύμφωνα με τις διατάξεις του άρθρου 22 του ν. 3634/2008 (ΦΕΚ 9 Α΄).</w:t>
      </w:r>
    </w:p>
    <w:p>
      <w:pPr>
        <w:pStyle w:val="MainText"/>
        <w:spacing w:before="120" w:after="0"/>
        <w:rPr>
          <w:lang w:val="el" w:eastAsia="el"/>
        </w:rPr>
      </w:pPr>
      <w:r>
        <w:rPr>
          <w:b/>
          <w:bCs/>
          <w:lang w:val="el" w:eastAsia="el"/>
        </w:rPr>
        <w:t>4.</w:t>
      </w:r>
      <w:r>
        <w:rPr>
          <w:lang w:val="el" w:eastAsia="el"/>
        </w:rPr>
        <w:t xml:space="preserve"> Σε περίπτωση που ο επιτηδευματίας ΔΙ.ΠΕ.ΘΕ. δεν πραγματοποιεί πωλήσεις σε δικαιούχους χρήσης πετρελαίου θέρμανσης και δεν δικαιούται επιστροφής σύμφω να με τις διατάξεις του άρθρου 22 του ν. 3634/2008 τότε ο οφειλόμενος εφάπαξ φόρος καταβάλλεται εφάπαξ με την υποβολή από τον υπόχρεο δήλωσης εις διπλούν στην αρμόδια για τη φορολογία εισοδήματός του Δημόσια Οικονομική Υπηρεσία (Δ.Ο.Υ.), το αργότερο μέχρι και τις 15.3.2010. Το ένα αντίτυπο της δήλωσης με ημερομηνία παραλαβής και θεωρημένο από τον προϊστάμενο της Δ.Ο.Υ. επιστρέφεται στον υπόχρεο.</w:t>
      </w:r>
    </w:p>
    <w:p>
      <w:pPr>
        <w:spacing w:before="240" w:after="240"/>
        <w:rPr>
          <w:lang w:val="el" w:eastAsia="el"/>
        </w:rPr>
      </w:pPr>
      <w:r>
        <w:rPr>
          <w:lang w:val="el" w:eastAsia="el"/>
        </w:rPr>
        <w:t>Δήλωση που υποβάλλεται χωρίς την ταυτόχρονη καταβολή του οφειλόμενου εφάπαξ φόρου θεωρείται απαράδεκτη και δεν παράγει κανένα έννομο αποτέλεσμα.</w:t>
      </w:r>
    </w:p>
    <w:p>
      <w:pPr>
        <w:spacing w:before="240" w:after="240"/>
        <w:rPr>
          <w:lang w:val="el" w:eastAsia="el"/>
        </w:rPr>
      </w:pPr>
      <w:r>
        <w:rPr>
          <w:lang w:val="el" w:eastAsia="el"/>
        </w:rPr>
        <w:t>Σε περίπτωση μη υποβολής δήλωσης ή ανακριβούς δήλωσης ή εκπρόθεσμης δήλωσης εφαρμόζονται οι κυρώσεις οι οποίες προβλέπονται από τις διατάξεις του ν. 2523/1997 (ΦΕΚ 179 Α΄), καθώς και οι κυρώσεις των περί λαθρεμπορίας διατάξεων του ν. 2960/2001 εφόσον συντρέχει περίπτωση.</w:t>
      </w:r>
    </w:p>
    <w:p>
      <w:pPr>
        <w:spacing w:before="240" w:after="240"/>
        <w:rPr>
          <w:lang w:val="el" w:eastAsia="el"/>
        </w:rPr>
      </w:pPr>
      <w:r>
        <w:rPr>
          <w:lang w:val="el" w:eastAsia="el"/>
        </w:rPr>
        <w:t>Για τη διαδικασία βεβαίωσης εφαρμόζονται ανάλογα οι εκάστοτε ισχύουσες διατάξεις του ν. 2238/1994 (ΦΕΚ 151 Α΄).</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καθορίζεται ο τρόπος συμψηφισμού του εφάπαξ φόρου επί των αποθεμάτων με τα προς επιστροφή ποσά, σύμφωνα με τις διατάξεις του άρθρου 22 του ν. 3634/2008, ο τύπος και το περιεχόμενο της δήλωσης του εφάπαξ φόρου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6.</w:t>
      </w:r>
      <w:r>
        <w:rPr>
          <w:lang w:val="el" w:eastAsia="el"/>
        </w:rPr>
        <w:t xml:space="preserve"> Κάθε άλλη διάταξη, η οποία αντίκειται στις διατάξεις του παρόντος άρθρου, δεν εφαρμόζεται στις περιπτώσεις οι οποίες ρυθμίζονται με τις διατάξεις του άρθρου αυτού.</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του νόμου αυτού αρχίζει από 9.2.2010.</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Φεβρουαρίου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ΥΠΟΥΡΓΟΣ ΟΙΚΟΝΟΜΙΚΩΝ</w:t>
      </w:r>
    </w:p>
    <w:p>
      <w:pPr>
        <w:spacing w:before="240" w:after="240"/>
        <w:rPr>
          <w:lang w:val="el" w:eastAsia="el"/>
        </w:rPr>
      </w:pPr>
      <w:r>
        <w:rPr>
          <w:b/>
          <w:bCs/>
          <w:lang w:val="el" w:eastAsia="el"/>
        </w:rPr>
        <w:t>ΓΕΩΡΓΙΟΣ ΠΑΠΑΚΩΝΣΤΑΝΤΙΝΟΥ</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25 Φεβρουαρίου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lang w:val="el" w:eastAsia="el"/>
        </w:rPr>
        <w:t xml:space="preserve">Το τεύχος Α.Σ.Ε.Π. (έντυπη μορφή) θα αποστέλλεται σε συνδρομητές ταχυδρομικά, με την επιβάρυνση των 70 €, ποσό το οποίο αφορά τα ταχυδρομικά έξοδα. 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