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3833/2010</w:t>
      </w:r>
    </w:p>
    <w:p>
      <w:pPr>
        <w:pStyle w:val="PreambelText"/>
        <w:spacing w:before="240" w:after="240"/>
        <w:rPr>
          <w:lang w:val="el" w:eastAsia="el"/>
        </w:rPr>
      </w:pPr>
      <w:r>
        <w:rPr>
          <w:lang w:val="el" w:eastAsia="el"/>
        </w:rPr>
        <w:t>ΝΟΜΟΣ ΥΠ’ ΑΡΙΘΜ. 3833</w:t>
      </w:r>
    </w:p>
    <w:p>
      <w:pPr>
        <w:pStyle w:val="PreambelText"/>
        <w:spacing w:before="240" w:after="240"/>
        <w:rPr>
          <w:lang w:val="el" w:eastAsia="el"/>
        </w:rPr>
      </w:pPr>
      <w:r>
        <w:rPr>
          <w:lang w:val="el" w:eastAsia="el"/>
        </w:rPr>
        <w:t>(ΦΕΚ Α' 40/15-03-2010)</w:t>
      </w:r>
    </w:p>
    <w:p>
      <w:pPr>
        <w:pStyle w:val="PreambelText"/>
        <w:spacing w:before="240" w:after="240"/>
        <w:rPr>
          <w:lang w:val="el" w:eastAsia="el"/>
        </w:rPr>
      </w:pPr>
      <w:r>
        <w:rPr>
          <w:lang w:val="el" w:eastAsia="el"/>
        </w:rPr>
        <w:t>Προστασία της εθνικής οικονομίας - Επείγοντα μέτρα για την αντιμετώπιση της δημοσιονομικής κρίσης.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Ειδικός φόρος σε είδη πολυτελείας</w:t>
      </w:r>
    </w:p>
    <w:p>
      <w:pPr>
        <w:pStyle w:val="MainText"/>
        <w:spacing w:before="120" w:after="0"/>
        <w:rPr>
          <w:lang w:val="el" w:eastAsia="el"/>
        </w:rPr>
      </w:pPr>
      <w:r>
        <w:rPr>
          <w:b/>
          <w:bCs/>
          <w:lang w:val="el" w:eastAsia="el"/>
        </w:rPr>
        <w:t>1.</w:t>
      </w:r>
      <w:r>
        <w:rPr>
          <w:lang w:val="el" w:eastAsia="el"/>
        </w:rPr>
        <w:t xml:space="preserve"> Επιβάλλεται φόρος πολυτελείας στα επιβατικά αυτοκίνητα της δασμολογικής κλάσης 8703 της Συνδυασμένης Ονοματολογίας, καθώς και στα αυτοκίνητα τύπου jeep της δασμολογικής κλάσης 8704, το ποσοστό του οποίου ορίζεται για αυτοκίνητα με τιμή χονδρικής πώλησης από τον κατασκευαστή οίκο ως εξής:</w:t>
      </w:r>
    </w:p>
    <w:p>
      <w:pPr>
        <w:pStyle w:val="StructureList1"/>
        <w:spacing w:before="120" w:after="0"/>
        <w:rPr>
          <w:lang w:val="el" w:eastAsia="el"/>
        </w:rPr>
      </w:pPr>
      <w:r>
        <w:rPr>
          <w:lang w:val="el" w:eastAsia="el"/>
        </w:rPr>
        <w:t>α)</w:t>
      </w:r>
      <w:r>
        <w:rPr>
          <w:lang w:val="en" w:eastAsia="en"/>
        </w:rPr>
        <w:tab/>
      </w:r>
      <w:r>
        <w:rPr>
          <w:lang w:val="el" w:eastAsia="el"/>
        </w:rPr>
        <w:t>από 20.000 ευρώ μέχρι και 22.000 ευρώ, σε ποσοστό 10%,</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άνω των 22.000 ευρώ και μέχρι 28.000 ευρώ, ποσοστό 30%,</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γ)</w:t>
      </w:r>
      <w:r>
        <w:rPr>
          <w:lang w:val="en" w:eastAsia="en"/>
        </w:rPr>
        <w:tab/>
      </w:r>
      <w:r>
        <w:rPr>
          <w:lang w:val="el" w:eastAsia="el"/>
        </w:rPr>
        <w:t>άνω των 30.000 ευρώ, ποσοστό 30%.</w:t>
      </w:r>
    </w:p>
    <w:p>
      <w:pPr>
        <w:spacing w:before="240" w:after="240"/>
        <w:rPr>
          <w:lang w:val="el" w:eastAsia="el"/>
        </w:rPr>
      </w:pPr>
      <w:r>
        <w:rPr>
          <w:lang w:val="el" w:eastAsia="el"/>
        </w:rPr>
        <w:t>Ο ανωτέρω φόρος επιβάλλεται επί της φορολογητέας αξίας του άρθρου 126 του Ν. 2960/2001 (ΦΕΚ 265 Α΄).</w:t>
      </w:r>
    </w:p>
    <w:p>
      <w:pPr>
        <w:pStyle w:val="MainText"/>
        <w:spacing w:before="120" w:after="0"/>
        <w:rPr>
          <w:lang w:val="el" w:eastAsia="el"/>
        </w:rPr>
      </w:pPr>
      <w:r>
        <w:rPr>
          <w:b/>
          <w:bCs/>
          <w:lang w:val="el" w:eastAsia="el"/>
        </w:rPr>
        <w:t>2.</w:t>
      </w:r>
      <w:r>
        <w:rPr>
          <w:lang w:val="el" w:eastAsia="el"/>
        </w:rPr>
        <w:t xml:space="preserve"> Προκειμένου για μεταχειρισμένα όμοια αυτοκίνητα, το ποσοστό του φόρου καθορίζεται, σύμφωνα με την κλίμακα της παραγράφου 1, ανάλογα με την αξία τους, όπως αυτή προσδιορίζεται με βάση τα προβλεπόμενα στην περίπτωση α΄ της παρ. 1 του άρθρου 126 του ν. 2960/2001.</w:t>
      </w:r>
    </w:p>
    <w:p>
      <w:pPr>
        <w:spacing w:before="240" w:after="240"/>
        <w:rPr>
          <w:lang w:val="el" w:eastAsia="el"/>
        </w:rPr>
      </w:pPr>
      <w:r>
        <w:rPr>
          <w:lang w:val="el" w:eastAsia="el"/>
        </w:rPr>
        <w:t>Ο ανωτέρω φόρος επιβάλλεται επί της φορολογητέας αξίας του άρθρου 126 του ν. 2960/2001.</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Από το φόρο πολυτελείας εξαιρούνται:</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Τα επιβατικά αυτοκίνητα που προορίζονται να κυκλοφορήσουν ως δημόσιας χρήσης, τα αυτοκινούμενα τροχόσπιτα, τα ασθενοφόρα, οι νεκροφόρες, τα οχήματα μεταφοράς κρατουμένων (κλούβες), καθώς και τα αυτοκίνητα οχήματα με μικτό βάρος μέχρι 3,5 τόνους της Δασμολογικής Κλάσης 87.03 της πρώτης και δεύτερης υποπερίπτωσης της περίπτωσης ε) της παραγράφου 1 του άρθρου 123 του ν. 2960/2001.</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Τα επιβατικά αυτοκίνητα που παραλαμβάνονται από παραπληγικούς αναπήρους και αναπήρους με αμφοτερόπλευρο ακρωτηριασμό κάτω άκρων, στις περιπτώσεις όπου από τις κείμενες διατάξεις προβλέπεται πλήρης απαλλαγή από το τέλος ταξινόμησης για επιβατικά αυτοκίνητα κυλινδρισμού κινητήρα άνω των 1.650 κυβικών εκατοστών.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τα αυτοκίνητα του προηγούμενου εδαφίου που παραλαμβάνονται με απαλλαγή από το φόρο πολυτελείας και αποδεσμεύονται από το καθεστώς απαλλαγής του τέλους ταξινόμησης πριν από την παρέλευση του κατά περίπτωση ισχύοντος ως προς το τέλος ταξινόμησης περιοριστικού διαστήματος, εισπράττεται ο φόρος πολυτελείας που αναλογεί. Ο φόρος πολυτελείας επιβάλλεται επί της φορολογητέας αξίας του άρθρου 126 του ν. 2960/2001 (ΦΕΚ 265 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Τα είδη των περιπτώσεων η), θ), ι) και ια) του πίνακα της παραγράφου 4 του άρθρου αυτού, των οποίων η φορολογητέα αξία επιβολής του φόρου πολυτελείας είναι μικρότερη των χιλίων (1.000) ευρώ ανά τεμάχιο και τα επαγγελματικά σκάφη αναψυχής.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Επιβάλλεται φόρος πολυτελείας επί της φορολογητέας αξίας, όπως αυτή διαμορφώνεται από τα άρθρα 19 και 20 του Ν. 2859/2000 (ΦΕΚ 248 Α΄) για τα ενδοκοινοτικώς αποκτούμενα και τα εισαγόμενα από τρίτες χώρες και επί της τιμής πώλησης προ Φ.Π.Α. για τα εγχωρίως παραγόμενα, στα παρακάτω είδη:</w:t>
      </w:r>
      <w:r>
        <w:rPr>
          <w:rStyle w:val="Hyperlink"/>
          <w:color w:val="000000"/>
          <w:sz w:val="20"/>
          <w:szCs w:val="20"/>
          <w:u w:val="none" w:color="0000EE"/>
          <w:vertAlign w:val="superscript"/>
          <w:lang w:val="el" w:eastAsia="el"/>
        </w:rPr>
        <w:footnoteReference w:id="1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15"/>
        <w:gridCol w:w="2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ΠΟΣΟΣΤΟ ΦΟΡΟΥ</w:t>
            </w:r>
          </w:p>
          <w:p>
            <w:pPr>
              <w:spacing w:before="240"/>
              <w:rPr>
                <w:b w:val="0"/>
                <w:bCs w:val="0"/>
                <w:i w:val="0"/>
                <w:iCs w:val="0"/>
                <w:smallCaps w:val="0"/>
                <w:color w:val="000000"/>
                <w:lang w:val="el" w:eastAsia="el"/>
              </w:rPr>
            </w:pPr>
            <w:r>
              <w:rPr>
                <w:b w:val="0"/>
                <w:bCs w:val="0"/>
                <w:i w:val="0"/>
                <w:iCs w:val="0"/>
                <w:smallCaps w:val="0"/>
                <w:color w:val="000000"/>
                <w:lang w:val="el" w:eastAsia="el"/>
              </w:rPr>
              <w:t>ΠΟΛΥΤΕΛΕΙΑΣ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Δέρματα ερπετών, κροκοδείλων, σαυροειδών και αγρίων ζώων γενικά καθώς και πτηνών, ψαριών και θαλασσίων ζώων γενικά, κατεργασμένα ή μη. Κωδικός Σ.Ο. 41.06.40, 41.13.30, ΕΧ41.14.10.90, 4103.20, ΕΧ 4103.90, ΕΧ 4106.91, ΕΧ 4106.92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Τεχνουργήματα από δέρμα. Κωδικός Σ.Ο. 42.02.21.00, 42.02.31.00, 42.03.30.30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Υποδήματα από δέρμα. Δ.Κ. ΕΧ 64.03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Ενδύματα, εξαρτήματα της ένδυσης και άλλα είδη από γουνοδέρματα. Δ.Κ. 43.03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Τάπητες από οποιαδήποτε ύλη που περιέχουν μετάξι ή απορρίμματα από μετάξι σε ποσοστό πάνω από 10% στο συνολικό βάρος. Κωδικός Σ.Ο. 57.01.10.10, 57.01.90.10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Μαργαριτάρια ακατέργαστα ή κατεργασμένα, πολύτιμες ή ημιπολύτιμες πέτρες, πέτρες συνθετικές ή ανασχηματισμένες, κατεργασμένες ή ακατέργαστες.  Εξαιρούνται εκείνες που προορίζονται για βιομηχανική χρήση. Διαμάντια έστω και κατεργασμένα  Δ.Κ. 71.01, ΕΧ 71.02 και ΕΧ 71.03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Σκόνη διαμαντιού και σκόνη από πολύτιμες ή ημιπολύτιμες πέτρες φυσικές ή συνθετικές. Δ.Κ. 71.05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Κοσμήματα με ή χωρίς πολύτιμες πέτρες και μέρη αυτών, από πολύτιμα μέταλλα ή από μέταλλα επιστρωμένα με πολύτιμα μέταλλα. Δ.Κ. 71.13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Είδη χρυσοχοΐας και μέρη αυτών από πολύτιμα μέταλλα ή από μέταλλα επιστρωμένα με πολύτιμα μέταλλα. Δ.Κ. 71.14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Άλλα τεχνουργήματα από πολύτιμα μέταλλα ή από μέταλλα επιστρωμένα με πολύτιμα μέταλλα. Δ.Κ. 71.15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Τεχνουργήματα από μαργαριτάρια, από πολύτιμες ή ημιπολύτιμες πέτρες ή από πέτρες συνθετικές ή ανασχηματισμένες. Δ.Κ. 71.16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Αεροπλάνα, υδροπλάνα και ελικόπτερα ιδιωτικής χρήσης. Δ.Κ. Ε.Χ. 88.02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Πλοία, πλοιάρια και άλλα σκάφη κινούμενα με οποιοδήποτε τρόπο, που προορίζονται για αναψυχή. Δ.Κ. Ε.Χ. 89.03.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Ρολόγια από πολύτιμα μέταλλα ή από μέταλλα επιστρωμένα με πολύτιμα μέταλλα Δ.Κ. 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Κάσες (κελύφη) για ρολόγια από πολύτιμα μέταλλα ή από μέταλλα</w:t>
            </w:r>
          </w:p>
          <w:p>
            <w:pPr>
              <w:spacing w:before="240"/>
              <w:rPr>
                <w:b w:val="0"/>
                <w:bCs w:val="0"/>
                <w:i w:val="0"/>
                <w:iCs w:val="0"/>
                <w:smallCaps w:val="0"/>
                <w:color w:val="000000"/>
                <w:lang w:val="el" w:eastAsia="el"/>
              </w:rPr>
            </w:pPr>
            <w:r>
              <w:rPr>
                <w:b w:val="0"/>
                <w:bCs w:val="0"/>
                <w:i w:val="0"/>
                <w:iCs w:val="0"/>
                <w:smallCaps w:val="0"/>
                <w:color w:val="000000"/>
                <w:lang w:val="el" w:eastAsia="el"/>
              </w:rPr>
              <w:t>επιστρωμένα με πολύτιμα μέταλλα της δασμολογικής διάκρισης 9111.10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Βραχιόλια (μπρασελέ) ρολογιών από πολύτιμα μέταλλα ή από μέταλλα επιστρωμένα από πολύτιμα μέταλλα της δασμολογικής διάκρισης 9113.10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Τα είδη των παραπάνω περιπτώσεων η΄, θ΄ και ι΄ από άργυρο των δασμολογικών κλάσεων ΕΧ 7113, ΕΧ 7114 και ΕΧ 7115 εξαιρούνται του φόρου πολυτελείας.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5.</w:t>
      </w:r>
      <w:r>
        <w:rPr>
          <w:lang w:val="el" w:eastAsia="el"/>
        </w:rPr>
        <w:t xml:space="preserve"> Ο φόρος πολυτελείας των επιβατικών αυτοκινήτων και των μεταφορικών μέσων των περιπτώσεων ιβ) και ιγ) του πίνακα της παραγράφου 4 του άρθρου 17, ανεξάρτητα από τη χώρα προέλευσης, βεβαιώνεται και εισπράττεται από τις αρμόδιες τελωνειακές αρχές παράλληλα με τη βεβαίωση και είσπραξη των οφειλόμενων φορολογικών επιβαρύνσεων και ως προς τις κυρώσεις εφαρμογή έχουν οι διατάξεις των άρθρων 142 και επόμενα του ν. 2960/2001. Για τα είδη της παραγράφου 4 που προέρχονται από τρίτες προς την Ευρωπαϊκή Ένωση χώρες, ο φόρος πο</w:t>
      </w:r>
      <w:r>
        <w:rPr>
          <w:lang w:val="el" w:eastAsia="el"/>
        </w:rPr>
        <w:softHyphen/>
        <w:t>λυτελείας βεβαιώνεται και εισπράττεται από τις τελω</w:t>
      </w:r>
      <w:r>
        <w:rPr>
          <w:lang w:val="el" w:eastAsia="el"/>
        </w:rPr>
        <w:softHyphen/>
        <w:t>νειακές αρχές κατά τη θέση αυτών σε ανάλωση, ενώ τα προερχόμενα από άλλα κράτη μέλη της Ευρωπαϊκής Ένωσης ή τα εγχωρίως παραγόμενα, ο φόρος αποδίδε</w:t>
      </w:r>
      <w:r>
        <w:rPr>
          <w:lang w:val="el" w:eastAsia="el"/>
        </w:rPr>
        <w:softHyphen/>
        <w:t xml:space="preserve">ται στην αρμόδια Δ.Ο.Υ. της έδρας του επιτηδευματία. Υπόχρεος για την απόδοση του φόρου για μεν τα εγχωρίως παραγόμενα είναι ο παραγωγός των προϊόντων, για δε τα προερχόμενα από τα λοιπά κράτη μέλη της Ευρωπαϊκής Ένωσης το πρόσωπο που πραγματοποιεί την ενδοκοινοτική απόκτηση. Ο φόρος πολυτελείας της παραπάνω παραγράφου 4 του παρόντος άρθρου για τα εγχωρίως παραγόμενα ειδικά για τα πωλούμενα λιανικώς για τα οποία προηγούμενα δεν έχει επιβληθεί φόρος πολυτελείας λόγω παραγωγής τους από την ίδια επιχείρηση, επιβάλλεται επί της τιμής λιανικής πώλησης προ Φ.Π.Α., μειωμένης κατά 30%. Ο φόρος αυτός δεν επιβάλλεται εάν τα αγαθά αυτά εξάγονται ή αποτελούν αντικείμενο ενδοκοινοτικής παράδοσης. Χρόνος γένεσης της φορολογικής υποχρέωσης κατά την ενδοκοινοτική απόκτηση είναι ο χρόνος παραλαβής των ειδών από τον αποκτώντα, για δε τα εγχωρίως παραγόμενα, κατά την πώληση αυτών από τον παραγωγό. Τα θέματα που αφορούν τη βεβαίωση, τον έλεγχο, την παραγραφή του δικαιώματος του Δημοσίου και την έκδοση καταλογιστικών πράξεων διέπονται από τις διατάξεις που ισχύουν κάθε φορά στη φορολογία εισοδήματος. Oι διατάξεις του ν. 2523/1997 (ΦΕΚ 179 Α΄) εφαρμόζονται αναλόγως και στη φορολογία αυτή. Με απόφαση του Υπουργού Οικονομικών καθορίζονται ο χρόνος, ο τρόπος, η διαδικασία και κάθε αναγκαία λεπτομέρεια για την απόδοση του φόρου αυτού στις Δ.Ο.Υ..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Τα είδη της παραγράφου 4 που παραλαμβάνονται ως πρώτες ύλες για την παραγωγή ετοίμων προϊόντων της ίδιας παραγράφου, απαλλάσσονται του φόρου πολυτελείας.</w:t>
      </w:r>
    </w:p>
    <w:p>
      <w:pPr>
        <w:spacing w:before="240" w:after="240"/>
        <w:rPr>
          <w:lang w:val="el" w:eastAsia="el"/>
        </w:rPr>
      </w:pPr>
      <w:r>
        <w:rPr>
          <w:lang w:val="el" w:eastAsia="el"/>
        </w:rPr>
        <w:t>Με απόφαση του Υπουργού Οικονομικών καθορίζονται οι όροι και προϋποθέσεις και κάθε άλλη αναγκαία λεπτομέρεια και τα απαιτούμενα δικαιολογητικά για την εφαρμογή του άρθρου αυτού.</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11 Μαρτίου 2010</w:t>
      </w:r>
    </w:p>
    <w:p>
      <w:pPr>
        <w:spacing w:before="240" w:after="240"/>
        <w:rPr>
          <w:lang w:val="el" w:eastAsia="el"/>
        </w:rPr>
      </w:pPr>
      <w:r>
        <w:rPr>
          <w:lang w:val="el" w:eastAsia="el"/>
        </w:rPr>
        <w:t> </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 </w:t>
      </w:r>
    </w:p>
    <w:p>
      <w:pPr>
        <w:spacing w:before="240" w:after="240"/>
        <w:rPr>
          <w:lang w:val="el" w:eastAsia="el"/>
        </w:rPr>
      </w:pPr>
      <w:r>
        <w:rPr>
          <w:lang w:val="el" w:eastAsia="el"/>
        </w:rPr>
        <w:t>ΟΙ ΥΠΟΥΡΓΟΙ  ΕΣΩΤΕΡΙΚΩΝ, ΑΠΟΚΕΝΤΡΩΣΗΣ ΚΑΙ ΗΛΕΚΤΡΟΝΙΚΗΣ ΔΙΑΚΥΒΕΡΝΗΣΗΣ</w:t>
      </w:r>
    </w:p>
    <w:p>
      <w:pPr>
        <w:spacing w:before="240" w:after="240"/>
        <w:rPr>
          <w:lang w:val="el" w:eastAsia="el"/>
        </w:rPr>
      </w:pPr>
      <w:r>
        <w:rPr>
          <w:lang w:val="el" w:eastAsia="el"/>
        </w:rPr>
        <w:t>Ι.ΡΑΓΚΟΥΣΗΣ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Γ.ΠΑΠΑΚΩΝΣΤΑΝΤΙΝΟΥ</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Κ.ΜΠΙΡΜΠΙΛΗ</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Α.ΛΟΒΕΡΔΟΣ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12 Μαρτίου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 w:history="1">
        <w:r>
          <w:rPr>
            <w:rStyle w:val="Hyperlink"/>
            <w:color w:val="0000EE"/>
            <w:u w:color="0000EE"/>
            <w:lang w:val="el" w:eastAsia="el"/>
          </w:rPr>
          <w:t>Τροποποίηση 3899/2010, Άρθρο 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8" w:history="1">
        <w:r>
          <w:rPr>
            <w:rStyle w:val="Hyperlink"/>
            <w:color w:val="0000EE"/>
            <w:u w:color="0000EE"/>
            <w:lang w:val="el" w:eastAsia="el"/>
          </w:rPr>
          <w:t>Τροποποίηση 3899/2010, Άρθρο 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4110/2013, Άρθρο 21</w:t>
        </w:r>
      </w:hyperlink>
      <w:r>
        <w:rPr>
          <w:lang w:val="el" w:eastAsia="el"/>
        </w:rPr>
        <w:t xml:space="preserve">; </w:t>
      </w:r>
      <w:hyperlink r:id="rId4" w:anchor="art_8" w:history="1">
        <w:r>
          <w:rPr>
            <w:rStyle w:val="Hyperlink"/>
            <w:color w:val="0000EE"/>
            <w:u w:color="0000EE"/>
            <w:lang w:val="el" w:eastAsia="el"/>
          </w:rPr>
          <w:t>Τροποποίηση 3899/2010, Άρθρο 8</w:t>
        </w:r>
      </w:hyperlink>
      <w:r>
        <w:rPr>
          <w:lang w:val="el" w:eastAsia="el"/>
        </w:rPr>
        <w:t xml:space="preserve">; </w:t>
      </w:r>
      <w:hyperlink r:id="rId5" w:anchor="art_87" w:history="1">
        <w:r>
          <w:rPr>
            <w:rStyle w:val="Hyperlink"/>
            <w:color w:val="0000EE"/>
            <w:u w:color="0000EE"/>
            <w:lang w:val="el" w:eastAsia="el"/>
          </w:rPr>
          <w:t>Προσθήκη 3842/2010, Άρθρο 87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87" w:history="1">
        <w:r>
          <w:rPr>
            <w:rStyle w:val="Hyperlink"/>
            <w:color w:val="0000EE"/>
            <w:u w:color="0000EE"/>
            <w:lang w:val="el" w:eastAsia="el"/>
          </w:rPr>
          <w:t>Τροποποίηση 3842/2010, Άρθρο 87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87" w:history="1">
        <w:r>
          <w:rPr>
            <w:rStyle w:val="Hyperlink"/>
            <w:color w:val="0000EE"/>
            <w:u w:color="0000EE"/>
            <w:lang w:val="el" w:eastAsia="el"/>
          </w:rPr>
          <w:t>Τροποποίηση 3842/2010, Άρθρο 87</w:t>
        </w:r>
      </w:hyperlink>
      <w:r>
        <w:rPr>
          <w:lang w:val="el" w:eastAsia="el"/>
        </w:rPr>
        <w:t xml:space="preserve">; </w:t>
      </w:r>
      <w:hyperlink r:id="rId8" w:anchor="art_87" w:history="1">
        <w:r>
          <w:rPr>
            <w:rStyle w:val="Hyperlink"/>
            <w:color w:val="0000EE"/>
            <w:u w:color="0000EE"/>
            <w:lang w:val="el" w:eastAsia="el"/>
          </w:rPr>
          <w:t>Τροποποίηση 3842/2010, Άρθρο 87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87" w:history="1">
        <w:r>
          <w:rPr>
            <w:rStyle w:val="Hyperlink"/>
            <w:color w:val="0000EE"/>
            <w:u w:color="0000EE"/>
            <w:lang w:val="el" w:eastAsia="el"/>
          </w:rPr>
          <w:t>Τροποποίηση 3842/2010, Άρθρο 87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87" w:history="1">
        <w:r>
          <w:rPr>
            <w:rStyle w:val="Hyperlink"/>
            <w:color w:val="0000EE"/>
            <w:u w:color="0000EE"/>
            <w:lang w:val="el" w:eastAsia="el"/>
          </w:rPr>
          <w:t>Τροποποίηση 3842/2010, Άρθρο 87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7" w:history="1">
        <w:r>
          <w:rPr>
            <w:rStyle w:val="Hyperlink"/>
            <w:color w:val="0000EE"/>
            <w:u w:color="0000EE"/>
            <w:lang w:val="el" w:eastAsia="el"/>
          </w:rPr>
          <w:t>Τροποποίηση 3842/2010, Άρθρο 87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7" w:history="1">
        <w:r>
          <w:rPr>
            <w:rStyle w:val="Hyperlink"/>
            <w:color w:val="0000EE"/>
            <w:u w:color="0000EE"/>
            <w:lang w:val="el" w:eastAsia="el"/>
          </w:rPr>
          <w:t>Τροποποίηση 3842/2010, Άρθρο 87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87" w:history="1">
        <w:r>
          <w:rPr>
            <w:rStyle w:val="Hyperlink"/>
            <w:color w:val="0000EE"/>
            <w:u w:color="0000EE"/>
            <w:lang w:val="el" w:eastAsia="el"/>
          </w:rPr>
          <w:t>Τροποποίηση 3842/2010, Άρθρο 87</w:t>
        </w:r>
      </w:hyperlink>
      <w:r>
        <w:rPr>
          <w:lang w:val="el" w:eastAsia="el"/>
        </w:rPr>
        <w:t xml:space="preserve">; </w:t>
      </w:r>
      <w:hyperlink r:id="rId14" w:anchor="art_87" w:history="1">
        <w:r>
          <w:rPr>
            <w:rStyle w:val="Hyperlink"/>
            <w:color w:val="0000EE"/>
            <w:u w:color="0000EE"/>
            <w:lang w:val="el" w:eastAsia="el"/>
          </w:rPr>
          <w:t>Προσθήκη 3842/2010, Άρθρο 87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12/17/3899" TargetMode="External" /><Relationship Id="rId10" Type="http://schemas.openxmlformats.org/officeDocument/2006/relationships/hyperlink" Target="http://data.aade.gr/eli/pri/law/2010/04/23/3842" TargetMode="External" /><Relationship Id="rId11" Type="http://schemas.openxmlformats.org/officeDocument/2006/relationships/hyperlink" Target="http://data.aade.gr/eli/pri/law/2010/04/23/3842" TargetMode="External" /><Relationship Id="rId12" Type="http://schemas.openxmlformats.org/officeDocument/2006/relationships/hyperlink" Target="http://data.aade.gr/eli/pri/law/2010/04/23/3842" TargetMode="External" /><Relationship Id="rId13" Type="http://schemas.openxmlformats.org/officeDocument/2006/relationships/hyperlink" Target="http://data.aade.gr/eli/pri/law/2010/04/23/3842" TargetMode="External" /><Relationship Id="rId14" Type="http://schemas.openxmlformats.org/officeDocument/2006/relationships/hyperlink" Target="http://data.aade.gr/eli/pri/law/2010/04/23/3842" TargetMode="External" /><Relationship Id="rId2" Type="http://schemas.openxmlformats.org/officeDocument/2006/relationships/hyperlink" Target="http://data.aade.gr/eli/pri/law/2010/12/17/3899" TargetMode="External" /><Relationship Id="rId3" Type="http://schemas.openxmlformats.org/officeDocument/2006/relationships/hyperlink" Target="http://data.aade.gr/eli/pri/law/2013/01/23/4110" TargetMode="External" /><Relationship Id="rId4" Type="http://schemas.openxmlformats.org/officeDocument/2006/relationships/hyperlink" Target="http://data.aade.gr/eli/pri/law/2010/12/17/3899" TargetMode="External" /><Relationship Id="rId5" Type="http://schemas.openxmlformats.org/officeDocument/2006/relationships/hyperlink" Target="http://data.aade.gr/eli/pri/law/2010/04/23/3842" TargetMode="External" /><Relationship Id="rId6" Type="http://schemas.openxmlformats.org/officeDocument/2006/relationships/hyperlink" Target="http://data.aade.gr/eli/pri/law/2010/04/23/3842" TargetMode="External" /><Relationship Id="rId7" Type="http://schemas.openxmlformats.org/officeDocument/2006/relationships/hyperlink" Target="http://data.aade.gr/eli/pri/law/2010/04/23/3842" TargetMode="External" /><Relationship Id="rId8" Type="http://schemas.openxmlformats.org/officeDocument/2006/relationships/hyperlink" Target="http://data.aade.gr/eli/pri/law/2010/04/23/3842" TargetMode="External" /><Relationship Id="rId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