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20.000 ευρώ μέχρι και 22.000 ευρώ, σε ποσοστό 10%,</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άνω των 22.000 ευρώ και μέχρι 28.000 ευρώ, ποσοστό 30%,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σύμφωνα με την κλίμακα της παραγράφου 1, ανάλογα με την αξία τους, όπως αυτή προσδιορίζεται με βάση τα προβλεπόμενα στην περίπτωση α΄ της παρ. 1 του άρθρου 126 του ν. 2960/2001.</w:t>
      </w:r>
    </w:p>
    <w:p>
      <w:pPr>
        <w:spacing w:before="240" w:after="240"/>
        <w:rPr>
          <w:lang w:val="el" w:eastAsia="el"/>
        </w:rPr>
      </w:pPr>
      <w:r>
        <w:rPr>
          <w:lang w:val="el" w:eastAsia="el"/>
        </w:rPr>
        <w:t>Ο ανωτέρω φόρος επιβάλλεται επί της φορολογητέας αξίας του άρθρου 126 του ν. 2960/2001.</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 φόρος πολυτελείας δεν επιβάλλεται σε κοινοτικά αυτοκίνητα οχήματα τα οποία έχουν ταξινομηθεί σε άλλο κράτος-μέλος της Ευρωπαϊκής Ένωσης πριν από την έναρξη ισχύος των διατάξεων του παρόντος άρθρου.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 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τα ηλεκτροκίνητα αυτοκίνητα, καθώς και τα αυτοκίνητα οχήματα με μικτό βάρος μέχρι 3,5 τόνους της Δασμολογικής Κλάσης 87.03 της πρώτης και δεύτερης υποπερίπτωσης της περίπτωσης ε' της παρ. 1 του άρθρου 123 του ν. 2960/2001.</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 και τα επαγγελματικά σκάφη αναψυχής.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η ανασχηματισμένες, κατεργασμένες ή ακατέργαστες. Εξαιρούνται εκείνες που προορίζονται για βιομηχανική χρήση. Διαμάντια έστω και κατεργασμένα Δ. Κ. 71.01, ΕΧ 71.02, ΕΧ 71.03 και 71.04.</w:t>
            </w:r>
            <w:r>
              <w:rPr>
                <w:rStyle w:val="Hyperlink"/>
                <w:b w:val="0"/>
                <w:bCs w:val="0"/>
                <w:i w:val="0"/>
                <w:iCs w:val="0"/>
                <w:smallCaps w:val="0"/>
                <w:color w:val="000000"/>
                <w:sz w:val="20"/>
                <w:szCs w:val="20"/>
                <w:u w:val="none" w:color="0000EE"/>
                <w:vertAlign w:val="superscript"/>
                <w:lang w:val="el" w:eastAsia="el"/>
              </w:rPr>
              <w:footnoteReference w:id="1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Πλοία, πλοιάρια και άλλα σκάφη κινούμενα με οποιοδήποτε τρόπο, που προορίζονται για αναψυχή. Δ.Κ. Ε.Χ. 89.03.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 w:history="1">
        <w:r>
          <w:rPr>
            <w:rStyle w:val="Hyperlink"/>
            <w:color w:val="0000EE"/>
            <w:u w:color="0000EE"/>
            <w:lang w:val="el" w:eastAsia="el"/>
          </w:rPr>
          <w:t>Τροποποίηση 3899/2010, Άρθρο 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4110/2013, Άρθρο 21</w:t>
        </w:r>
      </w:hyperlink>
      <w:r>
        <w:rPr>
          <w:lang w:val="el" w:eastAsia="el"/>
        </w:rPr>
        <w:t xml:space="preserve">; </w:t>
      </w:r>
      <w:hyperlink r:id="rId4" w:anchor="art_8" w:history="1">
        <w:r>
          <w:rPr>
            <w:rStyle w:val="Hyperlink"/>
            <w:color w:val="0000EE"/>
            <w:u w:color="0000EE"/>
            <w:lang w:val="el" w:eastAsia="el"/>
          </w:rPr>
          <w:t>Τροποποίηση 3899/2010, Άρθρο 8</w:t>
        </w:r>
      </w:hyperlink>
      <w:r>
        <w:rPr>
          <w:lang w:val="el" w:eastAsia="el"/>
        </w:rPr>
        <w:t xml:space="preserve">; </w:t>
      </w:r>
      <w:hyperlink r:id="rId5" w:anchor="art_87" w:history="1">
        <w:r>
          <w:rPr>
            <w:rStyle w:val="Hyperlink"/>
            <w:color w:val="0000EE"/>
            <w:u w:color="0000EE"/>
            <w:lang w:val="el" w:eastAsia="el"/>
          </w:rPr>
          <w:t>Προσθήκη 3842/2010,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 w:history="1">
        <w:r>
          <w:rPr>
            <w:rStyle w:val="Hyperlink"/>
            <w:color w:val="0000EE"/>
            <w:u w:color="0000EE"/>
            <w:lang w:val="el" w:eastAsia="el"/>
          </w:rPr>
          <w:t>Προσθήκη 4211/2013, Άρθρο 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 w:history="1">
        <w:r>
          <w:rPr>
            <w:rStyle w:val="Hyperlink"/>
            <w:color w:val="0000EE"/>
            <w:u w:color="0000EE"/>
            <w:lang w:val="el" w:eastAsia="el"/>
          </w:rPr>
          <w:t>Τροποποίηση 4211/2013, Άρθρο 6</w:t>
        </w:r>
      </w:hyperlink>
      <w:r>
        <w:rPr>
          <w:lang w:val="el" w:eastAsia="el"/>
        </w:rPr>
        <w:t xml:space="preserve">; </w:t>
      </w:r>
      <w:hyperlink r:id="rId9" w:anchor="art_87" w:history="1">
        <w:r>
          <w:rPr>
            <w:rStyle w:val="Hyperlink"/>
            <w:color w:val="0000EE"/>
            <w:u w:color="0000EE"/>
            <w:lang w:val="el" w:eastAsia="el"/>
          </w:rPr>
          <w:t>Τροποποίηση 3842/2010, Άρθρο 87</w:t>
        </w:r>
      </w:hyperlink>
      <w:r>
        <w:rPr>
          <w:lang w:val="el" w:eastAsia="el"/>
        </w:rPr>
        <w:t xml:space="preserve">; </w:t>
      </w:r>
      <w:hyperlink r:id="rId10"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Τροποποίηση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7" w:history="1">
        <w:r>
          <w:rPr>
            <w:rStyle w:val="Hyperlink"/>
            <w:color w:val="0000EE"/>
            <w:u w:color="0000EE"/>
            <w:lang w:val="el" w:eastAsia="el"/>
          </w:rPr>
          <w:t>Τροποποίηση 3842/2010,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Προσθήκη 4138/2013,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7" w:history="1">
        <w:r>
          <w:rPr>
            <w:rStyle w:val="Hyperlink"/>
            <w:color w:val="0000EE"/>
            <w:u w:color="0000EE"/>
            <w:lang w:val="el" w:eastAsia="el"/>
          </w:rPr>
          <w:t>Τροποποίηση 3842/2010, Άρθρο 87</w:t>
        </w:r>
      </w:hyperlink>
    </w:p>
  </w:footnote>
  <w:footnote w:id="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 w:anchor="art_6" w:history="1">
        <w:r>
          <w:rPr>
            <w:rStyle w:val="Hyperlink"/>
            <w:b w:val="0"/>
            <w:bCs w:val="0"/>
            <w:i w:val="0"/>
            <w:iCs w:val="0"/>
            <w:smallCaps w:val="0"/>
            <w:color w:val="0000EE"/>
            <w:u w:color="0000EE"/>
            <w:lang w:val="el" w:eastAsia="el"/>
          </w:rPr>
          <w:t>Τροποποίηση 4211/2013, Άρθρο 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7" w:history="1">
        <w:r>
          <w:rPr>
            <w:rStyle w:val="Hyperlink"/>
            <w:color w:val="0000EE"/>
            <w:u w:color="0000EE"/>
            <w:lang w:val="el" w:eastAsia="el"/>
          </w:rPr>
          <w:t>Τροποποίηση 3842/2010, Άρθρο 87</w:t>
        </w:r>
      </w:hyperlink>
      <w:r>
        <w:rPr>
          <w:lang w:val="el" w:eastAsia="el"/>
        </w:rPr>
        <w:t xml:space="preserve">; </w:t>
      </w:r>
      <w:hyperlink r:id="rId18"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3/03/19/4138"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3/11/28/4211"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2" Type="http://schemas.openxmlformats.org/officeDocument/2006/relationships/hyperlink" Target="http://data.aade.gr/eli/pri/law/2010/12/17/3899" TargetMode="External" /><Relationship Id="rId3" Type="http://schemas.openxmlformats.org/officeDocument/2006/relationships/hyperlink" Target="http://data.aade.gr/eli/pri/law/2013/01/23/4110" TargetMode="External" /><Relationship Id="rId4" Type="http://schemas.openxmlformats.org/officeDocument/2006/relationships/hyperlink" Target="http://data.aade.gr/eli/pri/law/2010/12/17/3899"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3/11/28/4211"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3/11/28/4211"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