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3833/2010</w:t>
      </w:r>
    </w:p>
    <w:p>
      <w:pPr>
        <w:pStyle w:val="PreambelText"/>
        <w:spacing w:before="240" w:after="240"/>
        <w:rPr>
          <w:lang w:val="el" w:eastAsia="el"/>
        </w:rPr>
      </w:pPr>
      <w:r>
        <w:rPr>
          <w:lang w:val="el" w:eastAsia="el"/>
        </w:rPr>
        <w:t>ΝΟΜΟΣ ΥΠ’ ΑΡΙΘΜ. 3833</w:t>
      </w:r>
    </w:p>
    <w:p>
      <w:pPr>
        <w:pStyle w:val="PreambelText"/>
        <w:spacing w:before="240" w:after="240"/>
        <w:rPr>
          <w:lang w:val="el" w:eastAsia="el"/>
        </w:rPr>
      </w:pPr>
      <w:r>
        <w:rPr>
          <w:lang w:val="el" w:eastAsia="el"/>
        </w:rPr>
        <w:t>(ΦΕΚ Α' 40/15-03-2010)</w:t>
      </w:r>
    </w:p>
    <w:p>
      <w:pPr>
        <w:pStyle w:val="PreambelText"/>
        <w:spacing w:before="240" w:after="240"/>
        <w:rPr>
          <w:lang w:val="el" w:eastAsia="el"/>
        </w:rPr>
      </w:pPr>
      <w:r>
        <w:rPr>
          <w:lang w:val="el" w:eastAsia="el"/>
        </w:rPr>
        <w:t>Προστασία της εθνικής οικονομίας - Επείγοντα μέτρα για την αντιμετώπιση της δημοσιονομικής κρίσης.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Ειδικός φόρος σε είδη πολυτελείας</w:t>
      </w:r>
    </w:p>
    <w:p>
      <w:pPr>
        <w:pStyle w:val="MainText"/>
        <w:spacing w:before="120" w:after="0"/>
        <w:rPr>
          <w:lang w:val="el" w:eastAsia="el"/>
        </w:rPr>
      </w:pPr>
      <w:r>
        <w:rPr>
          <w:b/>
          <w:bCs/>
          <w:lang w:val="el" w:eastAsia="el"/>
        </w:rPr>
        <w:t>1.</w:t>
      </w:r>
      <w:r>
        <w:rPr>
          <w:lang w:val="el" w:eastAsia="el"/>
        </w:rPr>
        <w:t xml:space="preserve"> Επιβάλλεται φόρος πολυτελείας στα επιβατικά αυτοκίνητα της δασμολογικής κλάσης 8703 της Συνδυασμένης Ονοματολογίας, καθώς και στα αυτοκίνητα τύπου jeep της δασμολογικής κλάσης 8704, το ποσοστό του οποίου ορίζεται για αυτοκίνητα με τιμή χονδρικής πώλησης από τον κατασκευαστή οίκο ως εξής:</w:t>
      </w:r>
    </w:p>
    <w:p>
      <w:pPr>
        <w:pStyle w:val="StructureList1"/>
        <w:spacing w:before="120" w:after="0"/>
        <w:rPr>
          <w:lang w:val="el" w:eastAsia="el"/>
        </w:rPr>
      </w:pPr>
      <w:r>
        <w:rPr>
          <w:lang w:val="el" w:eastAsia="el"/>
        </w:rPr>
        <w:t>α)</w:t>
      </w:r>
      <w:r>
        <w:rPr>
          <w:lang w:val="en" w:eastAsia="en"/>
        </w:rPr>
        <w:tab/>
      </w:r>
      <w:r>
        <w:rPr>
          <w:lang w:val="el" w:eastAsia="el"/>
        </w:rPr>
        <w:t>από 20.000 ευρώ μέχρι και 22.000 ευρώ, σε ποσοστό 10%,</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άνω των 22.000 ευρώ και μέχρι 28.000 ευρώ, ποσοστό 30%,</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γ)</w:t>
      </w:r>
      <w:r>
        <w:rPr>
          <w:lang w:val="en" w:eastAsia="en"/>
        </w:rPr>
        <w:tab/>
      </w:r>
      <w:r>
        <w:rPr>
          <w:lang w:val="el" w:eastAsia="el"/>
        </w:rPr>
        <w:t>άνω των 30.000 ευρώ, ποσοστό 30%.</w:t>
      </w:r>
    </w:p>
    <w:p>
      <w:pPr>
        <w:spacing w:before="240" w:after="240"/>
        <w:rPr>
          <w:lang w:val="el" w:eastAsia="el"/>
        </w:rPr>
      </w:pPr>
      <w:r>
        <w:rPr>
          <w:lang w:val="el" w:eastAsia="el"/>
        </w:rPr>
        <w:t>Ο ανωτέρω φόρος επιβάλλεται επί της φορολογητέας αξίας του άρθρου 126 του Ν. 2960/2001 (ΦΕΚ 265 Α΄).</w:t>
      </w:r>
    </w:p>
    <w:p>
      <w:pPr>
        <w:pStyle w:val="MainText"/>
        <w:spacing w:before="120" w:after="0"/>
        <w:rPr>
          <w:lang w:val="el" w:eastAsia="el"/>
        </w:rPr>
      </w:pPr>
      <w:r>
        <w:rPr>
          <w:b/>
          <w:bCs/>
          <w:lang w:val="el" w:eastAsia="el"/>
        </w:rPr>
        <w:t>2.</w:t>
      </w:r>
      <w:r>
        <w:rPr>
          <w:lang w:val="el" w:eastAsia="el"/>
        </w:rPr>
        <w:t xml:space="preserve"> Προκειμένου για μεταχειρισμένα όμοια αυτοκίνητα, το ποσοστό του φόρου καθορίζεται, σύμφωνα με την κλίμακα της παραγράφου 1, ανάλογα με την αξία τους, όπως αυτή προσδιορίζεται με βάση τα προβλεπόμενα στην περίπτωση α΄ της παρ. 1 του άρθρου 126 του ν. 2960/2001.</w:t>
      </w:r>
    </w:p>
    <w:p>
      <w:pPr>
        <w:spacing w:before="240" w:after="240"/>
        <w:rPr>
          <w:lang w:val="el" w:eastAsia="el"/>
        </w:rPr>
      </w:pPr>
      <w:r>
        <w:rPr>
          <w:lang w:val="el" w:eastAsia="el"/>
        </w:rPr>
        <w:t>Ο ανωτέρω φόρος επιβάλλεται επί της φορολογητέας αξίας του άρθρου 126 του ν. 2960/2001.</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φόρος πολυτελείας δεν επιβάλλεται σε κοινοτικά αυτοκίνητα οχήματα τα οποία έχουν ταξινομηθεί σε άλλο κράτος-μέλος της Ευρωπαϊκής Ένωσης πριν από την έναρξη ισχύος των διατάξεων του παρόντος άρθρου.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Από το φόρο πολυτελείας εξαιρούνται:</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Τα επιβατικά αυτοκίνητα που προορίζονται να κυκλοφορήσουν ως δημόσιας χρήσης, τα α) Τα επιβατικά αυτοκίνητα που προορίζονται να κυκλοφορήσουν ως δημόσιας χρήσης, τα αυτοκινούμενα τροχόσπιτα, τα ασθενοφόρα, οι νεκροφόρες, τα οχήματα μεταφοράς κρατουμένων (κλούβες), τα ηλεκτροκίνητα αυτοκίνητα, καθώς και τα αυτοκίνητα οχήματα με μικτό βάρος μέχρι 3,5 τόνους της Δασμολογικής Κλάσης 87.03 της πρώτης και δεύτερης υποπερίπτωσης της περίπτωσης ε' της παρ. 1 του άρθρου 123 του ν. 2960/2001.</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Τα επιβατικά αυτοκίνητα που παραλαμβάνονται από παραπληγικούς αναπήρους και αναπήρους με αμφοτερόπλευρο ακρωτηριασμό κάτω άκρων, στις περιπτώσεις όπου από τις κείμενες διατάξεις προβλέπεται πλήρης απαλλαγή από το τέλος ταξινόμησης για επιβατικά αυτοκίνητα κυλινδρισμού κινητήρα άνω των 1.650 κυβικών εκατοστών.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τα αυτοκίνητα του προηγούμενου εδαφίου που παραλαμβάνονται με απαλλαγή από το φόρο πολυτελείας και αποδεσμεύονται από το καθεστώς απαλλαγής του τέλους ταξινόμησης πριν από την παρέλευση του κατά περίπτωση ισχύοντος ως προς το τέλος ταξινόμησης περιοριστικού διαστήματος, εισπράττεται ο φόρος πολυτελείας που αναλογεί. Ο φόρος πολυτελείας επιβάλλεται επί της φορολογητέας αξίας του άρθρου 126 του ν. 2960/2001 (ΦΕΚ 265 Α΄).</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είδη των περιπτώσεων η), θ), ι) και ια) του πίνακα της παραγράφου 4 του άρθρου αυτού, των οποίων η φορολογητέα αξία επιβολής του φόρου πολυτελείας είναι μικρότερη των χιλίων (1.000) ευρώ ανά τεμάχιο.</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δ)</w:t>
      </w:r>
      <w:r>
        <w:rPr>
          <w:lang w:val="en" w:eastAsia="en"/>
        </w:rPr>
        <w:tab/>
      </w:r>
      <w:r>
        <w:rPr>
          <w:lang w:val="el" w:eastAsia="el"/>
        </w:rPr>
        <w:t>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ε)</w:t>
      </w:r>
      <w:r>
        <w:rPr>
          <w:lang w:val="en" w:eastAsia="en"/>
        </w:rPr>
        <w:tab/>
      </w:r>
      <w:r>
        <w:rPr>
          <w:lang w:val="el" w:eastAsia="el"/>
        </w:rPr>
        <w:t>Για σκοπούς εφαρμογής της περίπτωσης ιβ' της παραγράφου 4 του παρόντος άρθρου, ως ιδιωτική χρήση νοείται η χρησιμοποίηση αεροπλάνου, υδροπλάνου και ελικόπτερου για μη εμπορική δραστηριότητα.</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Επιβάλλεται φόρος πολυτελείας επί της φορολογητέας αξίας, όπως αυτή διαμορφώνεται από τα άρθρα 19 και 20 του Ν. 2859/2000 (ΦΕΚ 248 Α΄) για τα ενδοκοινοτικώς αποκτούμενα και τα εισαγόμενα από τρίτες χώρες και επί της τιμής πώλησης προ Φ.Π.Α. για τα εγχωρίως παραγόμενα, στα παρακάτω είδη:</w:t>
      </w:r>
      <w:r>
        <w:rPr>
          <w:rStyle w:val="Hyperlink"/>
          <w:color w:val="000000"/>
          <w:sz w:val="20"/>
          <w:szCs w:val="20"/>
          <w:u w:val="none" w:color="0000EE"/>
          <w:vertAlign w:val="superscript"/>
          <w:lang w:val="el" w:eastAsia="el"/>
        </w:rPr>
        <w:footnoteReference w:id="1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5"/>
        <w:gridCol w:w="2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ΠΟΣΟΣΤΟ ΦΟΡΟΥ</w:t>
            </w:r>
          </w:p>
          <w:p>
            <w:pPr>
              <w:spacing w:before="240"/>
              <w:rPr>
                <w:b w:val="0"/>
                <w:bCs w:val="0"/>
                <w:i w:val="0"/>
                <w:iCs w:val="0"/>
                <w:smallCaps w:val="0"/>
                <w:color w:val="000000"/>
                <w:lang w:val="el" w:eastAsia="el"/>
              </w:rPr>
            </w:pPr>
            <w:r>
              <w:rPr>
                <w:b w:val="0"/>
                <w:bCs w:val="0"/>
                <w:i w:val="0"/>
                <w:iCs w:val="0"/>
                <w:smallCaps w:val="0"/>
                <w:color w:val="000000"/>
                <w:lang w:val="el" w:eastAsia="el"/>
              </w:rPr>
              <w:t>ΠΟΛΥΤΕΛΕΙΑΣ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Δέρματα ερπετών, κροκοδείλων, σαυροειδών και αγρίων ζώων γενικά καθώς και πτηνών, ψαριών και θαλασσίων ζώων γενικά, κατεργασμένα ή μη. Κωδικός Σ.Ο. 41.06.40, 41.13.30, ΕΧ41.14.10.90,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Τεχνουργήματα από δέρμα. 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Ενδύματα, εξαρτήματα της ένδυσης και άλλα είδη από γουνοδέρματα. Δ.Κ. 43.03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 Κωδικός Σ.Ο. 57.01.10.10, 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η ανασχηματισμένες, κατεργασμένες ή ακατέργαστες. Εξαιρούνται εκείνες που προορίζονται για βιομηχανική χρήση. Διαμάντια έστω και κατεργασμένα Δ. Κ. 71.01, ΕΧ 71.02, ΕΧ 71.03 και 71.04.</w:t>
            </w:r>
            <w:r>
              <w:rPr>
                <w:rStyle w:val="Hyperlink"/>
                <w:b w:val="0"/>
                <w:bCs w:val="0"/>
                <w:i w:val="0"/>
                <w:iCs w:val="0"/>
                <w:smallCaps w:val="0"/>
                <w:color w:val="000000"/>
                <w:sz w:val="20"/>
                <w:szCs w:val="20"/>
                <w:u w:val="none" w:color="0000EE"/>
                <w:vertAlign w:val="superscript"/>
                <w:lang w:val="el" w:eastAsia="el"/>
              </w:rPr>
              <w:footnoteReference w:id="1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Σκόνη διαμαντιού και σκόνη από πολύτιμες ή ημιπολύτιμες πέτρες φυσικές ή συνθετικές. 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Κοσμήματα με ή χωρίς πολύτιμες πέτρες και μέρη αυτών, από πολύτιμα μέταλλα ή από μέταλλα επιστρωμένα με πολύτιμα μέταλλα. Δ.Κ.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Είδη χρυσοχοΐας και μέρη αυτών από πολύτιμα μέταλλα ή από μέταλλα επιστρωμένα με πολύτιμα μέταλλα. Δ.Κ.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Άλλα τεχνουργήματα από πολύτιμα μέταλλα ή από μέταλλα επιστρωμένα με πολύτιμα μέταλλα. Δ.Κ.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Τεχνουργήματα από μαργαριτάρια, από πολύτιμες ή ημιπολύτιμες πέτρες ή από πέτρες συνθετικές ή ανασχηματισμένες. Δ.Κ. 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 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w:t>
            </w:r>
            <w:r>
              <w:rPr>
                <w:rStyle w:val="Hyperlink"/>
                <w:b w:val="0"/>
                <w:bCs w:val="0"/>
                <w:i w:val="0"/>
                <w:iCs w:val="0"/>
                <w:smallCaps w:val="0"/>
                <w:color w:val="000000"/>
                <w:sz w:val="20"/>
                <w:szCs w:val="20"/>
                <w:u w:val="none" w:color="0000EE"/>
                <w:vertAlign w:val="superscript"/>
                <w:lang w:val="el" w:eastAsia="el"/>
              </w:rPr>
              <w:footnoteReference w:id="1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Ρολόγια από πολύτιμα μέταλλα ή από μέταλλα επιστρωμένα με πολύτιμα μέταλλα 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Κάσες (κελύφη) για ρολόγια από πολύτιμα μέταλλα ή από μέταλλα</w:t>
            </w:r>
          </w:p>
          <w:p>
            <w:pPr>
              <w:spacing w:before="240"/>
              <w:rPr>
                <w:b w:val="0"/>
                <w:bCs w:val="0"/>
                <w:i w:val="0"/>
                <w:iCs w:val="0"/>
                <w:smallCaps w:val="0"/>
                <w:color w:val="000000"/>
                <w:lang w:val="el" w:eastAsia="el"/>
              </w:rPr>
            </w:pPr>
            <w:r>
              <w:rPr>
                <w:b w:val="0"/>
                <w:bCs w:val="0"/>
                <w:i w:val="0"/>
                <w:iCs w:val="0"/>
                <w:smallCaps w:val="0"/>
                <w:color w:val="000000"/>
                <w:lang w:val="el" w:eastAsia="el"/>
              </w:rPr>
              <w:t>επιστρωμένα με πολύτιμα μέταλλα της δασμολογικής διάκρισης 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Βραχιόλια (μπρασελέ) ρολογιών από πολύτιμα μέταλλα ή από μέταλλα επιστρωμένα από πολύτιμα μέταλλα της δασμολογικής διάκρισης 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Τα είδη των παραπάνω περιπτώσεων η΄, θ΄ και ι΄ από άργυρο των δασμολογικών κλάσεων ΕΧ 7113, ΕΧ 7114 και ΕΧ 7115 εξαιρούνται του φόρου πολυτελείας.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Ειδικότερα από τον ως άνω φόρο πολυτελείας εξαιρούνται τα εγχωρίως παραγόμενα γουνοποιητικά προϊόντα που πωλούνται χονδρικώς στο εσωτερικό της χώρας μεταξύ των επιχειρήσεων.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5.</w:t>
      </w:r>
      <w:r>
        <w:rPr>
          <w:lang w:val="el" w:eastAsia="el"/>
        </w:rPr>
        <w:t xml:space="preserve"> Ο φόρος πολυτελείας των επιβατικών αυτοκινήτων και των μεταφορικών μέσων των περιπτώσεων ιβ) και ιγ) του πίνακα της παραγράφου 4 του άρθρου 17,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ν. 2960/2001. Για τα είδη της παραγράφου 4 που προέρχονται από τρίτες προς την Ευρωπαϊκή Ένωση χώρες, ο φόρος πο</w:t>
      </w:r>
      <w:r>
        <w:rPr>
          <w:lang w:val="el" w:eastAsia="el"/>
        </w:rPr>
        <w:softHyphen/>
        <w:t>λυτελείας βεβαιώνεται και εισπράττεται από τις τελω</w:t>
      </w:r>
      <w:r>
        <w:rPr>
          <w:lang w:val="el" w:eastAsia="el"/>
        </w:rPr>
        <w:softHyphen/>
        <w:t>νειακές αρχές κατά τη θέση αυτών σε ανάλωση, ενώ τα προερχόμενα από άλλα κράτη μέλη της Ευρωπαϊκής Ένωσης ή τα εγχωρίως παραγόμενα, ο φόρος αποδίδε</w:t>
      </w:r>
      <w:r>
        <w:rPr>
          <w:lang w:val="el" w:eastAsia="el"/>
        </w:rPr>
        <w:softHyphen/>
        <w:t xml:space="preserve">ται στην αρμόδια Δ.Ο.Υ. της έδρας του επιτηδευματία.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Ο φόρος πολυτελείας της παραπάνω παραγράφου 4 του παρόντος άρθρου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Oι διατάξεις του ν. 2523/1997 (ΦΕΚ 179 Α΄) εφαρμόζονται αναλόγως και στη φορολογία αυτή. Με απόφαση του Υπουργού Οικονομικών καθορίζονται ο χρόνος, ο τρόπος, η διαδικασία και κάθε αναγκαία λεπτομέρεια για την απόδοση του φόρου αυτού στις Δ.Ο.Υ..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6.</w:t>
      </w:r>
      <w:r>
        <w:rPr>
          <w:lang w:val="el" w:eastAsia="el"/>
        </w:rPr>
        <w:t xml:space="preserve"> Τα είδη της παραγράφου 4 που παραλαμβάνονται ως πρώτες ύλες για την παραγωγή ετοίμων προϊόντων της ίδιας παραγράφου, απαλλάσσονται του φόρου πολυτελείας.</w:t>
      </w:r>
    </w:p>
    <w:p>
      <w:pPr>
        <w:spacing w:before="240" w:after="240"/>
        <w:rPr>
          <w:lang w:val="el" w:eastAsia="el"/>
        </w:rPr>
      </w:pPr>
      <w:r>
        <w:rPr>
          <w:lang w:val="el" w:eastAsia="el"/>
        </w:rPr>
        <w:t>Με απόφαση του Υπουργού Οικονομικών καθορίζονται οι όροι και προϋποθέσεις και κάθε άλλη αναγκαία λεπτομέρεια και τα απαιτούμενα δικαιολογητικά για την εφαρμογή του άρθρου αυτού.</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11 Μαρτίου 2010</w:t>
      </w:r>
    </w:p>
    <w:p>
      <w:pPr>
        <w:spacing w:before="240" w:after="240"/>
        <w:rPr>
          <w:lang w:val="el" w:eastAsia="el"/>
        </w:rPr>
      </w:pPr>
      <w:r>
        <w:rPr>
          <w:lang w:val="el" w:eastAsia="el"/>
        </w:rPr>
        <w:t> </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 </w:t>
      </w:r>
    </w:p>
    <w:p>
      <w:pPr>
        <w:spacing w:before="240" w:after="240"/>
        <w:rPr>
          <w:lang w:val="el" w:eastAsia="el"/>
        </w:rPr>
      </w:pPr>
      <w:r>
        <w:rPr>
          <w:lang w:val="el" w:eastAsia="el"/>
        </w:rPr>
        <w:t>ΟΙ ΥΠΟΥΡΓΟΙ  ΕΣΩΤΕΡΙΚΩΝ, ΑΠΟΚΕΝΤΡΩΣΗΣ ΚΑΙ ΗΛΕΚΤΡΟΝΙΚΗΣ ΔΙΑΚΥΒΕΡΝΗΣΗΣ</w:t>
      </w:r>
    </w:p>
    <w:p>
      <w:pPr>
        <w:spacing w:before="240" w:after="240"/>
        <w:rPr>
          <w:lang w:val="el" w:eastAsia="el"/>
        </w:rPr>
      </w:pPr>
      <w:r>
        <w:rPr>
          <w:lang w:val="el" w:eastAsia="el"/>
        </w:rPr>
        <w:t>Ι.ΡΑΓΚΟΥΣΗΣ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Γ.ΠΑΠΑΚΩΝΣΤΑΝΤΙΝΟΥ</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Κ.ΜΠΙΡΜΠΙΛΗ</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Α.ΛΟΒΕΡΔΟΣ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12 Μαρτίου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3899/2010,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8" w:history="1">
        <w:r>
          <w:rPr>
            <w:rStyle w:val="Hyperlink"/>
            <w:color w:val="0000EE"/>
            <w:u w:color="0000EE"/>
            <w:lang w:val="el" w:eastAsia="el"/>
          </w:rPr>
          <w:t>Τροποποίηση 3899/2010, Άρθρο 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4110/2013, Άρθρο 21</w:t>
        </w:r>
      </w:hyperlink>
      <w:r>
        <w:rPr>
          <w:lang w:val="el" w:eastAsia="el"/>
        </w:rPr>
        <w:t xml:space="preserve">; </w:t>
      </w:r>
      <w:hyperlink r:id="rId4" w:anchor="art_8" w:history="1">
        <w:r>
          <w:rPr>
            <w:rStyle w:val="Hyperlink"/>
            <w:color w:val="0000EE"/>
            <w:u w:color="0000EE"/>
            <w:lang w:val="el" w:eastAsia="el"/>
          </w:rPr>
          <w:t>Τροποποίηση 3899/2010, Άρθρο 8</w:t>
        </w:r>
      </w:hyperlink>
      <w:r>
        <w:rPr>
          <w:lang w:val="el" w:eastAsia="el"/>
        </w:rPr>
        <w:t xml:space="preserve">; </w:t>
      </w:r>
      <w:hyperlink r:id="rId5" w:anchor="art_87" w:history="1">
        <w:r>
          <w:rPr>
            <w:rStyle w:val="Hyperlink"/>
            <w:color w:val="0000EE"/>
            <w:u w:color="0000EE"/>
            <w:lang w:val="el" w:eastAsia="el"/>
          </w:rPr>
          <w:t>Προσθήκη 3842/2010, Άρθρο 87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 w:history="1">
        <w:r>
          <w:rPr>
            <w:rStyle w:val="Hyperlink"/>
            <w:color w:val="0000EE"/>
            <w:u w:color="0000EE"/>
            <w:lang w:val="el" w:eastAsia="el"/>
          </w:rPr>
          <w:t>Προσθήκη 4211/2013, Άρθρο 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87" w:history="1">
        <w:r>
          <w:rPr>
            <w:rStyle w:val="Hyperlink"/>
            <w:color w:val="0000EE"/>
            <w:u w:color="0000EE"/>
            <w:lang w:val="el" w:eastAsia="el"/>
          </w:rPr>
          <w:t>Τροποποίηση 3842/2010, Άρθρο 87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 w:history="1">
        <w:r>
          <w:rPr>
            <w:rStyle w:val="Hyperlink"/>
            <w:color w:val="0000EE"/>
            <w:u w:color="0000EE"/>
            <w:lang w:val="el" w:eastAsia="el"/>
          </w:rPr>
          <w:t>Τροποποίηση 4211/2013, Άρθρο 6</w:t>
        </w:r>
      </w:hyperlink>
      <w:r>
        <w:rPr>
          <w:lang w:val="el" w:eastAsia="el"/>
        </w:rPr>
        <w:t xml:space="preserve">; </w:t>
      </w:r>
      <w:hyperlink r:id="rId9" w:anchor="art_87" w:history="1">
        <w:r>
          <w:rPr>
            <w:rStyle w:val="Hyperlink"/>
            <w:color w:val="0000EE"/>
            <w:u w:color="0000EE"/>
            <w:lang w:val="el" w:eastAsia="el"/>
          </w:rPr>
          <w:t>Τροποποίηση 3842/2010, Άρθρο 87</w:t>
        </w:r>
      </w:hyperlink>
      <w:r>
        <w:rPr>
          <w:lang w:val="el" w:eastAsia="el"/>
        </w:rPr>
        <w:t xml:space="preserve">; </w:t>
      </w:r>
      <w:hyperlink r:id="rId10" w:anchor="art_87" w:history="1">
        <w:r>
          <w:rPr>
            <w:rStyle w:val="Hyperlink"/>
            <w:color w:val="0000EE"/>
            <w:u w:color="0000EE"/>
            <w:lang w:val="el" w:eastAsia="el"/>
          </w:rPr>
          <w:t>Τροποποίηση 3842/2010, Άρθρο 87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7" w:history="1">
        <w:r>
          <w:rPr>
            <w:rStyle w:val="Hyperlink"/>
            <w:color w:val="0000EE"/>
            <w:u w:color="0000EE"/>
            <w:lang w:val="el" w:eastAsia="el"/>
          </w:rPr>
          <w:t>Τροποποίηση 3842/2010, Άρθρο 87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7" w:history="1">
        <w:r>
          <w:rPr>
            <w:rStyle w:val="Hyperlink"/>
            <w:color w:val="0000EE"/>
            <w:u w:color="0000EE"/>
            <w:lang w:val="el" w:eastAsia="el"/>
          </w:rPr>
          <w:t>Τροποποίηση 3842/2010, Άρθρο 87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3" w:history="1">
        <w:r>
          <w:rPr>
            <w:rStyle w:val="Hyperlink"/>
            <w:color w:val="0000EE"/>
            <w:u w:color="0000EE"/>
            <w:lang w:val="el" w:eastAsia="el"/>
          </w:rPr>
          <w:t>Αφαίρεση 4370/2016, Άρθρο 63</w:t>
        </w:r>
      </w:hyperlink>
      <w:r>
        <w:rPr>
          <w:lang w:val="el" w:eastAsia="el"/>
        </w:rPr>
        <w:t xml:space="preserve">; </w:t>
      </w:r>
      <w:hyperlink r:id="rId14" w:anchor="art_87" w:history="1">
        <w:r>
          <w:rPr>
            <w:rStyle w:val="Hyperlink"/>
            <w:color w:val="0000EE"/>
            <w:u w:color="0000EE"/>
            <w:lang w:val="el" w:eastAsia="el"/>
          </w:rPr>
          <w:t>Τροποποίηση 3842/2010, Άρθρο 87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3" w:history="1">
        <w:r>
          <w:rPr>
            <w:rStyle w:val="Hyperlink"/>
            <w:color w:val="0000EE"/>
            <w:u w:color="0000EE"/>
            <w:lang w:val="el" w:eastAsia="el"/>
          </w:rPr>
          <w:t>Προσθήκη 4138/2013, Άρθρο 13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3" w:history="1">
        <w:r>
          <w:rPr>
            <w:rStyle w:val="Hyperlink"/>
            <w:color w:val="0000EE"/>
            <w:u w:color="0000EE"/>
            <w:lang w:val="el" w:eastAsia="el"/>
          </w:rPr>
          <w:t>Προσθήκη 4370/2016, Άρθρο 63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87" w:history="1">
        <w:r>
          <w:rPr>
            <w:rStyle w:val="Hyperlink"/>
            <w:color w:val="0000EE"/>
            <w:u w:color="0000EE"/>
            <w:lang w:val="el" w:eastAsia="el"/>
          </w:rPr>
          <w:t>Τροποποίηση 3842/2010, Άρθρο 87</w:t>
        </w:r>
      </w:hyperlink>
    </w:p>
  </w:footnote>
  <w:footnote w:id="1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8" w:anchor="art_6" w:history="1">
        <w:r>
          <w:rPr>
            <w:rStyle w:val="Hyperlink"/>
            <w:b w:val="0"/>
            <w:bCs w:val="0"/>
            <w:i w:val="0"/>
            <w:iCs w:val="0"/>
            <w:smallCaps w:val="0"/>
            <w:color w:val="0000EE"/>
            <w:u w:color="0000EE"/>
            <w:lang w:val="el" w:eastAsia="el"/>
          </w:rPr>
          <w:t>Τροποποίηση 4211/2013, Άρθρο 6</w:t>
        </w:r>
      </w:hyperlink>
    </w:p>
  </w:footnote>
  <w:footnote w:id="1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9" w:anchor="art_39" w:history="1">
        <w:r>
          <w:rPr>
            <w:rStyle w:val="Hyperlink"/>
            <w:b w:val="0"/>
            <w:bCs w:val="0"/>
            <w:i w:val="0"/>
            <w:iCs w:val="0"/>
            <w:smallCaps w:val="0"/>
            <w:color w:val="0000EE"/>
            <w:u w:color="0000EE"/>
            <w:lang w:val="el" w:eastAsia="el"/>
          </w:rPr>
          <w:t>Αφαίρεση 4254/2014,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 w:history="1">
        <w:r>
          <w:rPr>
            <w:rStyle w:val="Hyperlink"/>
            <w:color w:val="0000EE"/>
            <w:u w:color="0000EE"/>
            <w:lang w:val="el" w:eastAsia="el"/>
          </w:rPr>
          <w:t>Τροποποίηση 4254/2014, Άρθρο 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87" w:history="1">
        <w:r>
          <w:rPr>
            <w:rStyle w:val="Hyperlink"/>
            <w:color w:val="0000EE"/>
            <w:u w:color="0000EE"/>
            <w:lang w:val="el" w:eastAsia="el"/>
          </w:rPr>
          <w:t>Τροποποίηση 3842/2010, Άρθρο 87</w:t>
        </w:r>
      </w:hyperlink>
      <w:r>
        <w:rPr>
          <w:lang w:val="el" w:eastAsia="el"/>
        </w:rPr>
        <w:t xml:space="preserve">; </w:t>
      </w:r>
      <w:hyperlink r:id="rId22" w:anchor="art_87" w:history="1">
        <w:r>
          <w:rPr>
            <w:rStyle w:val="Hyperlink"/>
            <w:color w:val="0000EE"/>
            <w:u w:color="0000EE"/>
            <w:lang w:val="el" w:eastAsia="el"/>
          </w:rPr>
          <w:t>Προσθήκη 3842/2010, Άρθρο 87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0/12/17/3899" TargetMode="External" /><Relationship Id="rId10" Type="http://schemas.openxmlformats.org/officeDocument/2006/relationships/hyperlink" Target="http://data.aade.gr/eli/pri/law/2010/04/23/3842" TargetMode="External" /><Relationship Id="rId11" Type="http://schemas.openxmlformats.org/officeDocument/2006/relationships/hyperlink" Target="http://data.aade.gr/eli/pri/law/2010/04/23/3842" TargetMode="External" /><Relationship Id="rId12" Type="http://schemas.openxmlformats.org/officeDocument/2006/relationships/hyperlink" Target="http://data.aade.gr/eli/pri/law/2010/04/23/3842" TargetMode="External" /><Relationship Id="rId13" Type="http://schemas.openxmlformats.org/officeDocument/2006/relationships/hyperlink" Target="http://data.aade.gr/eli/pri/law/2016/03/07/4370" TargetMode="External" /><Relationship Id="rId14" Type="http://schemas.openxmlformats.org/officeDocument/2006/relationships/hyperlink" Target="http://data.aade.gr/eli/pri/law/2010/04/23/3842" TargetMode="External" /><Relationship Id="rId15" Type="http://schemas.openxmlformats.org/officeDocument/2006/relationships/hyperlink" Target="http://data.aade.gr/eli/pri/law/2013/03/19/4138" TargetMode="External" /><Relationship Id="rId16" Type="http://schemas.openxmlformats.org/officeDocument/2006/relationships/hyperlink" Target="http://data.aade.gr/eli/pri/law/2016/03/07/4370" TargetMode="External" /><Relationship Id="rId17" Type="http://schemas.openxmlformats.org/officeDocument/2006/relationships/hyperlink" Target="http://data.aade.gr/eli/pri/law/2010/04/23/3842" TargetMode="External" /><Relationship Id="rId18" Type="http://schemas.openxmlformats.org/officeDocument/2006/relationships/hyperlink" Target="http://data.aade.gr/eli/pri/law/2013/11/28/4211" TargetMode="External" /><Relationship Id="rId19" Type="http://schemas.openxmlformats.org/officeDocument/2006/relationships/hyperlink" Target="http://data.aade.gr/eli/pri/law/2014/04/07/4254" TargetMode="External" /><Relationship Id="rId2" Type="http://schemas.openxmlformats.org/officeDocument/2006/relationships/hyperlink" Target="http://data.aade.gr/eli/pri/law/2010/12/17/3899" TargetMode="External" /><Relationship Id="rId20" Type="http://schemas.openxmlformats.org/officeDocument/2006/relationships/hyperlink" Target="http://data.aade.gr/eli/pri/law/2014/04/07/4254"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3" Type="http://schemas.openxmlformats.org/officeDocument/2006/relationships/hyperlink" Target="http://data.aade.gr/eli/pri/law/2013/01/23/4110" TargetMode="External" /><Relationship Id="rId4" Type="http://schemas.openxmlformats.org/officeDocument/2006/relationships/hyperlink" Target="http://data.aade.gr/eli/pri/law/2010/12/17/3899"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13/11/28/4211" TargetMode="External" /><Relationship Id="rId7" Type="http://schemas.openxmlformats.org/officeDocument/2006/relationships/hyperlink" Target="http://data.aade.gr/eli/pri/law/2010/04/23/3842" TargetMode="External" /><Relationship Id="rId8" Type="http://schemas.openxmlformats.org/officeDocument/2006/relationships/hyperlink" Target="http://data.aade.gr/eli/pri/law/2013/11/28/4211" TargetMode="External" /><Relationship Id="rId9" Type="http://schemas.openxmlformats.org/officeDocument/2006/relationships/hyperlink" Target="http://data.aade.gr/eli/pri/law/2010/04/23/3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