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επί της φορολογητέας αξίας, όπως αυτή διαμορφώνεται από τα άρθρα 19 και 20 του ν. 2859/2000 (Α' 248)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ΦΟΡΟΥ 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της περίπτωσης 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περίπτωσης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ΕΧ 71.03 και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Εξαιρούνται τα είδη από άργυρο. Δ.Κ. ΕΧ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Εξαιρούνται τα είδη από άργυρο. Δ.Κ. ΕΧ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Άλλα τεχνουργήματα από πολύτιμα μέταλλα ή από μέταλλα επιστρωμένα με πολύτιμα μέταλλα. Εξαιρούνται τα είδη από άργυρο. Δ.Κ. ΕΧ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πολύτιμο μέταλλα ή από μέταλλα 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Για τους σκοπούς εφαρμογής της περ. ιβ' της παρ. 1, ως ιδιωτική χρήση νοείται η χρησιμοποίηση αεροπλάνου, υδροπλάνου και ελικόπτερου για μη εμπορική δραστηριότητα.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Από τον φόρο πολυτελείας εξαιρούνται τα είδη των περ. η', θ,' ι' και ια' του πίνακα της παρ. 1 του άρθρου αυτού, των οποίων η φορολογητέα αξία επιβολής του φόρου πολυτελείας είναι μικρότερη των χιλίων (1.000) ευρώ ανά τεμάχιο.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Ο φόρος πολυτελείας των μεταφορικών μέσων της περ. ιβ’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τα είδη της παρ.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τα προερχόμενα από άλλα κράτη μέλη της Ευρωπαϊκής Ένωσης ή τα εγχωρίως παραγόμενα, ο φόρος αποδίδεται στην αρμόδια Δ.Ο.Υ. της έδρας του επιτηδευματία.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Ο φόρος πολυτελείας της παρ.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τριάντα τοις εκατό ( 30%).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τα πρόστιμα, την παραγραφή του δικαιώματος του Δημοσίου και την έκδοση καταλογιστικών πράξεων διέπονται από τις διατάξεις του ν. 4174/2013 (Α' 170).</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Τα είδη της παρ. 1 που παραλαμβάνονται ως πρώτες ύλες για την παραγωγή ετοίμων προϊόντων της ίδιας παραγράφου, απαλλάσσονται του φόρου πολυτελείας.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11.</w:t>
      </w:r>
      <w:r>
        <w:rPr>
          <w:lang w:val="el" w:eastAsia="el"/>
        </w:rPr>
        <w:t xml:space="preserve"> Με απόφαση του Διοικητή της Ανεξάρτητης Αρχής Δημοσίων Εσόδων καθορίζονται ο χρόνος, ο τρόπος, η διαδικασία και κάθε αναγκαίο θέμα για την απόδοση του φόρου αυτού στις Δ.Ο.Υ., καθώς και οι όροι, οι προϋποθέσεις, τα απαιτούμενα δικαιολογητικά και κάθε άλλη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4941/2022, Άρθρο 79</w:t>
        </w:r>
      </w:hyperlink>
      <w:r>
        <w:rPr>
          <w:lang w:val="el" w:eastAsia="el"/>
        </w:rPr>
        <w:t xml:space="preserve">; </w:t>
      </w:r>
      <w:hyperlink r:id="rId2" w:anchor="art_59" w:history="1">
        <w:r>
          <w:rPr>
            <w:rStyle w:val="Hyperlink"/>
            <w:color w:val="0000EE"/>
            <w:u w:color="0000EE"/>
            <w:lang w:val="el" w:eastAsia="el"/>
          </w:rPr>
          <w:t>Τροποποίηση 4389/2016, Άρθρο 59</w:t>
        </w:r>
      </w:hyperlink>
      <w:r>
        <w:rPr>
          <w:lang w:val="el" w:eastAsia="el"/>
        </w:rPr>
        <w:t xml:space="preserve">; </w:t>
      </w:r>
      <w:hyperlink r:id="rId3"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9" w:history="1">
        <w:r>
          <w:rPr>
            <w:rStyle w:val="Hyperlink"/>
            <w:color w:val="0000EE"/>
            <w:u w:color="0000EE"/>
            <w:lang w:val="el" w:eastAsia="el"/>
          </w:rPr>
          <w:t>Τροποποίηση 4941/2022, Άρθρο 79</w:t>
        </w:r>
      </w:hyperlink>
      <w:r>
        <w:rPr>
          <w:lang w:val="el" w:eastAsia="el"/>
        </w:rPr>
        <w:t xml:space="preserve">; </w:t>
      </w:r>
      <w:hyperlink r:id="rId5" w:anchor="art_59" w:history="1">
        <w:r>
          <w:rPr>
            <w:rStyle w:val="Hyperlink"/>
            <w:color w:val="0000EE"/>
            <w:u w:color="0000EE"/>
            <w:lang w:val="el" w:eastAsia="el"/>
          </w:rPr>
          <w:t>Τροποποίηση 4389/2016, Άρθρο 59</w:t>
        </w:r>
      </w:hyperlink>
      <w:r>
        <w:rPr>
          <w:lang w:val="el" w:eastAsia="el"/>
        </w:rPr>
        <w:t xml:space="preserve">; </w:t>
      </w:r>
      <w:hyperlink r:id="rId6" w:anchor="art_59" w:history="1">
        <w:r>
          <w:rPr>
            <w:rStyle w:val="Hyperlink"/>
            <w:color w:val="0000EE"/>
            <w:u w:color="0000EE"/>
            <w:lang w:val="el" w:eastAsia="el"/>
          </w:rPr>
          <w:t>Τροποποίηση 4389/2016, Άρθρο 59</w:t>
        </w:r>
      </w:hyperlink>
      <w:r>
        <w:rPr>
          <w:lang w:val="el" w:eastAsia="el"/>
        </w:rPr>
        <w:t xml:space="preserve">; </w:t>
      </w:r>
      <w:hyperlink r:id="rId7" w:anchor="art_6" w:history="1">
        <w:r>
          <w:rPr>
            <w:rStyle w:val="Hyperlink"/>
            <w:color w:val="0000EE"/>
            <w:u w:color="0000EE"/>
            <w:lang w:val="el" w:eastAsia="el"/>
          </w:rPr>
          <w:t>Προσθήκη 4211/2013, Άρθρο 6</w:t>
        </w:r>
      </w:hyperlink>
      <w:r>
        <w:rPr>
          <w:lang w:val="el" w:eastAsia="el"/>
        </w:rPr>
        <w:t xml:space="preserve">; </w:t>
      </w:r>
      <w:hyperlink r:id="rId8" w:anchor="art_21" w:history="1">
        <w:r>
          <w:rPr>
            <w:rStyle w:val="Hyperlink"/>
            <w:color w:val="0000EE"/>
            <w:u w:color="0000EE"/>
            <w:lang w:val="el" w:eastAsia="el"/>
          </w:rPr>
          <w:t>Τροποποίηση 4110/2013, Άρθρο 21</w:t>
        </w:r>
      </w:hyperlink>
      <w:r>
        <w:rPr>
          <w:lang w:val="el" w:eastAsia="el"/>
        </w:rPr>
        <w:t xml:space="preserve">; </w:t>
      </w:r>
      <w:hyperlink r:id="rId9" w:anchor="art_8" w:history="1">
        <w:r>
          <w:rPr>
            <w:rStyle w:val="Hyperlink"/>
            <w:color w:val="0000EE"/>
            <w:u w:color="0000EE"/>
            <w:lang w:val="el" w:eastAsia="el"/>
          </w:rPr>
          <w:t>Τροποποίηση 3899/2010, Άρθρο 8</w:t>
        </w:r>
      </w:hyperlink>
      <w:r>
        <w:rPr>
          <w:lang w:val="el" w:eastAsia="el"/>
        </w:rPr>
        <w:t xml:space="preserve">; </w:t>
      </w:r>
      <w:hyperlink r:id="rId10" w:anchor="art_87" w:history="1">
        <w:r>
          <w:rPr>
            <w:rStyle w:val="Hyperlink"/>
            <w:color w:val="0000EE"/>
            <w:u w:color="0000EE"/>
            <w:lang w:val="el" w:eastAsia="el"/>
          </w:rPr>
          <w:t>Προσθήκη 3842/2010, Άρθρο 87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9" w:history="1">
        <w:r>
          <w:rPr>
            <w:rStyle w:val="Hyperlink"/>
            <w:color w:val="0000EE"/>
            <w:u w:color="0000EE"/>
            <w:lang w:val="el" w:eastAsia="el"/>
          </w:rPr>
          <w:t>Τροποποίηση 4941/2022, Άρθρο 79</w:t>
        </w:r>
      </w:hyperlink>
      <w:r>
        <w:rPr>
          <w:lang w:val="el" w:eastAsia="el"/>
        </w:rPr>
        <w:t xml:space="preserve">; </w:t>
      </w:r>
      <w:hyperlink r:id="rId12" w:anchor="art_59" w:history="1">
        <w:r>
          <w:rPr>
            <w:rStyle w:val="Hyperlink"/>
            <w:color w:val="0000EE"/>
            <w:u w:color="0000EE"/>
            <w:lang w:val="el" w:eastAsia="el"/>
          </w:rPr>
          <w:t>Τροποποίηση 4389/2016, Άρθρο 59</w:t>
        </w:r>
      </w:hyperlink>
      <w:r>
        <w:rPr>
          <w:lang w:val="el" w:eastAsia="el"/>
        </w:rPr>
        <w:t xml:space="preserve">; </w:t>
      </w:r>
      <w:hyperlink r:id="rId13" w:anchor="art_59" w:history="1">
        <w:r>
          <w:rPr>
            <w:rStyle w:val="Hyperlink"/>
            <w:color w:val="0000EE"/>
            <w:u w:color="0000EE"/>
            <w:lang w:val="el" w:eastAsia="el"/>
          </w:rPr>
          <w:t>Τροποποίηση 4389/2016, Άρθρο 59</w:t>
        </w:r>
      </w:hyperlink>
      <w:r>
        <w:rPr>
          <w:lang w:val="el" w:eastAsia="el"/>
        </w:rPr>
        <w:t xml:space="preserve">; </w:t>
      </w:r>
      <w:hyperlink r:id="rId14" w:anchor="art_6" w:history="1">
        <w:r>
          <w:rPr>
            <w:rStyle w:val="Hyperlink"/>
            <w:color w:val="0000EE"/>
            <w:u w:color="0000EE"/>
            <w:lang w:val="el" w:eastAsia="el"/>
          </w:rPr>
          <w:t>Τροποποίηση 4211/2013, Άρθρο 6</w:t>
        </w:r>
      </w:hyperlink>
      <w:r>
        <w:rPr>
          <w:lang w:val="el" w:eastAsia="el"/>
        </w:rPr>
        <w:t xml:space="preserve">; </w:t>
      </w:r>
      <w:hyperlink r:id="rId15" w:anchor="art_87" w:history="1">
        <w:r>
          <w:rPr>
            <w:rStyle w:val="Hyperlink"/>
            <w:color w:val="0000EE"/>
            <w:u w:color="0000EE"/>
            <w:lang w:val="el" w:eastAsia="el"/>
          </w:rPr>
          <w:t>Τροποποίηση 3842/2010, Άρθρο 87</w:t>
        </w:r>
      </w:hyperlink>
      <w:r>
        <w:rPr>
          <w:lang w:val="el" w:eastAsia="el"/>
        </w:rPr>
        <w:t xml:space="preserve">; </w:t>
      </w:r>
      <w:hyperlink r:id="rId16" w:anchor="art_87" w:history="1">
        <w:r>
          <w:rPr>
            <w:rStyle w:val="Hyperlink"/>
            <w:color w:val="0000EE"/>
            <w:u w:color="0000EE"/>
            <w:lang w:val="el" w:eastAsia="el"/>
          </w:rPr>
          <w:t>Τροποποίηση 3842/2010, Άρθρο 87</w:t>
        </w:r>
      </w:hyperlink>
      <w:r>
        <w:rPr>
          <w:lang w:val="el" w:eastAsia="el"/>
        </w:rPr>
        <w:t xml:space="preserve">; </w:t>
      </w:r>
      <w:hyperlink r:id="rId17" w:anchor="art_63" w:history="1">
        <w:r>
          <w:rPr>
            <w:rStyle w:val="Hyperlink"/>
            <w:color w:val="0000EE"/>
            <w:u w:color="0000EE"/>
            <w:lang w:val="el" w:eastAsia="el"/>
          </w:rPr>
          <w:t>Αφαίρεση 4370/2016, Άρθρο 63</w:t>
        </w:r>
      </w:hyperlink>
      <w:r>
        <w:rPr>
          <w:lang w:val="el" w:eastAsia="el"/>
        </w:rPr>
        <w:t xml:space="preserve">; </w:t>
      </w:r>
      <w:hyperlink r:id="rId18" w:anchor="art_13" w:history="1">
        <w:r>
          <w:rPr>
            <w:rStyle w:val="Hyperlink"/>
            <w:color w:val="0000EE"/>
            <w:u w:color="0000EE"/>
            <w:lang w:val="el" w:eastAsia="el"/>
          </w:rPr>
          <w:t>Προσθήκη 4138/2013, Άρθρο 13</w:t>
        </w:r>
      </w:hyperlink>
      <w:r>
        <w:rPr>
          <w:lang w:val="el" w:eastAsia="el"/>
        </w:rPr>
        <w:t xml:space="preserve">; </w:t>
      </w:r>
      <w:hyperlink r:id="rId19" w:anchor="art_63" w:history="1">
        <w:r>
          <w:rPr>
            <w:rStyle w:val="Hyperlink"/>
            <w:color w:val="0000EE"/>
            <w:u w:color="0000EE"/>
            <w:lang w:val="el" w:eastAsia="el"/>
          </w:rPr>
          <w:t>Προσθήκη 4370/2016, Άρθρο 63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9" w:history="1">
        <w:r>
          <w:rPr>
            <w:rStyle w:val="Hyperlink"/>
            <w:color w:val="0000EE"/>
            <w:u w:color="0000EE"/>
            <w:lang w:val="el" w:eastAsia="el"/>
          </w:rPr>
          <w:t>Τροποποίηση 4941/2022, Άρθρο 79</w:t>
        </w:r>
      </w:hyperlink>
      <w:r>
        <w:rPr>
          <w:lang w:val="el" w:eastAsia="el"/>
        </w:rPr>
        <w:t xml:space="preserve">; </w:t>
      </w:r>
      <w:hyperlink r:id="rId21" w:anchor="art_59" w:history="1">
        <w:r>
          <w:rPr>
            <w:rStyle w:val="Hyperlink"/>
            <w:color w:val="0000EE"/>
            <w:u w:color="0000EE"/>
            <w:lang w:val="el" w:eastAsia="el"/>
          </w:rPr>
          <w:t>Τροποποίηση 4389/2016, Άρθρο 59</w:t>
        </w:r>
      </w:hyperlink>
      <w:r>
        <w:rPr>
          <w:lang w:val="el" w:eastAsia="el"/>
        </w:rPr>
        <w:t xml:space="preserve">; </w:t>
      </w:r>
      <w:hyperlink r:id="rId22" w:anchor="art_59" w:history="1">
        <w:r>
          <w:rPr>
            <w:rStyle w:val="Hyperlink"/>
            <w:color w:val="0000EE"/>
            <w:u w:color="0000EE"/>
            <w:lang w:val="el" w:eastAsia="el"/>
          </w:rPr>
          <w:t>Τροποποίηση 4389/2016, Άρθρο 59</w:t>
        </w:r>
      </w:hyperlink>
      <w:r>
        <w:rPr>
          <w:lang w:val="el" w:eastAsia="el"/>
        </w:rPr>
        <w:t xml:space="preserve">; </w:t>
      </w:r>
      <w:hyperlink r:id="rId23" w:anchor="art_3" w:history="1">
        <w:r>
          <w:rPr>
            <w:rStyle w:val="Hyperlink"/>
            <w:color w:val="0000EE"/>
            <w:u w:color="0000EE"/>
            <w:lang w:val="el" w:eastAsia="el"/>
          </w:rPr>
          <w:t>Τροποποίηση 4254/2014, Άρθρο 3</w:t>
        </w:r>
      </w:hyperlink>
      <w:r>
        <w:rPr>
          <w:lang w:val="el" w:eastAsia="el"/>
        </w:rPr>
        <w:t xml:space="preserve">; </w:t>
      </w:r>
      <w:hyperlink r:id="rId24" w:anchor="art_87" w:history="1">
        <w:r>
          <w:rPr>
            <w:rStyle w:val="Hyperlink"/>
            <w:color w:val="0000EE"/>
            <w:u w:color="0000EE"/>
            <w:lang w:val="el" w:eastAsia="el"/>
          </w:rPr>
          <w:t>Τροποποίηση 3842/2010,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9" w:history="1">
        <w:r>
          <w:rPr>
            <w:rStyle w:val="Hyperlink"/>
            <w:color w:val="0000EE"/>
            <w:u w:color="0000EE"/>
            <w:lang w:val="el" w:eastAsia="el"/>
          </w:rPr>
          <w:t>Τροποποίηση 4941/2022, Άρθρο 79</w:t>
        </w:r>
      </w:hyperlink>
      <w:r>
        <w:rPr>
          <w:lang w:val="el" w:eastAsia="el"/>
        </w:rPr>
        <w:t xml:space="preserve">; </w:t>
      </w:r>
      <w:hyperlink r:id="rId26" w:anchor="art_59" w:history="1">
        <w:r>
          <w:rPr>
            <w:rStyle w:val="Hyperlink"/>
            <w:color w:val="0000EE"/>
            <w:u w:color="0000EE"/>
            <w:lang w:val="el" w:eastAsia="el"/>
          </w:rPr>
          <w:t>Τροποποίηση 4389/2016, Άρθρο 59</w:t>
        </w:r>
      </w:hyperlink>
      <w:r>
        <w:rPr>
          <w:lang w:val="el" w:eastAsia="el"/>
        </w:rPr>
        <w:t xml:space="preserve">; </w:t>
      </w:r>
      <w:hyperlink r:id="rId27" w:anchor="art_59" w:history="1">
        <w:r>
          <w:rPr>
            <w:rStyle w:val="Hyperlink"/>
            <w:color w:val="0000EE"/>
            <w:u w:color="0000EE"/>
            <w:lang w:val="el" w:eastAsia="el"/>
          </w:rPr>
          <w:t>Τροποποίηση 4389/2016, Άρθρο 59</w:t>
        </w:r>
      </w:hyperlink>
      <w:r>
        <w:rPr>
          <w:lang w:val="el" w:eastAsia="el"/>
        </w:rPr>
        <w:t xml:space="preserve">; </w:t>
      </w:r>
      <w:hyperlink r:id="rId28" w:anchor="art_87" w:history="1">
        <w:r>
          <w:rPr>
            <w:rStyle w:val="Hyperlink"/>
            <w:color w:val="0000EE"/>
            <w:u w:color="0000EE"/>
            <w:lang w:val="el" w:eastAsia="el"/>
          </w:rPr>
          <w:t>Τροποποίηση 3842/2010, Άρθρο 87</w:t>
        </w:r>
      </w:hyperlink>
      <w:r>
        <w:rPr>
          <w:lang w:val="el" w:eastAsia="el"/>
        </w:rPr>
        <w:t xml:space="preserve">; </w:t>
      </w:r>
      <w:hyperlink r:id="rId29" w:anchor="art_87" w:history="1">
        <w:r>
          <w:rPr>
            <w:rStyle w:val="Hyperlink"/>
            <w:color w:val="0000EE"/>
            <w:u w:color="0000EE"/>
            <w:lang w:val="el" w:eastAsia="el"/>
          </w:rPr>
          <w:t>Προσθήκη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9" w:history="1">
        <w:r>
          <w:rPr>
            <w:rStyle w:val="Hyperlink"/>
            <w:color w:val="0000EE"/>
            <w:u w:color="0000EE"/>
            <w:lang w:val="el" w:eastAsia="el"/>
          </w:rPr>
          <w:t>Τροποποίηση 4941/2022, Άρθρο 79</w:t>
        </w:r>
      </w:hyperlink>
      <w:r>
        <w:rPr>
          <w:lang w:val="el" w:eastAsia="el"/>
        </w:rPr>
        <w:t xml:space="preserve">; </w:t>
      </w:r>
      <w:hyperlink r:id="rId31" w:anchor="art_59" w:history="1">
        <w:r>
          <w:rPr>
            <w:rStyle w:val="Hyperlink"/>
            <w:color w:val="0000EE"/>
            <w:u w:color="0000EE"/>
            <w:lang w:val="el" w:eastAsia="el"/>
          </w:rPr>
          <w:t>Τροποποίηση 4389/2016, Άρθρο 59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9" w:history="1">
        <w:r>
          <w:rPr>
            <w:rStyle w:val="Hyperlink"/>
            <w:color w:val="0000EE"/>
            <w:u w:color="0000EE"/>
            <w:lang w:val="el" w:eastAsia="el"/>
          </w:rPr>
          <w:t>Τροποποίηση 4941/2022, Άρθρο 79</w:t>
        </w:r>
      </w:hyperlink>
      <w:r>
        <w:rPr>
          <w:lang w:val="el" w:eastAsia="el"/>
        </w:rPr>
        <w:t xml:space="preserve">; </w:t>
      </w:r>
      <w:hyperlink r:id="rId33" w:anchor="art_59" w:history="1">
        <w:r>
          <w:rPr>
            <w:rStyle w:val="Hyperlink"/>
            <w:color w:val="0000EE"/>
            <w:u w:color="0000EE"/>
            <w:lang w:val="el" w:eastAsia="el"/>
          </w:rPr>
          <w:t>Τροποποίηση 4389/2016,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9" w:history="1">
        <w:r>
          <w:rPr>
            <w:rStyle w:val="Hyperlink"/>
            <w:color w:val="0000EE"/>
            <w:u w:color="0000EE"/>
            <w:lang w:val="el" w:eastAsia="el"/>
          </w:rPr>
          <w:t>Τροποποίηση 4941/2022, Άρθρο 79</w:t>
        </w:r>
      </w:hyperlink>
      <w:r>
        <w:rPr>
          <w:lang w:val="el" w:eastAsia="el"/>
        </w:rPr>
        <w:t xml:space="preserve">; </w:t>
      </w:r>
      <w:hyperlink r:id="rId35" w:anchor="art_59" w:history="1">
        <w:r>
          <w:rPr>
            <w:rStyle w:val="Hyperlink"/>
            <w:color w:val="0000EE"/>
            <w:u w:color="0000EE"/>
            <w:lang w:val="el" w:eastAsia="el"/>
          </w:rPr>
          <w:t>Τροποποίηση 4389/2016, Άρθρο 59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9" w:history="1">
        <w:r>
          <w:rPr>
            <w:rStyle w:val="Hyperlink"/>
            <w:color w:val="0000EE"/>
            <w:u w:color="0000EE"/>
            <w:lang w:val="el" w:eastAsia="el"/>
          </w:rPr>
          <w:t>Τροποποίηση 4941/2022, Άρθρο 79</w:t>
        </w:r>
      </w:hyperlink>
      <w:r>
        <w:rPr>
          <w:lang w:val="el" w:eastAsia="el"/>
        </w:rPr>
        <w:t xml:space="preserve">; </w:t>
      </w:r>
      <w:hyperlink r:id="rId37" w:anchor="art_59" w:history="1">
        <w:r>
          <w:rPr>
            <w:rStyle w:val="Hyperlink"/>
            <w:color w:val="0000EE"/>
            <w:u w:color="0000EE"/>
            <w:lang w:val="el" w:eastAsia="el"/>
          </w:rPr>
          <w:t>Τροποποίηση 4389/2016, Άρθρο 59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9" w:history="1">
        <w:r>
          <w:rPr>
            <w:rStyle w:val="Hyperlink"/>
            <w:color w:val="0000EE"/>
            <w:u w:color="0000EE"/>
            <w:lang w:val="el" w:eastAsia="el"/>
          </w:rPr>
          <w:t>Τροποποίηση 4941/2022, Άρθρο 79</w:t>
        </w:r>
      </w:hyperlink>
      <w:r>
        <w:rPr>
          <w:lang w:val="el" w:eastAsia="el"/>
        </w:rPr>
        <w:t xml:space="preserve">; </w:t>
      </w:r>
      <w:hyperlink r:id="rId39" w:anchor="art_59" w:history="1">
        <w:r>
          <w:rPr>
            <w:rStyle w:val="Hyperlink"/>
            <w:color w:val="0000EE"/>
            <w:u w:color="0000EE"/>
            <w:lang w:val="el" w:eastAsia="el"/>
          </w:rPr>
          <w:t>Τροποποίηση 4389/2016, Άρθρο 59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9" w:history="1">
        <w:r>
          <w:rPr>
            <w:rStyle w:val="Hyperlink"/>
            <w:color w:val="0000EE"/>
            <w:u w:color="0000EE"/>
            <w:lang w:val="el" w:eastAsia="el"/>
          </w:rPr>
          <w:t>Τροποποίηση 4941/2022, Άρθρο 79</w:t>
        </w:r>
      </w:hyperlink>
      <w:r>
        <w:rPr>
          <w:lang w:val="el" w:eastAsia="el"/>
        </w:rPr>
        <w:t xml:space="preserve">; </w:t>
      </w:r>
      <w:hyperlink r:id="rId41" w:anchor="art_59" w:history="1">
        <w:r>
          <w:rPr>
            <w:rStyle w:val="Hyperlink"/>
            <w:color w:val="0000EE"/>
            <w:u w:color="0000EE"/>
            <w:lang w:val="el" w:eastAsia="el"/>
          </w:rPr>
          <w:t>Τροποποίηση 4389/2016, Άρθρο 59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2/06/16/4941"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22/06/16/4941" TargetMode="External" /><Relationship Id="rId12" Type="http://schemas.openxmlformats.org/officeDocument/2006/relationships/hyperlink" Target="http://data.aade.gr/eli/pri/law/2016/05/27/4389" TargetMode="External" /><Relationship Id="rId13" Type="http://schemas.openxmlformats.org/officeDocument/2006/relationships/hyperlink" Target="http://data.aade.gr/eli/pri/law/2016/05/27/4389" TargetMode="External" /><Relationship Id="rId14" Type="http://schemas.openxmlformats.org/officeDocument/2006/relationships/hyperlink" Target="http://data.aade.gr/eli/pri/law/2013/11/28/4211"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6/03/07/4370" TargetMode="External" /><Relationship Id="rId18" Type="http://schemas.openxmlformats.org/officeDocument/2006/relationships/hyperlink" Target="http://data.aade.gr/eli/pri/law/2013/03/19/4138" TargetMode="External" /><Relationship Id="rId19" Type="http://schemas.openxmlformats.org/officeDocument/2006/relationships/hyperlink" Target="http://data.aade.gr/eli/pri/law/2016/03/07/4370" TargetMode="External" /><Relationship Id="rId2" Type="http://schemas.openxmlformats.org/officeDocument/2006/relationships/hyperlink" Target="http://data.aade.gr/eli/pri/law/2016/05/27/4389" TargetMode="External" /><Relationship Id="rId20" Type="http://schemas.openxmlformats.org/officeDocument/2006/relationships/hyperlink" Target="http://data.aade.gr/eli/pri/law/2022/06/16/4941" TargetMode="External" /><Relationship Id="rId21" Type="http://schemas.openxmlformats.org/officeDocument/2006/relationships/hyperlink" Target="http://data.aade.gr/eli/pri/law/2016/05/27/4389"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22/06/16/4941"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0/12/17/3899" TargetMode="External" /><Relationship Id="rId30" Type="http://schemas.openxmlformats.org/officeDocument/2006/relationships/hyperlink" Target="http://data.aade.gr/eli/pri/law/2022/06/16/4941"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22/06/16/4941"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22/06/16/4941"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22/06/16/4941"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22/06/16/4941"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22/06/16/4941" TargetMode="External" /><Relationship Id="rId40" Type="http://schemas.openxmlformats.org/officeDocument/2006/relationships/hyperlink" Target="http://data.aade.gr/eli/pri/law/2022/06/16/4941" TargetMode="External" /><Relationship Id="rId41" Type="http://schemas.openxmlformats.org/officeDocument/2006/relationships/hyperlink" Target="http://data.aade.gr/eli/pri/law/2016/05/27/4389" TargetMode="External" /><Relationship Id="rId5" Type="http://schemas.openxmlformats.org/officeDocument/2006/relationships/hyperlink" Target="http://data.aade.gr/eli/pri/law/2016/05/27/4389" TargetMode="External" /><Relationship Id="rId6" Type="http://schemas.openxmlformats.org/officeDocument/2006/relationships/hyperlink" Target="http://data.aade.gr/eli/pri/law/2016/05/27/4389" TargetMode="External" /><Relationship Id="rId7" Type="http://schemas.openxmlformats.org/officeDocument/2006/relationships/hyperlink" Target="http://data.aade.gr/eli/pri/law/2013/11/28/4211" TargetMode="External" /><Relationship Id="rId8" Type="http://schemas.openxmlformats.org/officeDocument/2006/relationships/hyperlink" Target="http://data.aade.gr/eli/pri/law/2013/01/23/4110" TargetMode="External" /><Relationship Id="rId9"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